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gif" ContentType="image/gif"/>
  <Default Extension="wdp" ContentType="image/vnd.ms-photo"/>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73ABFF" w14:textId="77777777" w:rsidR="00472729" w:rsidRDefault="00201662" w:rsidP="003E2C7E">
      <w:pPr>
        <w:tabs>
          <w:tab w:val="left" w:pos="2410"/>
        </w:tabs>
        <w:spacing w:line="360" w:lineRule="auto"/>
        <w:jc w:val="center"/>
        <w:rPr>
          <w:rFonts w:ascii="Arial" w:hAnsi="Arial" w:cs="Arial"/>
          <w:b/>
          <w:bCs/>
          <w:sz w:val="40"/>
          <w:szCs w:val="40"/>
        </w:rPr>
      </w:pPr>
      <w:r>
        <w:rPr>
          <w:rFonts w:ascii="Arial" w:hAnsi="Arial" w:cs="Arial"/>
          <w:b/>
          <w:bCs/>
          <w:noProof/>
          <w:sz w:val="40"/>
          <w:szCs w:val="40"/>
          <w:lang w:val="en-US"/>
        </w:rPr>
        <w:drawing>
          <wp:inline distT="0" distB="0" distL="0" distR="0" wp14:anchorId="03D75B04" wp14:editId="77CB4D51">
            <wp:extent cx="2975810" cy="1192530"/>
            <wp:effectExtent l="0" t="0" r="0" b="1270"/>
            <wp:docPr id="3" name="Picture 3" descr="JASMINE:TUOS_Logo_CM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ASMINE:TUOS_Logo_CMY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7145" cy="1193065"/>
                    </a:xfrm>
                    <a:prstGeom prst="rect">
                      <a:avLst/>
                    </a:prstGeom>
                    <a:noFill/>
                    <a:ln>
                      <a:noFill/>
                    </a:ln>
                  </pic:spPr>
                </pic:pic>
              </a:graphicData>
            </a:graphic>
          </wp:inline>
        </w:drawing>
      </w:r>
    </w:p>
    <w:p w14:paraId="659A5D1B" w14:textId="77777777" w:rsidR="00472729" w:rsidRDefault="00472729" w:rsidP="003E2C7E">
      <w:pPr>
        <w:rPr>
          <w:rFonts w:ascii="Arial" w:hAnsi="Arial" w:cs="Arial"/>
          <w:b/>
          <w:bCs/>
          <w:sz w:val="40"/>
          <w:szCs w:val="40"/>
        </w:rPr>
      </w:pPr>
    </w:p>
    <w:p w14:paraId="6DF2BE3B" w14:textId="77777777" w:rsidR="0020450B" w:rsidRDefault="0020450B" w:rsidP="00472729">
      <w:pPr>
        <w:spacing w:line="360" w:lineRule="auto"/>
        <w:jc w:val="center"/>
        <w:rPr>
          <w:rFonts w:ascii="Arial" w:hAnsi="Arial" w:cs="Arial"/>
          <w:b/>
          <w:bCs/>
          <w:sz w:val="40"/>
          <w:szCs w:val="40"/>
        </w:rPr>
      </w:pPr>
      <w:r w:rsidRPr="000E15FD">
        <w:rPr>
          <w:rFonts w:ascii="Arial" w:hAnsi="Arial" w:cs="Arial"/>
          <w:b/>
          <w:bCs/>
          <w:sz w:val="40"/>
          <w:szCs w:val="40"/>
        </w:rPr>
        <w:t>The effect of timing of feed</w:t>
      </w:r>
      <w:r w:rsidR="000E15FD" w:rsidRPr="000E15FD">
        <w:rPr>
          <w:rFonts w:ascii="Arial" w:hAnsi="Arial" w:cs="Arial"/>
          <w:b/>
          <w:bCs/>
          <w:sz w:val="40"/>
          <w:szCs w:val="40"/>
        </w:rPr>
        <w:t>ing</w:t>
      </w:r>
      <w:r w:rsidRPr="000E15FD">
        <w:rPr>
          <w:rFonts w:ascii="Arial" w:hAnsi="Arial" w:cs="Arial"/>
          <w:b/>
          <w:bCs/>
          <w:sz w:val="40"/>
          <w:szCs w:val="40"/>
        </w:rPr>
        <w:t xml:space="preserve"> on bone’s adaptive response to mechanical loading</w:t>
      </w:r>
    </w:p>
    <w:p w14:paraId="1478CD14" w14:textId="77777777" w:rsidR="00472729" w:rsidRDefault="00472729" w:rsidP="001B3480">
      <w:pPr>
        <w:spacing w:line="360" w:lineRule="auto"/>
        <w:rPr>
          <w:rFonts w:ascii="Arial" w:hAnsi="Arial" w:cs="Arial"/>
          <w:b/>
          <w:bCs/>
          <w:sz w:val="36"/>
          <w:szCs w:val="36"/>
        </w:rPr>
      </w:pPr>
    </w:p>
    <w:p w14:paraId="7960449D" w14:textId="77777777" w:rsidR="00472729" w:rsidRDefault="00472729" w:rsidP="00472729">
      <w:pPr>
        <w:spacing w:line="360" w:lineRule="auto"/>
        <w:jc w:val="center"/>
        <w:rPr>
          <w:rFonts w:ascii="Arial" w:hAnsi="Arial" w:cs="Arial"/>
          <w:b/>
          <w:bCs/>
          <w:sz w:val="36"/>
          <w:szCs w:val="36"/>
        </w:rPr>
      </w:pPr>
      <w:r w:rsidRPr="00472729">
        <w:rPr>
          <w:rFonts w:ascii="Arial" w:hAnsi="Arial" w:cs="Arial"/>
          <w:b/>
          <w:bCs/>
          <w:sz w:val="36"/>
          <w:szCs w:val="36"/>
        </w:rPr>
        <w:t>Hasmik Samvelyan</w:t>
      </w:r>
    </w:p>
    <w:p w14:paraId="7D353EC1" w14:textId="77777777" w:rsidR="00472729" w:rsidRDefault="00472729" w:rsidP="00472729">
      <w:pPr>
        <w:spacing w:line="360" w:lineRule="auto"/>
        <w:jc w:val="center"/>
        <w:rPr>
          <w:rFonts w:ascii="Arial" w:hAnsi="Arial" w:cs="Arial"/>
          <w:b/>
          <w:bCs/>
          <w:sz w:val="36"/>
          <w:szCs w:val="36"/>
        </w:rPr>
      </w:pPr>
    </w:p>
    <w:p w14:paraId="7EB57EE6" w14:textId="77777777" w:rsidR="001B3480" w:rsidRDefault="001B3480" w:rsidP="000B52FC">
      <w:pPr>
        <w:spacing w:line="360" w:lineRule="auto"/>
        <w:jc w:val="center"/>
        <w:rPr>
          <w:rFonts w:ascii="Arial" w:hAnsi="Arial" w:cs="Arial"/>
          <w:b/>
          <w:bCs/>
          <w:sz w:val="32"/>
          <w:szCs w:val="32"/>
        </w:rPr>
      </w:pPr>
    </w:p>
    <w:p w14:paraId="13D24973" w14:textId="77777777" w:rsidR="00D060CA" w:rsidRDefault="00CE471D" w:rsidP="00F04ACB">
      <w:pPr>
        <w:spacing w:line="360" w:lineRule="auto"/>
        <w:jc w:val="center"/>
        <w:rPr>
          <w:rFonts w:ascii="Arial" w:hAnsi="Arial" w:cs="Arial"/>
          <w:b/>
          <w:bCs/>
          <w:sz w:val="32"/>
          <w:szCs w:val="32"/>
        </w:rPr>
      </w:pPr>
      <w:r>
        <w:rPr>
          <w:rFonts w:ascii="Arial" w:hAnsi="Arial" w:cs="Arial"/>
          <w:b/>
          <w:bCs/>
          <w:sz w:val="32"/>
          <w:szCs w:val="32"/>
        </w:rPr>
        <w:t>T</w:t>
      </w:r>
      <w:r w:rsidR="00472729" w:rsidRPr="00CE471D">
        <w:rPr>
          <w:rFonts w:ascii="Arial" w:hAnsi="Arial" w:cs="Arial"/>
          <w:b/>
          <w:bCs/>
          <w:sz w:val="32"/>
          <w:szCs w:val="32"/>
        </w:rPr>
        <w:t xml:space="preserve">hesis is submitted in accordance with the requirements </w:t>
      </w:r>
      <w:r>
        <w:rPr>
          <w:rFonts w:ascii="Arial" w:hAnsi="Arial" w:cs="Arial"/>
          <w:b/>
          <w:bCs/>
          <w:sz w:val="32"/>
          <w:szCs w:val="32"/>
        </w:rPr>
        <w:t xml:space="preserve">of The University of Sheffield </w:t>
      </w:r>
      <w:r w:rsidR="00472729" w:rsidRPr="00CE471D">
        <w:rPr>
          <w:rFonts w:ascii="Arial" w:hAnsi="Arial" w:cs="Arial"/>
          <w:b/>
          <w:bCs/>
          <w:sz w:val="32"/>
          <w:szCs w:val="32"/>
        </w:rPr>
        <w:t xml:space="preserve">for </w:t>
      </w:r>
      <w:r w:rsidR="00DA2835">
        <w:rPr>
          <w:rFonts w:ascii="Arial" w:hAnsi="Arial" w:cs="Arial"/>
          <w:b/>
          <w:bCs/>
          <w:sz w:val="32"/>
          <w:szCs w:val="32"/>
        </w:rPr>
        <w:t xml:space="preserve">the degree of </w:t>
      </w:r>
    </w:p>
    <w:p w14:paraId="0558790D" w14:textId="77777777" w:rsidR="00472729" w:rsidRPr="00CE471D" w:rsidRDefault="00D060CA" w:rsidP="00F04ACB">
      <w:pPr>
        <w:spacing w:line="360" w:lineRule="auto"/>
        <w:jc w:val="center"/>
        <w:rPr>
          <w:rFonts w:ascii="Arial" w:hAnsi="Arial" w:cs="Arial"/>
          <w:b/>
          <w:bCs/>
          <w:sz w:val="32"/>
          <w:szCs w:val="32"/>
        </w:rPr>
      </w:pPr>
      <w:r>
        <w:rPr>
          <w:rFonts w:ascii="Arial" w:hAnsi="Arial" w:cs="Arial"/>
          <w:b/>
          <w:bCs/>
          <w:sz w:val="32"/>
          <w:szCs w:val="32"/>
        </w:rPr>
        <w:t>Doctor of Philosophy</w:t>
      </w:r>
    </w:p>
    <w:p w14:paraId="2E28AB02" w14:textId="77777777" w:rsidR="00DD7B59" w:rsidRDefault="00DD7B59" w:rsidP="000B52FC">
      <w:pPr>
        <w:jc w:val="center"/>
        <w:rPr>
          <w:sz w:val="36"/>
          <w:szCs w:val="36"/>
        </w:rPr>
      </w:pPr>
    </w:p>
    <w:p w14:paraId="693549E9" w14:textId="77777777" w:rsidR="000B52FC" w:rsidRDefault="000B52FC" w:rsidP="001B3480">
      <w:pPr>
        <w:rPr>
          <w:sz w:val="36"/>
          <w:szCs w:val="36"/>
        </w:rPr>
      </w:pPr>
    </w:p>
    <w:p w14:paraId="3C6155D9" w14:textId="77777777" w:rsidR="000B52FC" w:rsidRDefault="000B52FC" w:rsidP="000B52FC">
      <w:pPr>
        <w:jc w:val="center"/>
        <w:rPr>
          <w:sz w:val="36"/>
          <w:szCs w:val="36"/>
        </w:rPr>
      </w:pPr>
    </w:p>
    <w:p w14:paraId="7D273660" w14:textId="77777777" w:rsidR="000B52FC" w:rsidRPr="000B52FC" w:rsidRDefault="000B52FC" w:rsidP="000B52FC">
      <w:pPr>
        <w:spacing w:line="360" w:lineRule="auto"/>
        <w:jc w:val="center"/>
        <w:rPr>
          <w:rFonts w:ascii="Arial" w:hAnsi="Arial" w:cs="Arial"/>
          <w:b/>
          <w:sz w:val="36"/>
          <w:szCs w:val="36"/>
        </w:rPr>
      </w:pPr>
      <w:r w:rsidRPr="000B52FC">
        <w:rPr>
          <w:rFonts w:ascii="Arial" w:hAnsi="Arial" w:cs="Arial"/>
          <w:b/>
          <w:sz w:val="36"/>
          <w:szCs w:val="36"/>
        </w:rPr>
        <w:t xml:space="preserve">Department of Oncology and Metabolism </w:t>
      </w:r>
    </w:p>
    <w:p w14:paraId="645E0B31" w14:textId="77777777" w:rsidR="000B52FC" w:rsidRDefault="000B52FC" w:rsidP="000B52FC">
      <w:pPr>
        <w:spacing w:line="360" w:lineRule="auto"/>
        <w:jc w:val="center"/>
        <w:rPr>
          <w:rFonts w:ascii="Arial" w:hAnsi="Arial" w:cs="Arial"/>
          <w:b/>
          <w:bCs/>
          <w:sz w:val="36"/>
          <w:szCs w:val="36"/>
        </w:rPr>
      </w:pPr>
      <w:r w:rsidRPr="000B52FC">
        <w:rPr>
          <w:rFonts w:ascii="Arial" w:hAnsi="Arial" w:cs="Arial"/>
          <w:b/>
          <w:bCs/>
          <w:sz w:val="36"/>
          <w:szCs w:val="36"/>
        </w:rPr>
        <w:t>Faculty of Medicine, Dentistry and Health</w:t>
      </w:r>
    </w:p>
    <w:p w14:paraId="06E03CA2" w14:textId="77777777" w:rsidR="007003EB" w:rsidRDefault="007003EB" w:rsidP="007003EB">
      <w:pPr>
        <w:jc w:val="center"/>
        <w:rPr>
          <w:rFonts w:ascii="Arial" w:hAnsi="Arial" w:cs="Arial"/>
          <w:b/>
          <w:sz w:val="32"/>
          <w:szCs w:val="32"/>
        </w:rPr>
      </w:pPr>
    </w:p>
    <w:p w14:paraId="6382C08E" w14:textId="77777777" w:rsidR="0042511C" w:rsidRDefault="00C4184A" w:rsidP="0042511C">
      <w:pPr>
        <w:jc w:val="center"/>
        <w:rPr>
          <w:rFonts w:ascii="Arial" w:hAnsi="Arial" w:cs="Arial"/>
          <w:b/>
          <w:sz w:val="32"/>
          <w:szCs w:val="32"/>
        </w:rPr>
      </w:pPr>
      <w:r>
        <w:rPr>
          <w:rFonts w:ascii="Arial" w:hAnsi="Arial" w:cs="Arial"/>
          <w:b/>
          <w:sz w:val="32"/>
          <w:szCs w:val="32"/>
        </w:rPr>
        <w:t>March</w:t>
      </w:r>
      <w:r w:rsidR="000B5015" w:rsidRPr="00201662">
        <w:rPr>
          <w:rFonts w:ascii="Arial" w:hAnsi="Arial" w:cs="Arial"/>
          <w:b/>
          <w:sz w:val="32"/>
          <w:szCs w:val="32"/>
        </w:rPr>
        <w:t xml:space="preserve"> 2018</w:t>
      </w:r>
    </w:p>
    <w:p w14:paraId="2A220026" w14:textId="77777777" w:rsidR="0042511C" w:rsidRPr="00E541D8" w:rsidRDefault="0042511C" w:rsidP="0042511C">
      <w:pPr>
        <w:jc w:val="center"/>
        <w:rPr>
          <w:rFonts w:ascii="Arial" w:hAnsi="Arial" w:cs="Arial"/>
          <w:b/>
          <w:sz w:val="32"/>
          <w:szCs w:val="32"/>
        </w:rPr>
      </w:pPr>
    </w:p>
    <w:p w14:paraId="756C6F3E" w14:textId="77777777" w:rsidR="00DA46A9" w:rsidRDefault="00E55DA3" w:rsidP="007003EB">
      <w:pPr>
        <w:jc w:val="center"/>
        <w:rPr>
          <w:rFonts w:ascii="Arial" w:hAnsi="Arial" w:cs="Arial"/>
          <w:b/>
          <w:sz w:val="32"/>
          <w:szCs w:val="32"/>
        </w:rPr>
      </w:pPr>
      <w:r w:rsidRPr="00E55DA3">
        <w:rPr>
          <w:rFonts w:ascii="Arial" w:hAnsi="Arial" w:cs="Arial"/>
          <w:b/>
          <w:noProof/>
          <w:sz w:val="32"/>
          <w:szCs w:val="32"/>
          <w:lang w:val="en-US"/>
        </w:rPr>
        <w:drawing>
          <wp:inline distT="0" distB="0" distL="0" distR="0" wp14:anchorId="4D62045A" wp14:editId="444DC823">
            <wp:extent cx="5559320" cy="1844675"/>
            <wp:effectExtent l="0" t="0" r="381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
                      <a:extLst>
                        <a:ext uri="{28A0092B-C50C-407E-A947-70E740481C1C}">
                          <a14:useLocalDpi xmlns:a14="http://schemas.microsoft.com/office/drawing/2010/main" val="0"/>
                        </a:ext>
                      </a:extLst>
                    </a:blip>
                    <a:srcRect l="1907" t="3242" r="1454" b="7375"/>
                    <a:stretch/>
                  </pic:blipFill>
                  <pic:spPr bwMode="auto">
                    <a:xfrm>
                      <a:off x="0" y="0"/>
                      <a:ext cx="5560785" cy="1845161"/>
                    </a:xfrm>
                    <a:prstGeom prst="rect">
                      <a:avLst/>
                    </a:prstGeom>
                    <a:noFill/>
                    <a:ln>
                      <a:noFill/>
                    </a:ln>
                    <a:extLst>
                      <a:ext uri="{53640926-AAD7-44d8-BBD7-CCE9431645EC}">
                        <a14:shadowObscured xmlns:a14="http://schemas.microsoft.com/office/drawing/2010/main"/>
                      </a:ext>
                    </a:extLst>
                  </pic:spPr>
                </pic:pic>
              </a:graphicData>
            </a:graphic>
          </wp:inline>
        </w:drawing>
      </w:r>
    </w:p>
    <w:p w14:paraId="5BF49BA0" w14:textId="77777777" w:rsidR="004850AF" w:rsidRDefault="004850AF" w:rsidP="002B2F1E">
      <w:pPr>
        <w:jc w:val="center"/>
        <w:rPr>
          <w:rFonts w:ascii="Arial" w:hAnsi="Arial" w:cs="Arial"/>
          <w:b/>
          <w:sz w:val="36"/>
          <w:szCs w:val="36"/>
        </w:rPr>
        <w:sectPr w:rsidR="004850AF" w:rsidSect="00E93195">
          <w:footerReference w:type="even" r:id="rId11"/>
          <w:footerReference w:type="default" r:id="rId12"/>
          <w:pgSz w:w="11900" w:h="16840"/>
          <w:pgMar w:top="1134" w:right="1134" w:bottom="1134" w:left="1134" w:header="709" w:footer="709" w:gutter="0"/>
          <w:pgNumType w:start="1" w:chapStyle="1"/>
          <w:cols w:space="708"/>
          <w:titlePg/>
          <w:docGrid w:linePitch="360"/>
        </w:sectPr>
      </w:pPr>
    </w:p>
    <w:p w14:paraId="52033DF0" w14:textId="77777777" w:rsidR="007958CC" w:rsidRDefault="00671F1A" w:rsidP="002B2F1E">
      <w:pPr>
        <w:jc w:val="center"/>
        <w:rPr>
          <w:rFonts w:ascii="Arial" w:hAnsi="Arial" w:cs="Arial"/>
          <w:b/>
          <w:sz w:val="36"/>
          <w:szCs w:val="36"/>
        </w:rPr>
      </w:pPr>
      <w:r w:rsidRPr="00671F1A">
        <w:rPr>
          <w:rFonts w:ascii="Arial" w:hAnsi="Arial" w:cs="Arial"/>
          <w:b/>
          <w:sz w:val="36"/>
          <w:szCs w:val="36"/>
        </w:rPr>
        <w:lastRenderedPageBreak/>
        <w:t>Acknowledgements</w:t>
      </w:r>
    </w:p>
    <w:p w14:paraId="616C00D8" w14:textId="77777777" w:rsidR="00671F1A" w:rsidRPr="00FD24BE" w:rsidRDefault="00671F1A" w:rsidP="00FD24BE">
      <w:pPr>
        <w:jc w:val="center"/>
        <w:rPr>
          <w:rFonts w:ascii="Arial" w:hAnsi="Arial" w:cs="Arial"/>
          <w:b/>
          <w:sz w:val="36"/>
          <w:szCs w:val="36"/>
        </w:rPr>
      </w:pPr>
      <w:r w:rsidRPr="00671F1A">
        <w:rPr>
          <w:rFonts w:ascii="Arial" w:hAnsi="Arial" w:cs="Arial"/>
          <w:b/>
          <w:sz w:val="36"/>
          <w:szCs w:val="36"/>
        </w:rPr>
        <w:t xml:space="preserve"> </w:t>
      </w:r>
    </w:p>
    <w:p w14:paraId="07694473" w14:textId="77777777" w:rsidR="00437483" w:rsidRDefault="00C12053" w:rsidP="00857CE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Times"/>
          <w:color w:val="000000"/>
          <w:szCs w:val="12"/>
          <w:lang w:val="en-US"/>
        </w:rPr>
      </w:pPr>
      <w:r>
        <w:rPr>
          <w:rFonts w:ascii="Arial" w:hAnsi="Arial" w:cs="Arial"/>
        </w:rPr>
        <w:t xml:space="preserve">Firstly, </w:t>
      </w:r>
      <w:r w:rsidR="007958CC">
        <w:rPr>
          <w:rFonts w:ascii="Arial" w:hAnsi="Arial" w:cs="Arial"/>
        </w:rPr>
        <w:t xml:space="preserve">I would like </w:t>
      </w:r>
      <w:r w:rsidR="00FD0C8F">
        <w:rPr>
          <w:rFonts w:ascii="Arial" w:hAnsi="Arial" w:cs="Arial"/>
        </w:rPr>
        <w:t xml:space="preserve">to express my </w:t>
      </w:r>
      <w:r w:rsidR="00857CE8">
        <w:rPr>
          <w:rFonts w:ascii="Arial" w:hAnsi="Arial" w:cs="Arial"/>
        </w:rPr>
        <w:t xml:space="preserve">sincere </w:t>
      </w:r>
      <w:r w:rsidR="00FD0C8F">
        <w:rPr>
          <w:rFonts w:ascii="Arial" w:hAnsi="Arial" w:cs="Arial"/>
        </w:rPr>
        <w:t xml:space="preserve">gratitude </w:t>
      </w:r>
      <w:r w:rsidR="00857CE8">
        <w:rPr>
          <w:rFonts w:ascii="Arial" w:hAnsi="Arial" w:cs="Arial"/>
        </w:rPr>
        <w:t xml:space="preserve">to my </w:t>
      </w:r>
      <w:r w:rsidR="007958CC">
        <w:rPr>
          <w:rFonts w:ascii="Arial" w:hAnsi="Arial" w:cs="Times"/>
          <w:color w:val="000000"/>
          <w:szCs w:val="12"/>
          <w:lang w:val="en-US"/>
        </w:rPr>
        <w:t>supervisors Professor Tim Ske</w:t>
      </w:r>
      <w:r w:rsidR="00857CE8">
        <w:rPr>
          <w:rFonts w:ascii="Arial" w:hAnsi="Arial" w:cs="Times"/>
          <w:color w:val="000000"/>
          <w:szCs w:val="12"/>
          <w:lang w:val="en-US"/>
        </w:rPr>
        <w:t xml:space="preserve">rry and </w:t>
      </w:r>
      <w:r w:rsidR="00186DBE">
        <w:rPr>
          <w:rFonts w:ascii="Arial" w:hAnsi="Arial" w:cs="Times"/>
          <w:color w:val="000000"/>
          <w:szCs w:val="12"/>
          <w:lang w:val="en-US"/>
        </w:rPr>
        <w:t xml:space="preserve">Professor </w:t>
      </w:r>
      <w:r w:rsidR="00857CE8">
        <w:rPr>
          <w:rFonts w:ascii="Arial" w:hAnsi="Arial" w:cs="Times"/>
          <w:color w:val="000000"/>
          <w:szCs w:val="12"/>
          <w:lang w:val="en-US"/>
        </w:rPr>
        <w:t xml:space="preserve">John Mathers for </w:t>
      </w:r>
      <w:r w:rsidR="00584C99">
        <w:rPr>
          <w:rFonts w:ascii="Arial" w:hAnsi="Arial" w:cs="Times"/>
          <w:color w:val="000000"/>
          <w:szCs w:val="12"/>
          <w:lang w:val="en-US"/>
        </w:rPr>
        <w:t>offering</w:t>
      </w:r>
      <w:r w:rsidR="005A5246">
        <w:rPr>
          <w:rFonts w:ascii="Arial" w:hAnsi="Arial" w:cs="Times"/>
          <w:color w:val="000000"/>
          <w:szCs w:val="12"/>
          <w:lang w:val="en-US"/>
        </w:rPr>
        <w:t xml:space="preserve"> invaluable</w:t>
      </w:r>
      <w:r w:rsidR="00584C99">
        <w:rPr>
          <w:rFonts w:ascii="Arial" w:hAnsi="Arial" w:cs="Times"/>
          <w:color w:val="000000"/>
          <w:szCs w:val="12"/>
          <w:lang w:val="en-US"/>
        </w:rPr>
        <w:t xml:space="preserve"> advice</w:t>
      </w:r>
      <w:r w:rsidR="00857CE8">
        <w:rPr>
          <w:rFonts w:ascii="Arial" w:hAnsi="Arial" w:cs="Times"/>
          <w:color w:val="000000"/>
          <w:szCs w:val="12"/>
          <w:lang w:val="en-US"/>
        </w:rPr>
        <w:t xml:space="preserve">, </w:t>
      </w:r>
      <w:r w:rsidR="00D77884">
        <w:rPr>
          <w:rFonts w:ascii="Arial" w:hAnsi="Arial" w:cs="Times"/>
          <w:color w:val="000000"/>
          <w:szCs w:val="12"/>
          <w:lang w:val="en-US"/>
        </w:rPr>
        <w:t xml:space="preserve">unconditional </w:t>
      </w:r>
      <w:r w:rsidR="00857CE8">
        <w:rPr>
          <w:rFonts w:ascii="Arial" w:hAnsi="Arial" w:cs="Times"/>
          <w:color w:val="000000"/>
          <w:szCs w:val="12"/>
          <w:lang w:val="en-US"/>
        </w:rPr>
        <w:t xml:space="preserve">trust and </w:t>
      </w:r>
      <w:r w:rsidR="00D77884">
        <w:rPr>
          <w:rFonts w:ascii="Arial" w:hAnsi="Arial" w:cs="Times"/>
          <w:color w:val="000000"/>
          <w:szCs w:val="12"/>
          <w:lang w:val="en-US"/>
        </w:rPr>
        <w:t xml:space="preserve">words of </w:t>
      </w:r>
      <w:r w:rsidR="00584C99">
        <w:rPr>
          <w:rFonts w:ascii="Arial" w:hAnsi="Arial" w:cs="Times"/>
          <w:color w:val="000000"/>
          <w:szCs w:val="12"/>
          <w:lang w:val="en-US"/>
        </w:rPr>
        <w:t>encouragement</w:t>
      </w:r>
      <w:r w:rsidR="00857CE8">
        <w:rPr>
          <w:rFonts w:ascii="Arial" w:hAnsi="Arial" w:cs="Times"/>
          <w:color w:val="000000"/>
          <w:szCs w:val="12"/>
          <w:lang w:val="en-US"/>
        </w:rPr>
        <w:t xml:space="preserve"> </w:t>
      </w:r>
      <w:r w:rsidR="00DB1414">
        <w:rPr>
          <w:rFonts w:ascii="Arial" w:hAnsi="Arial" w:cs="Times"/>
          <w:color w:val="000000"/>
          <w:szCs w:val="12"/>
          <w:lang w:val="en-US"/>
        </w:rPr>
        <w:t xml:space="preserve">throughout the course of </w:t>
      </w:r>
      <w:r w:rsidR="002F31DC">
        <w:rPr>
          <w:rFonts w:ascii="Arial" w:hAnsi="Arial" w:cs="Times"/>
          <w:color w:val="000000"/>
          <w:szCs w:val="12"/>
          <w:lang w:val="en-US"/>
        </w:rPr>
        <w:t xml:space="preserve">this </w:t>
      </w:r>
      <w:r w:rsidR="00DB1414">
        <w:rPr>
          <w:rFonts w:ascii="Arial" w:hAnsi="Arial" w:cs="Times"/>
          <w:color w:val="000000"/>
          <w:szCs w:val="12"/>
          <w:lang w:val="en-US"/>
        </w:rPr>
        <w:t>project</w:t>
      </w:r>
      <w:r w:rsidR="00857CE8">
        <w:rPr>
          <w:rFonts w:ascii="Arial" w:hAnsi="Arial" w:cs="Times"/>
          <w:color w:val="000000"/>
          <w:szCs w:val="12"/>
          <w:lang w:val="en-US"/>
        </w:rPr>
        <w:t xml:space="preserve">. </w:t>
      </w:r>
      <w:r w:rsidR="008F0242">
        <w:rPr>
          <w:rFonts w:ascii="Arial" w:hAnsi="Arial" w:cs="Times"/>
          <w:color w:val="000000"/>
          <w:szCs w:val="12"/>
          <w:lang w:val="en-US"/>
        </w:rPr>
        <w:t>They inspired me with their</w:t>
      </w:r>
      <w:r>
        <w:rPr>
          <w:rFonts w:ascii="Arial" w:hAnsi="Arial" w:cs="Times"/>
          <w:color w:val="000000"/>
          <w:szCs w:val="12"/>
          <w:lang w:val="en-US"/>
        </w:rPr>
        <w:t xml:space="preserve"> dedication</w:t>
      </w:r>
      <w:r w:rsidR="00A93DE4">
        <w:rPr>
          <w:rFonts w:ascii="Arial" w:hAnsi="Arial" w:cs="Times"/>
          <w:color w:val="000000"/>
          <w:szCs w:val="12"/>
          <w:lang w:val="en-US"/>
        </w:rPr>
        <w:t xml:space="preserve"> and enthusiasm</w:t>
      </w:r>
      <w:r>
        <w:rPr>
          <w:rFonts w:ascii="Arial" w:hAnsi="Arial" w:cs="Times"/>
          <w:color w:val="000000"/>
          <w:szCs w:val="12"/>
          <w:lang w:val="en-US"/>
        </w:rPr>
        <w:t xml:space="preserve"> </w:t>
      </w:r>
      <w:r w:rsidR="00690811">
        <w:rPr>
          <w:rFonts w:ascii="Arial" w:hAnsi="Arial" w:cs="Times"/>
          <w:color w:val="000000"/>
          <w:szCs w:val="12"/>
          <w:lang w:val="en-US"/>
        </w:rPr>
        <w:t>each day</w:t>
      </w:r>
      <w:r w:rsidR="00677D8D">
        <w:rPr>
          <w:rFonts w:ascii="Arial" w:hAnsi="Arial" w:cs="Times"/>
          <w:color w:val="000000"/>
          <w:szCs w:val="12"/>
          <w:lang w:val="en-US"/>
        </w:rPr>
        <w:t>, and pushed me farther</w:t>
      </w:r>
      <w:r w:rsidR="00690811">
        <w:rPr>
          <w:rFonts w:ascii="Arial" w:hAnsi="Arial" w:cs="Times"/>
          <w:color w:val="000000"/>
          <w:szCs w:val="12"/>
          <w:lang w:val="en-US"/>
        </w:rPr>
        <w:t xml:space="preserve"> </w:t>
      </w:r>
      <w:r w:rsidR="000275A7">
        <w:rPr>
          <w:rFonts w:ascii="Arial" w:hAnsi="Arial" w:cs="Times"/>
          <w:color w:val="000000"/>
          <w:szCs w:val="12"/>
          <w:lang w:val="en-US"/>
        </w:rPr>
        <w:t xml:space="preserve">to </w:t>
      </w:r>
      <w:r w:rsidR="004B67C5">
        <w:rPr>
          <w:rFonts w:ascii="Arial" w:hAnsi="Arial" w:cs="Times"/>
          <w:color w:val="000000"/>
          <w:szCs w:val="12"/>
          <w:lang w:val="en-US"/>
        </w:rPr>
        <w:t xml:space="preserve">be the best </w:t>
      </w:r>
      <w:r w:rsidR="008F0242">
        <w:rPr>
          <w:rFonts w:ascii="Arial" w:hAnsi="Arial" w:cs="Times"/>
          <w:color w:val="000000"/>
          <w:szCs w:val="12"/>
          <w:lang w:val="en-US"/>
        </w:rPr>
        <w:t>I could be.</w:t>
      </w:r>
      <w:r w:rsidR="000275A7">
        <w:rPr>
          <w:rFonts w:ascii="Arial" w:hAnsi="Arial" w:cs="Times"/>
          <w:color w:val="000000"/>
          <w:szCs w:val="12"/>
          <w:lang w:val="en-US"/>
        </w:rPr>
        <w:t xml:space="preserve"> </w:t>
      </w:r>
      <w:r w:rsidR="00437483">
        <w:rPr>
          <w:rFonts w:ascii="Arial" w:hAnsi="Arial" w:cs="Times"/>
          <w:color w:val="000000"/>
          <w:szCs w:val="12"/>
          <w:lang w:val="en-US"/>
        </w:rPr>
        <w:t>Thank you for your continuous guidance and unwavering support</w:t>
      </w:r>
      <w:r w:rsidR="00DB1414">
        <w:rPr>
          <w:rFonts w:ascii="Arial" w:hAnsi="Arial" w:cs="Times"/>
          <w:color w:val="000000"/>
          <w:szCs w:val="12"/>
          <w:lang w:val="en-US"/>
        </w:rPr>
        <w:t>.</w:t>
      </w:r>
    </w:p>
    <w:p w14:paraId="6C73AB6B" w14:textId="77777777" w:rsidR="00857CE8" w:rsidRDefault="00857CE8" w:rsidP="007958C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Times"/>
          <w:color w:val="000000"/>
          <w:szCs w:val="12"/>
          <w:lang w:val="en-US"/>
        </w:rPr>
      </w:pPr>
    </w:p>
    <w:p w14:paraId="2C841831" w14:textId="77777777" w:rsidR="000971EB" w:rsidRDefault="00444735"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Times"/>
          <w:color w:val="000000"/>
          <w:szCs w:val="12"/>
          <w:lang w:val="en-US"/>
        </w:rPr>
      </w:pPr>
      <w:r>
        <w:rPr>
          <w:rFonts w:ascii="Arial" w:hAnsi="Arial" w:cs="Times"/>
          <w:color w:val="000000"/>
          <w:szCs w:val="12"/>
          <w:lang w:val="en-US"/>
        </w:rPr>
        <w:t>This project would not be possible w</w:t>
      </w:r>
      <w:r w:rsidR="00123FE7">
        <w:rPr>
          <w:rFonts w:ascii="Arial" w:hAnsi="Arial" w:cs="Times"/>
          <w:color w:val="000000"/>
          <w:szCs w:val="12"/>
          <w:lang w:val="en-US"/>
        </w:rPr>
        <w:t>ithou</w:t>
      </w:r>
      <w:r>
        <w:rPr>
          <w:rFonts w:ascii="Arial" w:hAnsi="Arial" w:cs="Times"/>
          <w:color w:val="000000"/>
          <w:szCs w:val="12"/>
          <w:lang w:val="en-US"/>
        </w:rPr>
        <w:t xml:space="preserve">t support and funding of </w:t>
      </w:r>
      <w:r w:rsidR="00071443">
        <w:rPr>
          <w:rFonts w:ascii="Arial" w:hAnsi="Arial" w:cs="Times"/>
          <w:color w:val="000000"/>
          <w:szCs w:val="12"/>
          <w:lang w:val="en-US"/>
        </w:rPr>
        <w:t>t</w:t>
      </w:r>
      <w:r>
        <w:rPr>
          <w:rFonts w:ascii="Arial" w:hAnsi="Arial" w:cs="Times"/>
          <w:color w:val="000000"/>
          <w:szCs w:val="12"/>
          <w:lang w:val="en-US"/>
        </w:rPr>
        <w:t xml:space="preserve">he </w:t>
      </w:r>
      <w:r w:rsidR="00071443">
        <w:rPr>
          <w:rFonts w:ascii="Arial" w:hAnsi="Arial" w:cs="Times"/>
          <w:color w:val="000000"/>
          <w:szCs w:val="12"/>
          <w:lang w:val="en-US"/>
        </w:rPr>
        <w:t xml:space="preserve">Medical Research Council (MRC) - Arthritis Research UK </w:t>
      </w:r>
      <w:r w:rsidR="00806887">
        <w:rPr>
          <w:rFonts w:ascii="Arial" w:hAnsi="Arial" w:cs="Times"/>
          <w:color w:val="000000"/>
          <w:szCs w:val="12"/>
          <w:lang w:val="en-US"/>
        </w:rPr>
        <w:t>Ce</w:t>
      </w:r>
      <w:r>
        <w:rPr>
          <w:rFonts w:ascii="Arial" w:hAnsi="Arial" w:cs="Times"/>
          <w:color w:val="000000"/>
          <w:szCs w:val="12"/>
          <w:lang w:val="en-US"/>
        </w:rPr>
        <w:t>ntre for I</w:t>
      </w:r>
      <w:r w:rsidR="00806887">
        <w:rPr>
          <w:rFonts w:ascii="Arial" w:hAnsi="Arial" w:cs="Times"/>
          <w:color w:val="000000"/>
          <w:szCs w:val="12"/>
          <w:lang w:val="en-US"/>
        </w:rPr>
        <w:t>ntegrated resea</w:t>
      </w:r>
      <w:r>
        <w:rPr>
          <w:rFonts w:ascii="Arial" w:hAnsi="Arial" w:cs="Times"/>
          <w:color w:val="000000"/>
          <w:szCs w:val="12"/>
          <w:lang w:val="en-US"/>
        </w:rPr>
        <w:t>rch into Musculoskeletal Ageing (CIMA).</w:t>
      </w:r>
      <w:r w:rsidR="00071443">
        <w:rPr>
          <w:rFonts w:ascii="Arial" w:hAnsi="Arial" w:cs="Times"/>
          <w:color w:val="000000"/>
          <w:szCs w:val="12"/>
          <w:lang w:val="en-US"/>
        </w:rPr>
        <w:t xml:space="preserve"> </w:t>
      </w:r>
      <w:r w:rsidR="00430917">
        <w:rPr>
          <w:rFonts w:ascii="Arial" w:hAnsi="Arial" w:cs="Times"/>
          <w:color w:val="000000"/>
          <w:szCs w:val="12"/>
          <w:lang w:val="en-US"/>
        </w:rPr>
        <w:t xml:space="preserve">The </w:t>
      </w:r>
      <w:r w:rsidR="00562D24">
        <w:rPr>
          <w:rFonts w:ascii="Arial" w:hAnsi="Arial" w:cs="Times"/>
          <w:color w:val="000000"/>
          <w:szCs w:val="12"/>
          <w:lang w:val="en-US"/>
        </w:rPr>
        <w:t>CIMA MRes/PhD studentship</w:t>
      </w:r>
      <w:r w:rsidR="00AA553E">
        <w:rPr>
          <w:rFonts w:ascii="Arial" w:hAnsi="Arial" w:cs="Times"/>
          <w:color w:val="000000"/>
          <w:szCs w:val="12"/>
          <w:lang w:val="en-US"/>
        </w:rPr>
        <w:t xml:space="preserve"> </w:t>
      </w:r>
      <w:r w:rsidR="00C16134">
        <w:rPr>
          <w:rFonts w:ascii="Arial" w:hAnsi="Arial" w:cs="Times"/>
          <w:color w:val="000000"/>
          <w:szCs w:val="12"/>
          <w:lang w:val="en-US"/>
        </w:rPr>
        <w:t>award enabled</w:t>
      </w:r>
      <w:r w:rsidR="00AA553E">
        <w:rPr>
          <w:rFonts w:ascii="Arial" w:hAnsi="Arial" w:cs="Times"/>
          <w:color w:val="000000"/>
          <w:szCs w:val="12"/>
          <w:lang w:val="en-US"/>
        </w:rPr>
        <w:t xml:space="preserve"> </w:t>
      </w:r>
      <w:r w:rsidR="00295965">
        <w:rPr>
          <w:rFonts w:ascii="Arial" w:hAnsi="Arial" w:cs="Times"/>
          <w:color w:val="000000"/>
          <w:szCs w:val="12"/>
          <w:lang w:val="en-US"/>
        </w:rPr>
        <w:t xml:space="preserve">to collaborate </w:t>
      </w:r>
      <w:r w:rsidR="00430917">
        <w:rPr>
          <w:rFonts w:ascii="Arial" w:hAnsi="Arial" w:cs="Times"/>
          <w:color w:val="000000"/>
          <w:szCs w:val="12"/>
          <w:lang w:val="en-US"/>
        </w:rPr>
        <w:t xml:space="preserve">with </w:t>
      </w:r>
      <w:r w:rsidR="007358E1">
        <w:rPr>
          <w:rFonts w:ascii="Arial" w:hAnsi="Arial" w:cs="Times"/>
          <w:color w:val="000000"/>
          <w:szCs w:val="12"/>
          <w:lang w:val="en-US"/>
        </w:rPr>
        <w:t xml:space="preserve">Human Nutrition Research Centre at </w:t>
      </w:r>
      <w:r w:rsidR="00295965">
        <w:rPr>
          <w:rFonts w:ascii="Arial" w:hAnsi="Arial" w:cs="Times"/>
          <w:color w:val="000000"/>
          <w:szCs w:val="12"/>
          <w:lang w:val="en-US"/>
        </w:rPr>
        <w:t>Newcastle University</w:t>
      </w:r>
      <w:r w:rsidR="00071443">
        <w:rPr>
          <w:rFonts w:ascii="Arial" w:hAnsi="Arial" w:cs="Times"/>
          <w:color w:val="000000"/>
          <w:szCs w:val="12"/>
          <w:lang w:val="en-US"/>
        </w:rPr>
        <w:t xml:space="preserve"> </w:t>
      </w:r>
      <w:r w:rsidR="005E4821">
        <w:rPr>
          <w:rFonts w:ascii="Arial" w:hAnsi="Arial" w:cs="Times"/>
          <w:color w:val="000000"/>
          <w:szCs w:val="12"/>
          <w:lang w:val="en-US"/>
        </w:rPr>
        <w:t>and have</w:t>
      </w:r>
      <w:r w:rsidR="00826B13">
        <w:rPr>
          <w:rFonts w:ascii="Arial" w:hAnsi="Arial" w:cs="Times"/>
          <w:color w:val="000000"/>
          <w:szCs w:val="12"/>
          <w:lang w:val="en-US"/>
        </w:rPr>
        <w:t xml:space="preserve"> </w:t>
      </w:r>
      <w:r w:rsidR="00EF33EE">
        <w:rPr>
          <w:rFonts w:ascii="Arial" w:hAnsi="Arial" w:cs="Times"/>
          <w:color w:val="000000"/>
          <w:szCs w:val="12"/>
          <w:lang w:val="en-US"/>
        </w:rPr>
        <w:t xml:space="preserve">access to </w:t>
      </w:r>
      <w:r w:rsidR="00606F7C">
        <w:rPr>
          <w:rFonts w:ascii="Arial" w:hAnsi="Arial" w:cs="Times"/>
          <w:color w:val="000000"/>
          <w:szCs w:val="12"/>
          <w:lang w:val="en-US"/>
        </w:rPr>
        <w:t xml:space="preserve">outstanding </w:t>
      </w:r>
      <w:r w:rsidR="00EF33EE">
        <w:rPr>
          <w:rFonts w:ascii="Arial" w:hAnsi="Arial" w:cs="Times"/>
          <w:color w:val="000000"/>
          <w:szCs w:val="12"/>
          <w:lang w:val="en-US"/>
        </w:rPr>
        <w:t>expertise</w:t>
      </w:r>
      <w:r w:rsidR="00673615">
        <w:rPr>
          <w:rFonts w:ascii="Arial" w:hAnsi="Arial" w:cs="Times"/>
          <w:color w:val="000000"/>
          <w:szCs w:val="12"/>
          <w:lang w:val="en-US"/>
        </w:rPr>
        <w:t xml:space="preserve"> and research facilities</w:t>
      </w:r>
      <w:r w:rsidR="00606F7C">
        <w:rPr>
          <w:rFonts w:ascii="Arial" w:hAnsi="Arial" w:cs="Times"/>
          <w:color w:val="000000"/>
          <w:szCs w:val="12"/>
          <w:lang w:val="en-US"/>
        </w:rPr>
        <w:t xml:space="preserve"> from two different Universities</w:t>
      </w:r>
      <w:r w:rsidR="007358E1">
        <w:rPr>
          <w:rFonts w:ascii="Arial" w:hAnsi="Arial" w:cs="Times"/>
          <w:color w:val="000000"/>
          <w:szCs w:val="12"/>
          <w:lang w:val="en-US"/>
        </w:rPr>
        <w:t xml:space="preserve">. </w:t>
      </w:r>
      <w:r>
        <w:rPr>
          <w:rFonts w:ascii="Arial" w:hAnsi="Arial" w:cs="Times"/>
          <w:color w:val="000000"/>
          <w:szCs w:val="12"/>
          <w:lang w:val="en-US"/>
        </w:rPr>
        <w:t xml:space="preserve"> </w:t>
      </w:r>
    </w:p>
    <w:p w14:paraId="62A0CE10" w14:textId="77777777" w:rsidR="000971EB" w:rsidRDefault="000971EB"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Times"/>
          <w:color w:val="000000"/>
          <w:szCs w:val="12"/>
          <w:lang w:val="en-US"/>
        </w:rPr>
      </w:pPr>
    </w:p>
    <w:p w14:paraId="4E0E39D7" w14:textId="77777777" w:rsidR="0010465F" w:rsidRDefault="00AD7395"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Times"/>
          <w:color w:val="000000"/>
          <w:szCs w:val="12"/>
          <w:lang w:val="en-US"/>
        </w:rPr>
      </w:pPr>
      <w:r>
        <w:rPr>
          <w:rFonts w:ascii="Arial" w:hAnsi="Arial" w:cs="Times"/>
          <w:color w:val="000000"/>
          <w:szCs w:val="12"/>
          <w:lang w:val="en-US"/>
        </w:rPr>
        <w:t xml:space="preserve">I would like to thank my colleagues from our laboratory – Dr Gareth Richards for his guidance and support with </w:t>
      </w:r>
      <w:r w:rsidRPr="00BB7A05">
        <w:rPr>
          <w:rFonts w:ascii="Arial" w:hAnsi="Arial" w:cs="Times"/>
          <w:i/>
          <w:color w:val="000000"/>
          <w:szCs w:val="12"/>
          <w:lang w:val="en-US"/>
        </w:rPr>
        <w:t>in vitro</w:t>
      </w:r>
      <w:r w:rsidR="00F313D8">
        <w:rPr>
          <w:rFonts w:ascii="Arial" w:hAnsi="Arial" w:cs="Times"/>
          <w:color w:val="000000"/>
          <w:szCs w:val="12"/>
          <w:lang w:val="en-US"/>
        </w:rPr>
        <w:t xml:space="preserve"> techniques, Dr</w:t>
      </w:r>
      <w:r>
        <w:rPr>
          <w:rFonts w:ascii="Arial" w:hAnsi="Arial" w:cs="Times"/>
          <w:color w:val="000000"/>
          <w:szCs w:val="12"/>
          <w:lang w:val="en-US"/>
        </w:rPr>
        <w:t xml:space="preserve"> Ning Wang and </w:t>
      </w:r>
      <w:r w:rsidR="00F313D8">
        <w:rPr>
          <w:rFonts w:ascii="Arial" w:hAnsi="Arial" w:cs="Times"/>
          <w:color w:val="000000"/>
          <w:szCs w:val="12"/>
          <w:lang w:val="en-US"/>
        </w:rPr>
        <w:t xml:space="preserve">Dr </w:t>
      </w:r>
      <w:r>
        <w:rPr>
          <w:rFonts w:ascii="Arial" w:hAnsi="Arial" w:cs="Times"/>
          <w:color w:val="000000"/>
          <w:szCs w:val="12"/>
          <w:lang w:val="en-US"/>
        </w:rPr>
        <w:t xml:space="preserve">Stephanie Borg for providing the </w:t>
      </w:r>
      <w:r w:rsidRPr="00AB6525">
        <w:rPr>
          <w:rFonts w:ascii="Arial" w:hAnsi="Arial" w:cs="Times"/>
          <w:i/>
          <w:color w:val="000000"/>
          <w:szCs w:val="12"/>
          <w:lang w:val="en-US"/>
        </w:rPr>
        <w:t>in vivo</w:t>
      </w:r>
      <w:r w:rsidR="008E0B27">
        <w:rPr>
          <w:rFonts w:ascii="Arial" w:hAnsi="Arial" w:cs="Times"/>
          <w:color w:val="000000"/>
          <w:szCs w:val="12"/>
          <w:lang w:val="en-US"/>
        </w:rPr>
        <w:t xml:space="preserve"> training required.</w:t>
      </w:r>
      <w:r>
        <w:rPr>
          <w:rFonts w:ascii="Arial" w:hAnsi="Arial" w:cs="Times"/>
          <w:color w:val="000000"/>
          <w:szCs w:val="12"/>
          <w:lang w:val="en-US"/>
        </w:rPr>
        <w:t xml:space="preserve"> </w:t>
      </w:r>
      <w:r w:rsidR="00955479">
        <w:rPr>
          <w:rFonts w:ascii="Arial" w:hAnsi="Arial" w:cs="Times"/>
          <w:color w:val="000000"/>
          <w:szCs w:val="12"/>
          <w:lang w:val="en-US"/>
        </w:rPr>
        <w:t xml:space="preserve">A big </w:t>
      </w:r>
      <w:proofErr w:type="gramStart"/>
      <w:r w:rsidR="00955479">
        <w:rPr>
          <w:rFonts w:ascii="Arial" w:hAnsi="Arial" w:cs="Times"/>
          <w:color w:val="000000"/>
          <w:szCs w:val="12"/>
          <w:lang w:val="en-US"/>
        </w:rPr>
        <w:t>thank</w:t>
      </w:r>
      <w:proofErr w:type="gramEnd"/>
      <w:r w:rsidR="00955479">
        <w:rPr>
          <w:rFonts w:ascii="Arial" w:hAnsi="Arial" w:cs="Times"/>
          <w:color w:val="000000"/>
          <w:szCs w:val="12"/>
          <w:lang w:val="en-US"/>
        </w:rPr>
        <w:t xml:space="preserve"> you to </w:t>
      </w:r>
      <w:r>
        <w:rPr>
          <w:rFonts w:ascii="Arial" w:hAnsi="Arial" w:cs="Times"/>
          <w:color w:val="000000"/>
          <w:szCs w:val="12"/>
          <w:lang w:val="en-US"/>
        </w:rPr>
        <w:t>Dr Enrico Da</w:t>
      </w:r>
      <w:r w:rsidR="005E01AE">
        <w:rPr>
          <w:rFonts w:ascii="Arial" w:hAnsi="Arial" w:cs="Times"/>
          <w:color w:val="000000"/>
          <w:szCs w:val="12"/>
          <w:lang w:val="en-US"/>
        </w:rPr>
        <w:t>ll’Ara</w:t>
      </w:r>
      <w:r w:rsidR="00955479">
        <w:rPr>
          <w:rFonts w:ascii="Arial" w:hAnsi="Arial" w:cs="Times"/>
          <w:color w:val="000000"/>
          <w:szCs w:val="12"/>
          <w:lang w:val="en-US"/>
        </w:rPr>
        <w:t>, Orla Gallagher</w:t>
      </w:r>
      <w:r w:rsidR="005E01AE">
        <w:rPr>
          <w:rFonts w:ascii="Arial" w:hAnsi="Arial" w:cs="Times"/>
          <w:color w:val="000000"/>
          <w:szCs w:val="12"/>
          <w:lang w:val="en-US"/>
        </w:rPr>
        <w:t xml:space="preserve"> </w:t>
      </w:r>
      <w:r w:rsidR="00B845EB">
        <w:rPr>
          <w:rFonts w:ascii="Arial" w:hAnsi="Arial" w:cs="Times"/>
          <w:color w:val="000000"/>
          <w:szCs w:val="12"/>
          <w:lang w:val="en-US"/>
        </w:rPr>
        <w:t xml:space="preserve">and Kirsty Nicholson </w:t>
      </w:r>
      <w:r>
        <w:rPr>
          <w:rFonts w:ascii="Arial" w:hAnsi="Arial" w:cs="Times"/>
          <w:color w:val="000000"/>
          <w:szCs w:val="12"/>
          <w:lang w:val="en-US"/>
        </w:rPr>
        <w:t xml:space="preserve">from </w:t>
      </w:r>
      <w:r w:rsidR="001F52AC">
        <w:rPr>
          <w:rFonts w:ascii="Arial" w:hAnsi="Arial" w:cs="Times"/>
          <w:color w:val="000000"/>
          <w:szCs w:val="12"/>
          <w:lang w:val="en-US"/>
        </w:rPr>
        <w:t xml:space="preserve">the </w:t>
      </w:r>
      <w:r>
        <w:rPr>
          <w:rFonts w:ascii="Arial" w:hAnsi="Arial" w:cs="Times"/>
          <w:color w:val="000000"/>
          <w:szCs w:val="12"/>
          <w:lang w:val="en-US"/>
        </w:rPr>
        <w:t>Skel</w:t>
      </w:r>
      <w:r w:rsidR="00AB422E">
        <w:rPr>
          <w:rFonts w:ascii="Arial" w:hAnsi="Arial" w:cs="Times"/>
          <w:color w:val="000000"/>
          <w:szCs w:val="12"/>
          <w:lang w:val="en-US"/>
        </w:rPr>
        <w:t>e</w:t>
      </w:r>
      <w:r>
        <w:rPr>
          <w:rFonts w:ascii="Arial" w:hAnsi="Arial" w:cs="Times"/>
          <w:color w:val="000000"/>
          <w:szCs w:val="12"/>
          <w:lang w:val="en-US"/>
        </w:rPr>
        <w:t>t</w:t>
      </w:r>
      <w:r w:rsidR="005E01AE">
        <w:rPr>
          <w:rFonts w:ascii="Arial" w:hAnsi="Arial" w:cs="Times"/>
          <w:color w:val="000000"/>
          <w:szCs w:val="12"/>
          <w:lang w:val="en-US"/>
        </w:rPr>
        <w:t>.</w:t>
      </w:r>
      <w:r>
        <w:rPr>
          <w:rFonts w:ascii="Arial" w:hAnsi="Arial" w:cs="Times"/>
          <w:color w:val="000000"/>
          <w:szCs w:val="12"/>
          <w:lang w:val="en-US"/>
        </w:rPr>
        <w:t xml:space="preserve">AL laboratories </w:t>
      </w:r>
      <w:r w:rsidR="00955479">
        <w:rPr>
          <w:rFonts w:ascii="Arial" w:hAnsi="Arial" w:cs="Times"/>
          <w:color w:val="000000"/>
          <w:szCs w:val="12"/>
          <w:lang w:val="en-US"/>
        </w:rPr>
        <w:t>for</w:t>
      </w:r>
      <w:r>
        <w:rPr>
          <w:rFonts w:ascii="Arial" w:hAnsi="Arial" w:cs="Times"/>
          <w:color w:val="000000"/>
          <w:szCs w:val="12"/>
          <w:lang w:val="en-US"/>
        </w:rPr>
        <w:t xml:space="preserve"> </w:t>
      </w:r>
      <w:r w:rsidR="00955479">
        <w:rPr>
          <w:rFonts w:ascii="Arial" w:hAnsi="Arial" w:cs="Times"/>
          <w:color w:val="000000"/>
          <w:szCs w:val="12"/>
          <w:lang w:val="en-US"/>
        </w:rPr>
        <w:t xml:space="preserve">their </w:t>
      </w:r>
      <w:r w:rsidRPr="00D37AE2">
        <w:rPr>
          <w:rFonts w:ascii="Arial" w:hAnsi="Arial" w:cs="Times"/>
          <w:color w:val="000000"/>
          <w:szCs w:val="12"/>
          <w:lang w:val="en-US"/>
        </w:rPr>
        <w:t>expert tuition</w:t>
      </w:r>
      <w:r w:rsidR="004E669A">
        <w:rPr>
          <w:rFonts w:ascii="Arial" w:hAnsi="Arial" w:cs="Times"/>
          <w:color w:val="000000"/>
          <w:szCs w:val="12"/>
          <w:lang w:val="en-US"/>
        </w:rPr>
        <w:t xml:space="preserve"> in imaging</w:t>
      </w:r>
      <w:r w:rsidR="00671C3F">
        <w:rPr>
          <w:rFonts w:ascii="Arial" w:hAnsi="Arial" w:cs="Times"/>
          <w:color w:val="000000"/>
          <w:szCs w:val="12"/>
          <w:lang w:val="en-US"/>
        </w:rPr>
        <w:t xml:space="preserve"> and </w:t>
      </w:r>
      <w:r w:rsidR="00955479">
        <w:rPr>
          <w:rFonts w:ascii="Arial" w:hAnsi="Arial" w:cs="Times"/>
          <w:color w:val="000000"/>
          <w:szCs w:val="12"/>
          <w:lang w:val="en-US"/>
        </w:rPr>
        <w:t>histological sectioning</w:t>
      </w:r>
      <w:r>
        <w:rPr>
          <w:rFonts w:ascii="Arial" w:hAnsi="Arial" w:cs="Times"/>
          <w:color w:val="000000"/>
          <w:szCs w:val="12"/>
          <w:lang w:val="en-US"/>
        </w:rPr>
        <w:t xml:space="preserve">. </w:t>
      </w:r>
      <w:r w:rsidR="0010465F">
        <w:rPr>
          <w:rFonts w:ascii="Arial" w:hAnsi="Arial" w:cs="Times"/>
          <w:color w:val="000000"/>
          <w:szCs w:val="12"/>
          <w:lang w:val="en-US"/>
        </w:rPr>
        <w:t>I also wish to thank</w:t>
      </w:r>
      <w:r w:rsidR="000971EB">
        <w:rPr>
          <w:rFonts w:ascii="Arial" w:hAnsi="Arial" w:cs="Times"/>
          <w:color w:val="000000"/>
          <w:szCs w:val="12"/>
          <w:lang w:val="en-US"/>
        </w:rPr>
        <w:t xml:space="preserve"> </w:t>
      </w:r>
      <w:r w:rsidR="0010465F">
        <w:rPr>
          <w:rFonts w:ascii="Arial" w:hAnsi="Arial" w:cs="Times"/>
          <w:color w:val="000000"/>
          <w:szCs w:val="12"/>
          <w:lang w:val="en-US"/>
        </w:rPr>
        <w:t>Rachel, Beka, Michelle and Carol from</w:t>
      </w:r>
      <w:r w:rsidR="005E01AE">
        <w:rPr>
          <w:rFonts w:ascii="Arial" w:hAnsi="Arial" w:cs="Times"/>
          <w:color w:val="000000"/>
          <w:szCs w:val="12"/>
          <w:lang w:val="en-US"/>
        </w:rPr>
        <w:t xml:space="preserve"> </w:t>
      </w:r>
      <w:r w:rsidR="000971EB">
        <w:rPr>
          <w:rFonts w:ascii="Arial" w:hAnsi="Arial" w:cs="Times"/>
          <w:color w:val="000000"/>
          <w:szCs w:val="12"/>
          <w:lang w:val="en-US"/>
        </w:rPr>
        <w:t>Biologic</w:t>
      </w:r>
      <w:r w:rsidR="0010465F">
        <w:rPr>
          <w:rFonts w:ascii="Arial" w:hAnsi="Arial" w:cs="Times"/>
          <w:color w:val="000000"/>
          <w:szCs w:val="12"/>
          <w:lang w:val="en-US"/>
        </w:rPr>
        <w:t xml:space="preserve">al Services Unit </w:t>
      </w:r>
      <w:r w:rsidR="000971EB">
        <w:rPr>
          <w:rFonts w:ascii="Arial" w:hAnsi="Arial" w:cs="Times"/>
          <w:color w:val="000000"/>
          <w:szCs w:val="12"/>
          <w:lang w:val="en-US"/>
        </w:rPr>
        <w:t xml:space="preserve">for </w:t>
      </w:r>
      <w:r w:rsidR="00631491">
        <w:rPr>
          <w:rFonts w:ascii="Arial" w:hAnsi="Arial" w:cs="Times"/>
          <w:color w:val="000000"/>
          <w:szCs w:val="12"/>
          <w:lang w:val="en-US"/>
        </w:rPr>
        <w:t xml:space="preserve">their </w:t>
      </w:r>
      <w:r w:rsidR="00910CD0">
        <w:rPr>
          <w:rFonts w:ascii="Arial" w:hAnsi="Arial" w:cs="Times"/>
          <w:color w:val="000000"/>
          <w:szCs w:val="12"/>
          <w:lang w:val="en-US"/>
        </w:rPr>
        <w:t>contribution</w:t>
      </w:r>
      <w:r w:rsidR="0018499B">
        <w:rPr>
          <w:rFonts w:ascii="Arial" w:hAnsi="Arial" w:cs="Times"/>
          <w:color w:val="000000"/>
          <w:szCs w:val="12"/>
          <w:lang w:val="en-US"/>
        </w:rPr>
        <w:t>s</w:t>
      </w:r>
      <w:r w:rsidR="00910CD0">
        <w:rPr>
          <w:rFonts w:ascii="Arial" w:hAnsi="Arial" w:cs="Times"/>
          <w:color w:val="000000"/>
          <w:szCs w:val="12"/>
          <w:lang w:val="en-US"/>
        </w:rPr>
        <w:t xml:space="preserve"> to the project</w:t>
      </w:r>
      <w:r w:rsidR="00D37AE2">
        <w:rPr>
          <w:rFonts w:ascii="Arial" w:hAnsi="Arial" w:cs="Times"/>
          <w:color w:val="000000"/>
          <w:szCs w:val="12"/>
          <w:lang w:val="en-US"/>
        </w:rPr>
        <w:t xml:space="preserve"> </w:t>
      </w:r>
      <w:r w:rsidR="0010465F">
        <w:rPr>
          <w:rFonts w:ascii="Arial" w:hAnsi="Arial" w:cs="Times"/>
          <w:color w:val="000000"/>
          <w:szCs w:val="12"/>
          <w:lang w:val="en-US"/>
        </w:rPr>
        <w:t>a</w:t>
      </w:r>
      <w:r w:rsidR="00D37AE2">
        <w:rPr>
          <w:rFonts w:ascii="Arial" w:hAnsi="Arial" w:cs="Times"/>
          <w:color w:val="000000"/>
          <w:szCs w:val="12"/>
          <w:lang w:val="en-US"/>
        </w:rPr>
        <w:t xml:space="preserve">nd </w:t>
      </w:r>
      <w:r w:rsidR="00C460D2">
        <w:rPr>
          <w:rFonts w:ascii="Arial" w:hAnsi="Arial" w:cs="Times"/>
          <w:color w:val="000000"/>
          <w:szCs w:val="12"/>
          <w:lang w:val="en-US"/>
        </w:rPr>
        <w:t>always</w:t>
      </w:r>
      <w:r w:rsidR="00D37AE2">
        <w:rPr>
          <w:rFonts w:ascii="Arial" w:hAnsi="Arial" w:cs="Times"/>
          <w:color w:val="000000"/>
          <w:szCs w:val="12"/>
          <w:lang w:val="en-US"/>
        </w:rPr>
        <w:t xml:space="preserve"> tak</w:t>
      </w:r>
      <w:r w:rsidR="00C460D2">
        <w:rPr>
          <w:rFonts w:ascii="Arial" w:hAnsi="Arial" w:cs="Times"/>
          <w:color w:val="000000"/>
          <w:szCs w:val="12"/>
          <w:lang w:val="en-US"/>
        </w:rPr>
        <w:t>ing</w:t>
      </w:r>
      <w:r w:rsidR="0010465F">
        <w:rPr>
          <w:rFonts w:ascii="Arial" w:hAnsi="Arial" w:cs="Times"/>
          <w:color w:val="000000"/>
          <w:szCs w:val="12"/>
          <w:lang w:val="en-US"/>
        </w:rPr>
        <w:t xml:space="preserve"> their valuable time to assist me</w:t>
      </w:r>
      <w:r w:rsidR="00C460D2">
        <w:rPr>
          <w:rFonts w:ascii="Arial" w:hAnsi="Arial" w:cs="Times"/>
          <w:color w:val="000000"/>
          <w:szCs w:val="12"/>
          <w:lang w:val="en-US"/>
        </w:rPr>
        <w:t xml:space="preserve">. </w:t>
      </w:r>
      <w:r w:rsidR="00AB0331">
        <w:rPr>
          <w:rFonts w:ascii="Arial" w:hAnsi="Arial" w:cs="Times"/>
          <w:color w:val="000000"/>
          <w:szCs w:val="12"/>
          <w:lang w:val="en-US"/>
        </w:rPr>
        <w:t>Special thanks</w:t>
      </w:r>
      <w:r w:rsidR="008E5074">
        <w:rPr>
          <w:rFonts w:ascii="Arial" w:hAnsi="Arial" w:cs="Times"/>
          <w:color w:val="000000"/>
          <w:szCs w:val="12"/>
          <w:lang w:val="en-US"/>
        </w:rPr>
        <w:t xml:space="preserve"> to Professor Richard Eastell at </w:t>
      </w:r>
      <w:r w:rsidR="006F2D70">
        <w:rPr>
          <w:rFonts w:ascii="Arial" w:hAnsi="Arial" w:cs="Times"/>
          <w:color w:val="000000"/>
          <w:szCs w:val="12"/>
          <w:lang w:val="en-US"/>
        </w:rPr>
        <w:t xml:space="preserve">the </w:t>
      </w:r>
      <w:r w:rsidR="00AB0331">
        <w:rPr>
          <w:rFonts w:ascii="Arial" w:hAnsi="Arial" w:cs="Times"/>
          <w:color w:val="000000"/>
          <w:szCs w:val="12"/>
          <w:lang w:val="en-US"/>
        </w:rPr>
        <w:t xml:space="preserve">Mellanby Centre for Bone Research </w:t>
      </w:r>
      <w:r w:rsidR="008E5074">
        <w:rPr>
          <w:rFonts w:ascii="Arial" w:hAnsi="Arial" w:cs="Times"/>
          <w:color w:val="000000"/>
          <w:szCs w:val="12"/>
          <w:lang w:val="en-US"/>
        </w:rPr>
        <w:t xml:space="preserve">for his tutorial </w:t>
      </w:r>
      <w:r w:rsidR="007862A2">
        <w:rPr>
          <w:rFonts w:ascii="Arial" w:hAnsi="Arial" w:cs="Times"/>
          <w:color w:val="000000"/>
          <w:szCs w:val="12"/>
          <w:lang w:val="en-US"/>
        </w:rPr>
        <w:t xml:space="preserve">support and </w:t>
      </w:r>
      <w:r w:rsidR="004E1E31">
        <w:rPr>
          <w:rFonts w:ascii="Arial" w:hAnsi="Arial" w:cs="Times"/>
          <w:color w:val="000000"/>
          <w:szCs w:val="12"/>
          <w:lang w:val="en-US"/>
        </w:rPr>
        <w:t>The University of Sheffield Award schemes for</w:t>
      </w:r>
      <w:r w:rsidR="00FA601D">
        <w:rPr>
          <w:rFonts w:ascii="Arial" w:hAnsi="Arial" w:cs="Times"/>
          <w:color w:val="000000"/>
          <w:szCs w:val="12"/>
          <w:lang w:val="en-US"/>
        </w:rPr>
        <w:t xml:space="preserve"> </w:t>
      </w:r>
      <w:r w:rsidR="008E52CD">
        <w:rPr>
          <w:rFonts w:ascii="Arial" w:hAnsi="Arial" w:cs="Times"/>
          <w:color w:val="000000"/>
          <w:szCs w:val="12"/>
          <w:lang w:val="en-US"/>
        </w:rPr>
        <w:t>I</w:t>
      </w:r>
      <w:r w:rsidR="006F2D70">
        <w:rPr>
          <w:rFonts w:ascii="Arial" w:hAnsi="Arial" w:cs="Times"/>
          <w:color w:val="000000"/>
          <w:szCs w:val="12"/>
          <w:lang w:val="en-US"/>
        </w:rPr>
        <w:t xml:space="preserve">nternship at Harvard and </w:t>
      </w:r>
      <w:r w:rsidR="00675C18">
        <w:rPr>
          <w:rFonts w:ascii="Arial" w:hAnsi="Arial" w:cs="Times"/>
          <w:color w:val="000000"/>
          <w:szCs w:val="12"/>
          <w:lang w:val="en-US"/>
        </w:rPr>
        <w:t>opportunities</w:t>
      </w:r>
      <w:r w:rsidR="003638D4">
        <w:rPr>
          <w:rFonts w:ascii="Arial" w:hAnsi="Arial" w:cs="Times"/>
          <w:color w:val="000000"/>
          <w:szCs w:val="12"/>
          <w:lang w:val="en-US"/>
        </w:rPr>
        <w:t xml:space="preserve"> to present in</w:t>
      </w:r>
      <w:r w:rsidR="00AB0331">
        <w:rPr>
          <w:rFonts w:ascii="Arial" w:hAnsi="Arial" w:cs="Times"/>
          <w:color w:val="000000"/>
          <w:szCs w:val="12"/>
          <w:lang w:val="en-US"/>
        </w:rPr>
        <w:t xml:space="preserve"> international meetings.</w:t>
      </w:r>
    </w:p>
    <w:p w14:paraId="12CDDAE1" w14:textId="77777777" w:rsidR="00AD7395" w:rsidRDefault="00AD7395"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Times"/>
          <w:color w:val="000000"/>
          <w:szCs w:val="12"/>
          <w:lang w:val="en-US"/>
        </w:rPr>
      </w:pPr>
    </w:p>
    <w:p w14:paraId="7E52A12F" w14:textId="77777777" w:rsidR="007A3B0E" w:rsidRDefault="00671C3F" w:rsidP="007A3B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Times"/>
          <w:color w:val="000000"/>
          <w:szCs w:val="12"/>
          <w:lang w:val="en-US"/>
        </w:rPr>
      </w:pPr>
      <w:r>
        <w:rPr>
          <w:rFonts w:ascii="Arial" w:hAnsi="Arial" w:cs="Times"/>
          <w:color w:val="000000"/>
          <w:szCs w:val="12"/>
          <w:lang w:val="en-US"/>
        </w:rPr>
        <w:t xml:space="preserve">Finally, thanks and love to my dear Parents for their continuous belief and endless support and </w:t>
      </w:r>
      <w:r w:rsidR="007A3B0E">
        <w:rPr>
          <w:rFonts w:ascii="Arial" w:hAnsi="Arial" w:cs="Times"/>
          <w:color w:val="000000"/>
          <w:szCs w:val="12"/>
          <w:lang w:val="en-US"/>
        </w:rPr>
        <w:t xml:space="preserve">to </w:t>
      </w:r>
      <w:r w:rsidR="005E01AE">
        <w:rPr>
          <w:rFonts w:ascii="Arial" w:hAnsi="Arial" w:cs="Times"/>
          <w:color w:val="000000"/>
          <w:szCs w:val="12"/>
          <w:lang w:val="en-US"/>
        </w:rPr>
        <w:t>Marie-T</w:t>
      </w:r>
      <w:r w:rsidR="00C91823">
        <w:rPr>
          <w:rFonts w:ascii="Arial" w:hAnsi="Arial" w:cs="Times"/>
          <w:color w:val="000000"/>
          <w:szCs w:val="12"/>
          <w:lang w:val="en-US"/>
        </w:rPr>
        <w:t>herese</w:t>
      </w:r>
      <w:r w:rsidR="008C3760">
        <w:rPr>
          <w:rFonts w:ascii="Arial" w:hAnsi="Arial" w:cs="Times"/>
          <w:color w:val="000000"/>
          <w:szCs w:val="12"/>
          <w:lang w:val="en-US"/>
        </w:rPr>
        <w:t>, Sarah</w:t>
      </w:r>
      <w:r w:rsidR="00BD1A02">
        <w:rPr>
          <w:rFonts w:ascii="Arial" w:hAnsi="Arial" w:cs="Times"/>
          <w:color w:val="000000"/>
          <w:szCs w:val="12"/>
          <w:lang w:val="en-US"/>
        </w:rPr>
        <w:t>, Neil</w:t>
      </w:r>
      <w:r w:rsidR="00C91823">
        <w:rPr>
          <w:rFonts w:ascii="Arial" w:hAnsi="Arial" w:cs="Times"/>
          <w:color w:val="000000"/>
          <w:szCs w:val="12"/>
          <w:lang w:val="en-US"/>
        </w:rPr>
        <w:t xml:space="preserve"> </w:t>
      </w:r>
      <w:r w:rsidR="00185D77">
        <w:rPr>
          <w:rFonts w:ascii="Arial" w:hAnsi="Arial" w:cs="Times"/>
          <w:color w:val="000000"/>
          <w:szCs w:val="12"/>
          <w:lang w:val="en-US"/>
        </w:rPr>
        <w:t xml:space="preserve">and </w:t>
      </w:r>
      <w:r w:rsidR="00665831">
        <w:rPr>
          <w:rFonts w:ascii="Arial" w:hAnsi="Arial" w:cs="Times"/>
          <w:color w:val="000000"/>
          <w:szCs w:val="12"/>
          <w:lang w:val="en-US"/>
        </w:rPr>
        <w:t xml:space="preserve">all </w:t>
      </w:r>
      <w:r w:rsidR="00185D77">
        <w:rPr>
          <w:rFonts w:ascii="Arial" w:hAnsi="Arial" w:cs="Times"/>
          <w:color w:val="000000"/>
          <w:szCs w:val="12"/>
          <w:lang w:val="en-US"/>
        </w:rPr>
        <w:t xml:space="preserve">fellow CIMA colleagues </w:t>
      </w:r>
      <w:r w:rsidR="00243E82">
        <w:rPr>
          <w:rFonts w:ascii="Arial" w:hAnsi="Arial" w:cs="Times"/>
          <w:color w:val="000000"/>
          <w:szCs w:val="12"/>
          <w:lang w:val="en-US"/>
        </w:rPr>
        <w:t xml:space="preserve">from three partner </w:t>
      </w:r>
      <w:r w:rsidR="00115C34">
        <w:rPr>
          <w:rFonts w:ascii="Arial" w:hAnsi="Arial" w:cs="Times"/>
          <w:color w:val="000000"/>
          <w:szCs w:val="12"/>
          <w:lang w:val="en-US"/>
        </w:rPr>
        <w:t>u</w:t>
      </w:r>
      <w:r w:rsidR="00665831">
        <w:rPr>
          <w:rFonts w:ascii="Arial" w:hAnsi="Arial" w:cs="Times"/>
          <w:color w:val="000000"/>
          <w:szCs w:val="12"/>
          <w:lang w:val="en-US"/>
        </w:rPr>
        <w:t xml:space="preserve">niversities </w:t>
      </w:r>
      <w:r w:rsidR="005E01AE">
        <w:rPr>
          <w:rFonts w:ascii="Arial" w:hAnsi="Arial" w:cs="Times"/>
          <w:color w:val="000000"/>
          <w:szCs w:val="12"/>
          <w:lang w:val="en-US"/>
        </w:rPr>
        <w:t xml:space="preserve">for </w:t>
      </w:r>
      <w:r w:rsidR="007862A2">
        <w:rPr>
          <w:rFonts w:ascii="Arial" w:hAnsi="Arial" w:cs="Times"/>
          <w:color w:val="000000"/>
          <w:szCs w:val="12"/>
          <w:lang w:val="en-US"/>
        </w:rPr>
        <w:t xml:space="preserve">their friendship and </w:t>
      </w:r>
      <w:r w:rsidR="005E01AE">
        <w:rPr>
          <w:rFonts w:ascii="Arial" w:hAnsi="Arial" w:cs="Times"/>
          <w:color w:val="000000"/>
          <w:szCs w:val="12"/>
          <w:lang w:val="en-US"/>
        </w:rPr>
        <w:t xml:space="preserve">making this </w:t>
      </w:r>
      <w:r w:rsidR="00721CE8">
        <w:rPr>
          <w:rFonts w:ascii="Arial" w:hAnsi="Arial" w:cs="Times"/>
          <w:color w:val="000000"/>
          <w:szCs w:val="12"/>
          <w:lang w:val="en-US"/>
        </w:rPr>
        <w:t>experience</w:t>
      </w:r>
      <w:r w:rsidR="005B71F9">
        <w:rPr>
          <w:rFonts w:ascii="Arial" w:hAnsi="Arial" w:cs="Times"/>
          <w:color w:val="000000"/>
          <w:szCs w:val="12"/>
          <w:lang w:val="en-US"/>
        </w:rPr>
        <w:t xml:space="preserve"> very</w:t>
      </w:r>
      <w:r w:rsidR="00AA7D27">
        <w:rPr>
          <w:rFonts w:ascii="Arial" w:hAnsi="Arial" w:cs="Times"/>
          <w:color w:val="000000"/>
          <w:szCs w:val="12"/>
          <w:lang w:val="en-US"/>
        </w:rPr>
        <w:t xml:space="preserve"> </w:t>
      </w:r>
      <w:r w:rsidR="005E01AE">
        <w:rPr>
          <w:rFonts w:ascii="Arial" w:hAnsi="Arial" w:cs="Times"/>
          <w:color w:val="000000"/>
          <w:szCs w:val="12"/>
          <w:lang w:val="en-US"/>
        </w:rPr>
        <w:t>enjoyable and memorable</w:t>
      </w:r>
      <w:r w:rsidR="00C460D2">
        <w:rPr>
          <w:rFonts w:ascii="Arial" w:hAnsi="Arial" w:cs="Times"/>
          <w:color w:val="000000"/>
          <w:szCs w:val="12"/>
          <w:lang w:val="en-US"/>
        </w:rPr>
        <w:t xml:space="preserve">. </w:t>
      </w:r>
    </w:p>
    <w:p w14:paraId="42FE71CC" w14:textId="77777777" w:rsidR="004850AF" w:rsidRDefault="004850AF" w:rsidP="00D32B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center"/>
        <w:rPr>
          <w:rFonts w:ascii="Arial" w:eastAsiaTheme="minorEastAsia" w:hAnsi="Arial" w:cs="Arial"/>
          <w:b/>
          <w:sz w:val="36"/>
          <w:szCs w:val="36"/>
          <w:lang w:val="en-US"/>
        </w:rPr>
        <w:sectPr w:rsidR="004850AF" w:rsidSect="00E771EA">
          <w:pgSz w:w="11900" w:h="16840"/>
          <w:pgMar w:top="1134" w:right="1134" w:bottom="1134" w:left="1134" w:header="709" w:footer="709" w:gutter="0"/>
          <w:pgNumType w:start="1" w:chapStyle="1"/>
          <w:cols w:space="708"/>
          <w:titlePg/>
          <w:docGrid w:linePitch="360"/>
        </w:sectPr>
      </w:pPr>
    </w:p>
    <w:p w14:paraId="36608457" w14:textId="77777777" w:rsidR="00D32BED" w:rsidRDefault="00B85BDA" w:rsidP="00D32B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center"/>
        <w:rPr>
          <w:rFonts w:ascii="Arial" w:eastAsiaTheme="minorEastAsia" w:hAnsi="Arial" w:cs="Arial"/>
          <w:b/>
          <w:sz w:val="36"/>
          <w:szCs w:val="36"/>
          <w:lang w:val="en-US"/>
        </w:rPr>
      </w:pPr>
      <w:r w:rsidRPr="00B85BDA">
        <w:rPr>
          <w:rFonts w:ascii="Arial" w:eastAsiaTheme="minorEastAsia" w:hAnsi="Arial" w:cs="Arial"/>
          <w:b/>
          <w:sz w:val="36"/>
          <w:szCs w:val="36"/>
          <w:lang w:val="en-US"/>
        </w:rPr>
        <w:lastRenderedPageBreak/>
        <w:t>Statement of Attribution</w:t>
      </w:r>
    </w:p>
    <w:p w14:paraId="2FC1C04B" w14:textId="77777777" w:rsidR="001F52AC" w:rsidRPr="00D32BED" w:rsidRDefault="0034671C" w:rsidP="00D32B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eastAsiaTheme="minorEastAsia" w:hAnsi="Arial" w:cs="Arial"/>
          <w:b/>
          <w:sz w:val="36"/>
          <w:szCs w:val="36"/>
          <w:lang w:val="en-US"/>
        </w:rPr>
      </w:pPr>
      <w:r>
        <w:rPr>
          <w:rFonts w:ascii="Arial" w:hAnsi="Arial" w:cs="Arial"/>
          <w:color w:val="000000"/>
          <w:lang w:val="en-US"/>
        </w:rPr>
        <w:t xml:space="preserve">I would like to acknowledge the following people </w:t>
      </w:r>
      <w:r w:rsidR="00DE6322">
        <w:rPr>
          <w:rFonts w:ascii="Arial" w:hAnsi="Arial" w:cs="Arial"/>
          <w:color w:val="000000"/>
          <w:lang w:val="en-US"/>
        </w:rPr>
        <w:t>for their contribution to the data in the project</w:t>
      </w:r>
      <w:r w:rsidR="001F52AC">
        <w:rPr>
          <w:rFonts w:ascii="Arial" w:hAnsi="Arial" w:cs="Arial"/>
          <w:color w:val="000000"/>
          <w:lang w:val="en-US"/>
        </w:rPr>
        <w:t>:</w:t>
      </w:r>
    </w:p>
    <w:p w14:paraId="36FACA0C" w14:textId="77777777" w:rsidR="001F52AC" w:rsidRDefault="001F52AC"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4E260F2B" w14:textId="77777777" w:rsidR="001F52AC" w:rsidRPr="00A338D5" w:rsidRDefault="001F52AC"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b/>
          <w:color w:val="000000"/>
          <w:lang w:val="en-US"/>
        </w:rPr>
      </w:pPr>
      <w:r w:rsidRPr="001F52AC">
        <w:rPr>
          <w:rFonts w:ascii="Arial" w:hAnsi="Arial" w:cs="Arial"/>
          <w:b/>
          <w:color w:val="000000"/>
          <w:lang w:val="en-US"/>
        </w:rPr>
        <w:t xml:space="preserve">Dr Carmen </w:t>
      </w:r>
      <w:r w:rsidR="00E87F43">
        <w:rPr>
          <w:rFonts w:ascii="Arial" w:hAnsi="Arial" w:cs="Arial"/>
          <w:b/>
          <w:color w:val="000000"/>
          <w:lang w:val="en-US"/>
        </w:rPr>
        <w:t xml:space="preserve">Martin-Ruiz </w:t>
      </w:r>
      <w:r w:rsidR="0081584E">
        <w:rPr>
          <w:rFonts w:ascii="Arial" w:hAnsi="Arial" w:cs="Arial"/>
          <w:color w:val="000000"/>
          <w:lang w:val="en-US"/>
        </w:rPr>
        <w:t>(</w:t>
      </w:r>
      <w:r w:rsidR="00E87F43" w:rsidRPr="00E87F43">
        <w:rPr>
          <w:rFonts w:ascii="Arial" w:hAnsi="Arial" w:cs="Arial"/>
          <w:color w:val="000000"/>
          <w:lang w:val="en-US"/>
        </w:rPr>
        <w:t>NIHR</w:t>
      </w:r>
      <w:r w:rsidR="00E87F43">
        <w:rPr>
          <w:rFonts w:ascii="Arial" w:hAnsi="Arial" w:cs="Arial"/>
          <w:color w:val="000000"/>
          <w:lang w:val="en-US"/>
        </w:rPr>
        <w:t xml:space="preserve"> </w:t>
      </w:r>
      <w:r w:rsidR="002B7358">
        <w:rPr>
          <w:rFonts w:ascii="Arial" w:hAnsi="Arial" w:cs="Arial"/>
          <w:color w:val="000000"/>
          <w:lang w:val="en-US"/>
        </w:rPr>
        <w:t xml:space="preserve">Newcastle Biomedical Research </w:t>
      </w:r>
      <w:r w:rsidR="00A338D5">
        <w:rPr>
          <w:rFonts w:ascii="Arial" w:hAnsi="Arial" w:cs="Arial"/>
          <w:color w:val="000000"/>
          <w:lang w:val="en-US"/>
        </w:rPr>
        <w:t>Centre, Ageing Research laboratories)</w:t>
      </w:r>
      <w:r w:rsidR="00A338D5">
        <w:rPr>
          <w:rFonts w:ascii="Arial" w:hAnsi="Arial" w:cs="Arial"/>
          <w:b/>
          <w:color w:val="000000"/>
          <w:lang w:val="en-US"/>
        </w:rPr>
        <w:t xml:space="preserve"> </w:t>
      </w:r>
      <w:r w:rsidR="003F3441">
        <w:rPr>
          <w:rFonts w:ascii="Arial" w:hAnsi="Arial" w:cs="Arial"/>
          <w:color w:val="000000"/>
          <w:lang w:val="en-US"/>
        </w:rPr>
        <w:t xml:space="preserve">for the analysis of </w:t>
      </w:r>
      <w:r w:rsidR="00A338D5">
        <w:rPr>
          <w:rFonts w:ascii="Arial" w:hAnsi="Arial" w:cs="Arial"/>
          <w:color w:val="000000"/>
          <w:lang w:val="en-US"/>
        </w:rPr>
        <w:t>serum</w:t>
      </w:r>
      <w:r w:rsidR="003F3441">
        <w:rPr>
          <w:rFonts w:ascii="Arial" w:hAnsi="Arial" w:cs="Arial"/>
          <w:color w:val="000000"/>
          <w:lang w:val="en-US"/>
        </w:rPr>
        <w:t xml:space="preserve"> cortisol concentrations in young adult and aged mice</w:t>
      </w:r>
      <w:r w:rsidR="00A338D5">
        <w:rPr>
          <w:rFonts w:ascii="Arial" w:hAnsi="Arial" w:cs="Arial"/>
          <w:color w:val="000000"/>
          <w:lang w:val="en-US"/>
        </w:rPr>
        <w:t xml:space="preserve"> (Chapter 7).</w:t>
      </w:r>
    </w:p>
    <w:p w14:paraId="2520B22D" w14:textId="77777777" w:rsidR="00533DE5" w:rsidRDefault="00533DE5"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72601BBF" w14:textId="77777777" w:rsidR="00533DE5" w:rsidRDefault="00533DE5"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r w:rsidRPr="00533DE5">
        <w:rPr>
          <w:rFonts w:ascii="Arial" w:hAnsi="Arial" w:cs="Arial"/>
          <w:b/>
          <w:color w:val="000000"/>
          <w:lang w:val="en-US"/>
        </w:rPr>
        <w:t>Mr Varun</w:t>
      </w:r>
      <w:r w:rsidR="006F2D70">
        <w:rPr>
          <w:rFonts w:ascii="Arial" w:hAnsi="Arial" w:cs="Arial"/>
          <w:b/>
          <w:color w:val="000000"/>
          <w:lang w:val="en-US"/>
        </w:rPr>
        <w:t>cumar</w:t>
      </w:r>
      <w:r w:rsidRPr="00533DE5">
        <w:rPr>
          <w:rFonts w:ascii="Arial" w:hAnsi="Arial" w:cs="Arial"/>
          <w:b/>
          <w:color w:val="000000"/>
          <w:lang w:val="en-US"/>
        </w:rPr>
        <w:t xml:space="preserve"> </w:t>
      </w:r>
      <w:r w:rsidR="001B36AE">
        <w:rPr>
          <w:rFonts w:ascii="Arial" w:hAnsi="Arial" w:cs="Arial"/>
          <w:b/>
          <w:color w:val="000000"/>
          <w:lang w:val="en-US"/>
        </w:rPr>
        <w:t>Gokulkrishnan</w:t>
      </w:r>
      <w:r>
        <w:rPr>
          <w:rFonts w:ascii="Arial" w:hAnsi="Arial" w:cs="Arial"/>
          <w:b/>
          <w:color w:val="000000"/>
          <w:lang w:val="en-US"/>
        </w:rPr>
        <w:t xml:space="preserve"> </w:t>
      </w:r>
      <w:r w:rsidR="00C42475" w:rsidRPr="00303FBB">
        <w:rPr>
          <w:rFonts w:ascii="Arial" w:hAnsi="Arial" w:cs="Arial"/>
          <w:color w:val="000000"/>
          <w:lang w:val="en-US"/>
        </w:rPr>
        <w:t>(</w:t>
      </w:r>
      <w:r w:rsidR="00303FBB">
        <w:rPr>
          <w:rFonts w:ascii="Arial" w:hAnsi="Arial"/>
          <w:bCs/>
        </w:rPr>
        <w:t>MBChB phase 2a student</w:t>
      </w:r>
      <w:r w:rsidR="00C42475" w:rsidRPr="00303FBB">
        <w:rPr>
          <w:rFonts w:ascii="Arial" w:hAnsi="Arial" w:cs="Arial"/>
          <w:color w:val="000000"/>
          <w:lang w:val="en-US"/>
        </w:rPr>
        <w:t>)</w:t>
      </w:r>
      <w:r w:rsidR="00C42475">
        <w:rPr>
          <w:rFonts w:ascii="Arial" w:hAnsi="Arial" w:cs="Arial"/>
          <w:b/>
          <w:color w:val="000000"/>
          <w:lang w:val="en-US"/>
        </w:rPr>
        <w:t xml:space="preserve"> </w:t>
      </w:r>
      <w:r>
        <w:rPr>
          <w:rFonts w:ascii="Arial" w:hAnsi="Arial" w:cs="Arial"/>
          <w:color w:val="000000"/>
          <w:lang w:val="en-US"/>
        </w:rPr>
        <w:t>for</w:t>
      </w:r>
      <w:r w:rsidR="00303FBB" w:rsidRPr="00303FBB">
        <w:rPr>
          <w:rFonts w:ascii="Arial" w:hAnsi="Arial"/>
          <w:bCs/>
        </w:rPr>
        <w:t xml:space="preserve"> </w:t>
      </w:r>
      <w:r w:rsidR="00303FBB">
        <w:rPr>
          <w:rFonts w:ascii="Arial" w:hAnsi="Arial"/>
          <w:bCs/>
        </w:rPr>
        <w:t xml:space="preserve">the analyses of trabecular and cortical bone adaptive responses to sub-threshold mechanical loading in fed and </w:t>
      </w:r>
      <w:r w:rsidR="00AB422E">
        <w:rPr>
          <w:rFonts w:ascii="Arial" w:hAnsi="Arial"/>
          <w:bCs/>
        </w:rPr>
        <w:t xml:space="preserve">fasted </w:t>
      </w:r>
      <w:r w:rsidR="00303FBB">
        <w:rPr>
          <w:rFonts w:ascii="Arial" w:hAnsi="Arial"/>
          <w:bCs/>
        </w:rPr>
        <w:t xml:space="preserve">fed young mice </w:t>
      </w:r>
      <w:r w:rsidR="00303FBB">
        <w:rPr>
          <w:rFonts w:ascii="Arial" w:hAnsi="Arial" w:cs="Arial"/>
          <w:color w:val="000000"/>
          <w:lang w:val="en-US"/>
        </w:rPr>
        <w:t xml:space="preserve">during his </w:t>
      </w:r>
      <w:r w:rsidR="00303FBB">
        <w:rPr>
          <w:rFonts w:ascii="Arial" w:hAnsi="Arial"/>
          <w:bCs/>
        </w:rPr>
        <w:t>SSC research attachment</w:t>
      </w:r>
      <w:r w:rsidR="00303FBB">
        <w:rPr>
          <w:rFonts w:ascii="Arial" w:hAnsi="Arial" w:cs="Arial"/>
          <w:color w:val="000000"/>
          <w:lang w:val="en-US"/>
        </w:rPr>
        <w:t xml:space="preserve"> </w:t>
      </w:r>
      <w:r w:rsidR="00C42475">
        <w:rPr>
          <w:rFonts w:ascii="Arial" w:hAnsi="Arial" w:cs="Arial"/>
          <w:color w:val="000000"/>
          <w:lang w:val="en-US"/>
        </w:rPr>
        <w:t xml:space="preserve">(Chapter 5). </w:t>
      </w:r>
    </w:p>
    <w:p w14:paraId="6C155F73"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0AFBC2BB"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776A2E76"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3F855D5A"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7A5B2287"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15489745"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1CE00038"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58752920"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21B7A717"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1D91D781"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7F05218A"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02E49563"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164399F6"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3A761F2D"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6096E3A7" w14:textId="77777777" w:rsidR="000D5AB9" w:rsidRDefault="000D5AB9" w:rsidP="008068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both"/>
        <w:rPr>
          <w:rFonts w:ascii="Arial" w:hAnsi="Arial" w:cs="Arial"/>
          <w:color w:val="000000"/>
          <w:lang w:val="en-US"/>
        </w:rPr>
      </w:pPr>
    </w:p>
    <w:p w14:paraId="17A86380" w14:textId="77777777" w:rsidR="004850AF" w:rsidRDefault="004850AF" w:rsidP="00E55B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center"/>
        <w:rPr>
          <w:rFonts w:ascii="Arial" w:hAnsi="Arial" w:cs="Arial"/>
          <w:b/>
          <w:color w:val="000000"/>
          <w:sz w:val="32"/>
          <w:szCs w:val="32"/>
          <w:lang w:val="en-US"/>
        </w:rPr>
        <w:sectPr w:rsidR="004850AF" w:rsidSect="00E771EA">
          <w:pgSz w:w="11900" w:h="16840"/>
          <w:pgMar w:top="1134" w:right="1134" w:bottom="1134" w:left="1134" w:header="709" w:footer="709" w:gutter="0"/>
          <w:pgNumType w:start="1" w:chapStyle="1"/>
          <w:cols w:space="708"/>
          <w:titlePg/>
          <w:docGrid w:linePitch="360"/>
        </w:sectPr>
      </w:pPr>
    </w:p>
    <w:p w14:paraId="31FDD335" w14:textId="77777777" w:rsidR="00A85908" w:rsidRPr="00667A96" w:rsidRDefault="00A85908" w:rsidP="00E55B2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center"/>
        <w:rPr>
          <w:rFonts w:ascii="Arial" w:hAnsi="Arial" w:cs="Arial"/>
          <w:b/>
          <w:color w:val="000000"/>
          <w:sz w:val="32"/>
          <w:szCs w:val="32"/>
          <w:lang w:val="en-US"/>
        </w:rPr>
      </w:pPr>
      <w:r w:rsidRPr="00667A96">
        <w:rPr>
          <w:rFonts w:ascii="Arial" w:hAnsi="Arial" w:cs="Arial"/>
          <w:b/>
          <w:color w:val="000000"/>
          <w:sz w:val="32"/>
          <w:szCs w:val="32"/>
          <w:lang w:val="en-US"/>
        </w:rPr>
        <w:lastRenderedPageBreak/>
        <w:t xml:space="preserve">List </w:t>
      </w:r>
      <w:r w:rsidR="00D32BED">
        <w:rPr>
          <w:rFonts w:ascii="Arial" w:hAnsi="Arial" w:cs="Arial"/>
          <w:b/>
          <w:color w:val="000000"/>
          <w:sz w:val="32"/>
          <w:szCs w:val="32"/>
          <w:lang w:val="en-US"/>
        </w:rPr>
        <w:t xml:space="preserve">of </w:t>
      </w:r>
      <w:r w:rsidR="00E55B22" w:rsidRPr="00667A96">
        <w:rPr>
          <w:rFonts w:ascii="Arial" w:hAnsi="Arial" w:cs="Arial"/>
          <w:b/>
          <w:color w:val="000000"/>
          <w:sz w:val="32"/>
          <w:szCs w:val="32"/>
          <w:lang w:val="en-US"/>
        </w:rPr>
        <w:t>publications</w:t>
      </w:r>
      <w:r w:rsidR="00667A96" w:rsidRPr="00667A96">
        <w:rPr>
          <w:rFonts w:ascii="Arial" w:hAnsi="Arial" w:cs="Arial"/>
          <w:b/>
          <w:color w:val="000000"/>
          <w:sz w:val="32"/>
          <w:szCs w:val="32"/>
          <w:lang w:val="en-US"/>
        </w:rPr>
        <w:t xml:space="preserve"> and presentations </w:t>
      </w:r>
    </w:p>
    <w:p w14:paraId="719C6A73" w14:textId="77777777" w:rsidR="00A36B10" w:rsidRDefault="00667A96" w:rsidP="00667A9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b/>
          <w:i/>
          <w:color w:val="000000"/>
          <w:sz w:val="32"/>
          <w:szCs w:val="32"/>
          <w:lang w:val="en-US"/>
        </w:rPr>
      </w:pPr>
      <w:r>
        <w:rPr>
          <w:rFonts w:ascii="Arial" w:hAnsi="Arial" w:cs="Arial"/>
          <w:b/>
          <w:i/>
          <w:color w:val="000000"/>
          <w:sz w:val="32"/>
          <w:szCs w:val="32"/>
          <w:lang w:val="en-US"/>
        </w:rPr>
        <w:t>Publications</w:t>
      </w:r>
    </w:p>
    <w:p w14:paraId="18ACA196" w14:textId="77777777" w:rsidR="00D5785F" w:rsidRDefault="000A5CB1" w:rsidP="00114E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1A1A1A"/>
          <w:lang w:val="en-US"/>
        </w:rPr>
      </w:pPr>
      <w:hyperlink r:id="rId13" w:history="1">
        <w:r w:rsidR="00A36B10" w:rsidRPr="009B374E">
          <w:rPr>
            <w:rStyle w:val="Hyperlink"/>
            <w:rFonts w:ascii="Arial" w:hAnsi="Arial" w:cs="Arial"/>
            <w:b/>
            <w:lang w:val="en-US"/>
          </w:rPr>
          <w:t>Samvelyan, H. J.</w:t>
        </w:r>
        <w:r w:rsidR="00A36B10" w:rsidRPr="00114E00">
          <w:rPr>
            <w:rStyle w:val="Hyperlink"/>
            <w:rFonts w:ascii="Arial" w:hAnsi="Arial" w:cs="Arial"/>
            <w:lang w:val="en-US"/>
          </w:rPr>
          <w:t>, Mathers, J. C., Skerry, T. M.</w:t>
        </w:r>
      </w:hyperlink>
      <w:r w:rsidR="00114E00">
        <w:rPr>
          <w:rFonts w:ascii="Arial" w:hAnsi="Arial" w:cs="Arial"/>
          <w:color w:val="000000"/>
          <w:lang w:val="en-US"/>
        </w:rPr>
        <w:t xml:space="preserve"> (2017) </w:t>
      </w:r>
      <w:proofErr w:type="gramStart"/>
      <w:r w:rsidR="00114E00" w:rsidRPr="00114E00">
        <w:rPr>
          <w:rFonts w:ascii="Arial" w:hAnsi="Arial" w:cs="Arial"/>
          <w:color w:val="1A1A1A"/>
          <w:lang w:val="en-US"/>
        </w:rPr>
        <w:t>Feeding</w:t>
      </w:r>
      <w:proofErr w:type="gramEnd"/>
      <w:r w:rsidR="00114E00" w:rsidRPr="00114E00">
        <w:rPr>
          <w:rFonts w:ascii="Arial" w:hAnsi="Arial" w:cs="Arial"/>
          <w:color w:val="1A1A1A"/>
          <w:lang w:val="en-US"/>
        </w:rPr>
        <w:t xml:space="preserve"> after overnight fast potentiates bone’s response t</w:t>
      </w:r>
      <w:r w:rsidR="006C7BCE">
        <w:rPr>
          <w:rFonts w:ascii="Arial" w:hAnsi="Arial" w:cs="Arial"/>
          <w:color w:val="1A1A1A"/>
          <w:lang w:val="en-US"/>
        </w:rPr>
        <w:t>o mechanical loading in mice</w:t>
      </w:r>
      <w:r w:rsidR="00114E00">
        <w:rPr>
          <w:rFonts w:ascii="Arial" w:hAnsi="Arial" w:cs="Arial"/>
          <w:color w:val="1A1A1A"/>
          <w:lang w:val="en-US"/>
        </w:rPr>
        <w:t xml:space="preserve">. </w:t>
      </w:r>
      <w:r w:rsidR="00114E00">
        <w:rPr>
          <w:rFonts w:ascii="Arial" w:hAnsi="Arial" w:cs="Arial"/>
          <w:i/>
          <w:color w:val="1A1A1A"/>
          <w:lang w:val="en-US"/>
        </w:rPr>
        <w:t xml:space="preserve">Calcified Tissue International, </w:t>
      </w:r>
      <w:r w:rsidR="00114E00">
        <w:rPr>
          <w:rFonts w:ascii="Arial" w:hAnsi="Arial" w:cs="Arial"/>
          <w:color w:val="1A1A1A"/>
          <w:lang w:val="en-US"/>
        </w:rPr>
        <w:t>100: S114</w:t>
      </w:r>
    </w:p>
    <w:p w14:paraId="31BFA8DF" w14:textId="77777777" w:rsidR="00A52625" w:rsidRDefault="00A52625" w:rsidP="00114E0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color w:val="1A1A1A"/>
          <w:lang w:val="en-US"/>
        </w:rPr>
      </w:pPr>
    </w:p>
    <w:p w14:paraId="20BE4164" w14:textId="77777777" w:rsidR="00A36B10" w:rsidRPr="00A52625" w:rsidRDefault="000A5CB1" w:rsidP="00A52625">
      <w:pPr>
        <w:spacing w:after="200" w:line="360" w:lineRule="auto"/>
        <w:jc w:val="both"/>
        <w:rPr>
          <w:rFonts w:ascii="Arial" w:hAnsi="Arial" w:cs="Arial"/>
          <w:color w:val="1A1A1A"/>
          <w:lang w:val="en-US"/>
        </w:rPr>
      </w:pPr>
      <w:hyperlink r:id="rId14" w:history="1">
        <w:r w:rsidR="00D463B5">
          <w:rPr>
            <w:rStyle w:val="Hyperlink"/>
            <w:rFonts w:ascii="Arial" w:hAnsi="Arial" w:cs="Arial"/>
            <w:b/>
            <w:lang w:val="en-US"/>
          </w:rPr>
          <w:t>Samvelyan, H.</w:t>
        </w:r>
        <w:r w:rsidR="00A52625" w:rsidRPr="00180C7D">
          <w:rPr>
            <w:rStyle w:val="Hyperlink"/>
            <w:rFonts w:ascii="Arial" w:hAnsi="Arial" w:cs="Arial"/>
            <w:lang w:val="en-US"/>
          </w:rPr>
          <w:t>, Mathers, J., Sk</w:t>
        </w:r>
        <w:r w:rsidR="00D463B5">
          <w:rPr>
            <w:rStyle w:val="Hyperlink"/>
            <w:rFonts w:ascii="Arial" w:hAnsi="Arial" w:cs="Arial"/>
            <w:lang w:val="en-US"/>
          </w:rPr>
          <w:t>erry,</w:t>
        </w:r>
        <w:r w:rsidR="00A52625">
          <w:rPr>
            <w:rStyle w:val="Hyperlink"/>
            <w:rFonts w:ascii="Arial" w:hAnsi="Arial" w:cs="Arial"/>
            <w:lang w:val="en-US"/>
          </w:rPr>
          <w:t xml:space="preserve"> </w:t>
        </w:r>
        <w:r w:rsidR="00D463B5">
          <w:rPr>
            <w:rStyle w:val="Hyperlink"/>
            <w:rFonts w:ascii="Arial" w:hAnsi="Arial" w:cs="Arial"/>
            <w:lang w:val="en-US"/>
          </w:rPr>
          <w:t>T</w:t>
        </w:r>
        <w:r w:rsidR="00A52625" w:rsidRPr="00180C7D">
          <w:rPr>
            <w:rStyle w:val="Hyperlink"/>
            <w:rFonts w:ascii="Arial" w:hAnsi="Arial" w:cs="Arial"/>
            <w:lang w:val="en-US"/>
          </w:rPr>
          <w:t>.</w:t>
        </w:r>
      </w:hyperlink>
      <w:r w:rsidR="00A52625">
        <w:rPr>
          <w:rFonts w:ascii="Arial" w:hAnsi="Arial" w:cs="Arial"/>
          <w:color w:val="1A1A1A"/>
          <w:lang w:val="en-US"/>
        </w:rPr>
        <w:t xml:space="preserve"> (2017) </w:t>
      </w:r>
      <w:proofErr w:type="gramStart"/>
      <w:r w:rsidR="00A52625" w:rsidRPr="008E725F">
        <w:rPr>
          <w:rFonts w:ascii="Arial" w:hAnsi="Arial" w:cs="Arial"/>
          <w:color w:val="1A1A1A"/>
          <w:lang w:val="en-US"/>
        </w:rPr>
        <w:t>Feeding</w:t>
      </w:r>
      <w:proofErr w:type="gramEnd"/>
      <w:r w:rsidR="00A52625" w:rsidRPr="008E725F">
        <w:rPr>
          <w:rFonts w:ascii="Arial" w:hAnsi="Arial" w:cs="Arial"/>
          <w:color w:val="1A1A1A"/>
          <w:lang w:val="en-US"/>
        </w:rPr>
        <w:t xml:space="preserve"> after overnight fast enhances bone’s response to mechanical loading in mice</w:t>
      </w:r>
      <w:r w:rsidR="00A52625">
        <w:rPr>
          <w:rFonts w:ascii="Arial" w:hAnsi="Arial" w:cs="Arial"/>
          <w:color w:val="1A1A1A"/>
          <w:lang w:val="en-US"/>
        </w:rPr>
        <w:t xml:space="preserve">. </w:t>
      </w:r>
      <w:r w:rsidR="00A52625" w:rsidRPr="00551627">
        <w:rPr>
          <w:rFonts w:ascii="Arial" w:hAnsi="Arial" w:cs="Arial"/>
          <w:i/>
          <w:color w:val="1A1A1A"/>
          <w:lang w:val="en-US"/>
        </w:rPr>
        <w:t>Journal of Bone and Mineral Research</w:t>
      </w:r>
      <w:r w:rsidR="00A52625">
        <w:rPr>
          <w:rFonts w:ascii="Arial" w:hAnsi="Arial" w:cs="Arial"/>
          <w:color w:val="1A1A1A"/>
          <w:lang w:val="en-US"/>
        </w:rPr>
        <w:t>, 31:</w:t>
      </w:r>
      <w:r w:rsidR="00A52625" w:rsidRPr="00667A96">
        <w:rPr>
          <w:rFonts w:ascii="Arial" w:hAnsi="Arial" w:cs="Arial"/>
          <w:color w:val="1A1A1A"/>
          <w:lang w:val="en-US"/>
        </w:rPr>
        <w:t xml:space="preserve"> S403</w:t>
      </w:r>
      <w:r w:rsidR="00A52625">
        <w:rPr>
          <w:rFonts w:ascii="Arial" w:hAnsi="Arial" w:cs="Arial"/>
          <w:color w:val="1A1A1A"/>
          <w:lang w:val="en-US"/>
        </w:rPr>
        <w:t>.</w:t>
      </w:r>
    </w:p>
    <w:bookmarkStart w:id="0" w:name="Skerry"/>
    <w:p w14:paraId="3DDF4CA8" w14:textId="77777777" w:rsidR="00667A96" w:rsidRDefault="005F7CA9" w:rsidP="00667A96">
      <w:pPr>
        <w:spacing w:after="200" w:line="360" w:lineRule="auto"/>
        <w:jc w:val="both"/>
        <w:rPr>
          <w:rFonts w:ascii="Arial" w:hAnsi="Arial" w:cs="Arial"/>
          <w:i/>
          <w:color w:val="1A1A1A"/>
          <w:lang w:val="en-US"/>
        </w:rPr>
      </w:pPr>
      <w:r>
        <w:rPr>
          <w:rFonts w:ascii="Arial" w:hAnsi="Arial" w:cs="Arial"/>
          <w:color w:val="1A1A1A"/>
          <w:lang w:val="en-US"/>
        </w:rPr>
        <w:fldChar w:fldCharType="begin"/>
      </w:r>
      <w:r>
        <w:rPr>
          <w:rFonts w:ascii="Arial" w:hAnsi="Arial" w:cs="Arial"/>
          <w:color w:val="1A1A1A"/>
          <w:lang w:val="en-US"/>
        </w:rPr>
        <w:instrText xml:space="preserve"> HYPERLINK "https://link-springer-com.sheffield.idm.oclc.org/article/10.1007/s00198-017-3950-2" </w:instrText>
      </w:r>
      <w:r>
        <w:rPr>
          <w:rFonts w:ascii="Arial" w:hAnsi="Arial" w:cs="Arial"/>
          <w:color w:val="1A1A1A"/>
          <w:lang w:val="en-US"/>
        </w:rPr>
        <w:fldChar w:fldCharType="separate"/>
      </w:r>
      <w:r w:rsidR="00C30376" w:rsidRPr="005F7CA9">
        <w:rPr>
          <w:rStyle w:val="Hyperlink"/>
          <w:rFonts w:ascii="Arial" w:hAnsi="Arial" w:cs="Arial"/>
          <w:lang w:val="en-US"/>
        </w:rPr>
        <w:t>Skerry</w:t>
      </w:r>
      <w:r w:rsidR="00643076" w:rsidRPr="005F7CA9">
        <w:rPr>
          <w:rStyle w:val="Hyperlink"/>
          <w:rFonts w:ascii="Arial" w:hAnsi="Arial" w:cs="Arial"/>
          <w:lang w:val="en-US"/>
        </w:rPr>
        <w:t xml:space="preserve">, </w:t>
      </w:r>
      <w:r w:rsidR="00C30376" w:rsidRPr="005F7CA9">
        <w:rPr>
          <w:rStyle w:val="Hyperlink"/>
          <w:rFonts w:ascii="Arial" w:hAnsi="Arial" w:cs="Arial"/>
          <w:lang w:val="en-US"/>
        </w:rPr>
        <w:t>T.</w:t>
      </w:r>
      <w:r w:rsidR="00A36B10">
        <w:rPr>
          <w:rStyle w:val="Hyperlink"/>
          <w:rFonts w:ascii="Arial" w:hAnsi="Arial" w:cs="Arial"/>
          <w:lang w:val="en-US"/>
        </w:rPr>
        <w:t xml:space="preserve"> </w:t>
      </w:r>
      <w:r w:rsidR="00C30376" w:rsidRPr="005F7CA9">
        <w:rPr>
          <w:rStyle w:val="Hyperlink"/>
          <w:rFonts w:ascii="Arial" w:hAnsi="Arial" w:cs="Arial"/>
          <w:lang w:val="en-US"/>
        </w:rPr>
        <w:t xml:space="preserve">M., </w:t>
      </w:r>
      <w:bookmarkStart w:id="1" w:name="Samvelyan"/>
      <w:r w:rsidR="00C30376" w:rsidRPr="005F7CA9">
        <w:rPr>
          <w:rStyle w:val="Hyperlink"/>
          <w:rFonts w:ascii="Arial" w:hAnsi="Arial" w:cs="Arial"/>
          <w:b/>
          <w:lang w:val="en-US"/>
        </w:rPr>
        <w:t>Samvelyan</w:t>
      </w:r>
      <w:bookmarkEnd w:id="1"/>
      <w:r w:rsidR="00D463B5">
        <w:rPr>
          <w:rStyle w:val="Hyperlink"/>
          <w:rFonts w:ascii="Arial" w:hAnsi="Arial" w:cs="Arial"/>
          <w:b/>
          <w:lang w:val="en-US"/>
        </w:rPr>
        <w:t>, H.</w:t>
      </w:r>
      <w:r w:rsidR="00C30376" w:rsidRPr="005F7CA9">
        <w:rPr>
          <w:rStyle w:val="Hyperlink"/>
          <w:rFonts w:ascii="Arial" w:hAnsi="Arial" w:cs="Arial"/>
          <w:lang w:val="en-US"/>
        </w:rPr>
        <w:t xml:space="preserve">, </w:t>
      </w:r>
      <w:bookmarkStart w:id="2" w:name="Mathers"/>
      <w:r w:rsidR="00C30376" w:rsidRPr="005F7CA9">
        <w:rPr>
          <w:rStyle w:val="Hyperlink"/>
          <w:rFonts w:ascii="Arial" w:hAnsi="Arial" w:cs="Arial"/>
          <w:lang w:val="en-US"/>
        </w:rPr>
        <w:t>Mathers</w:t>
      </w:r>
      <w:bookmarkEnd w:id="2"/>
      <w:r w:rsidR="00D463B5">
        <w:rPr>
          <w:rStyle w:val="Hyperlink"/>
          <w:rFonts w:ascii="Arial" w:hAnsi="Arial" w:cs="Arial"/>
          <w:lang w:val="en-US"/>
        </w:rPr>
        <w:t>,</w:t>
      </w:r>
      <w:r w:rsidR="00A36B10">
        <w:rPr>
          <w:rStyle w:val="Hyperlink"/>
          <w:rFonts w:ascii="Arial" w:hAnsi="Arial" w:cs="Arial"/>
          <w:lang w:val="en-US"/>
        </w:rPr>
        <w:t xml:space="preserve"> </w:t>
      </w:r>
      <w:r w:rsidR="00D463B5">
        <w:rPr>
          <w:rStyle w:val="Hyperlink"/>
          <w:rFonts w:ascii="Arial" w:hAnsi="Arial" w:cs="Arial"/>
          <w:lang w:val="en-US"/>
        </w:rPr>
        <w:t>J</w:t>
      </w:r>
      <w:r w:rsidR="00C30376" w:rsidRPr="005F7CA9">
        <w:rPr>
          <w:rStyle w:val="Hyperlink"/>
          <w:rFonts w:ascii="Arial" w:hAnsi="Arial" w:cs="Arial"/>
          <w:lang w:val="en-US"/>
        </w:rPr>
        <w:t>.</w:t>
      </w:r>
      <w:bookmarkEnd w:id="0"/>
      <w:r>
        <w:rPr>
          <w:rFonts w:ascii="Arial" w:hAnsi="Arial" w:cs="Arial"/>
          <w:color w:val="1A1A1A"/>
          <w:lang w:val="en-US"/>
        </w:rPr>
        <w:fldChar w:fldCharType="end"/>
      </w:r>
      <w:r w:rsidR="00C30376">
        <w:rPr>
          <w:rFonts w:ascii="Arial" w:hAnsi="Arial" w:cs="Arial"/>
          <w:color w:val="1A1A1A"/>
          <w:lang w:val="en-US"/>
        </w:rPr>
        <w:t xml:space="preserve"> (</w:t>
      </w:r>
      <w:r w:rsidR="00667A96">
        <w:rPr>
          <w:rFonts w:ascii="Arial" w:hAnsi="Arial" w:cs="Arial"/>
          <w:color w:val="1A1A1A"/>
          <w:lang w:val="en-US"/>
        </w:rPr>
        <w:t>2017</w:t>
      </w:r>
      <w:r w:rsidR="006136C6">
        <w:rPr>
          <w:rFonts w:ascii="Arial" w:hAnsi="Arial" w:cs="Arial"/>
          <w:color w:val="1A1A1A"/>
          <w:lang w:val="en-US"/>
        </w:rPr>
        <w:t>)</w:t>
      </w:r>
      <w:r w:rsidR="00C30376">
        <w:rPr>
          <w:rFonts w:ascii="Arial" w:hAnsi="Arial" w:cs="Arial"/>
          <w:color w:val="1A1A1A"/>
          <w:lang w:val="en-US"/>
        </w:rPr>
        <w:t xml:space="preserve"> </w:t>
      </w:r>
      <w:r w:rsidR="00667A96">
        <w:rPr>
          <w:rFonts w:ascii="Arial" w:hAnsi="Arial" w:cs="Arial"/>
          <w:color w:val="1A1A1A"/>
          <w:lang w:val="en-US"/>
        </w:rPr>
        <w:t xml:space="preserve">Timing of eating potentiates the effect of mechanical loading on bone. </w:t>
      </w:r>
      <w:r w:rsidR="00667A96">
        <w:rPr>
          <w:rFonts w:ascii="Arial" w:hAnsi="Arial" w:cs="Arial"/>
          <w:i/>
          <w:color w:val="1A1A1A"/>
          <w:lang w:val="en-US"/>
        </w:rPr>
        <w:t xml:space="preserve">Osteoporosis International, </w:t>
      </w:r>
      <w:r w:rsidR="006136C6">
        <w:rPr>
          <w:rFonts w:ascii="Arial" w:hAnsi="Arial" w:cs="Arial"/>
          <w:color w:val="1A1A1A"/>
          <w:lang w:val="en-US"/>
        </w:rPr>
        <w:t>28(S1):</w:t>
      </w:r>
      <w:r w:rsidR="00667A96">
        <w:rPr>
          <w:rFonts w:ascii="Arial" w:hAnsi="Arial" w:cs="Arial"/>
          <w:color w:val="1A1A1A"/>
          <w:lang w:val="en-US"/>
        </w:rPr>
        <w:t xml:space="preserve"> S466-S467</w:t>
      </w:r>
      <w:r w:rsidR="00811BF9">
        <w:rPr>
          <w:rFonts w:ascii="Arial" w:hAnsi="Arial" w:cs="Arial"/>
          <w:color w:val="1A1A1A"/>
          <w:lang w:val="en-US"/>
        </w:rPr>
        <w:t>.</w:t>
      </w:r>
      <w:r w:rsidR="00667A96">
        <w:rPr>
          <w:rFonts w:ascii="Arial" w:hAnsi="Arial" w:cs="Arial"/>
          <w:i/>
          <w:color w:val="1A1A1A"/>
          <w:lang w:val="en-US"/>
        </w:rPr>
        <w:t xml:space="preserve"> </w:t>
      </w:r>
    </w:p>
    <w:p w14:paraId="3A8C8CC4" w14:textId="77777777" w:rsidR="00667A96" w:rsidRDefault="00667A96" w:rsidP="00667A96">
      <w:pPr>
        <w:spacing w:after="200" w:line="360" w:lineRule="auto"/>
        <w:jc w:val="both"/>
        <w:rPr>
          <w:rFonts w:ascii="Arial" w:hAnsi="Arial" w:cs="Arial"/>
          <w:i/>
          <w:color w:val="1A1A1A"/>
          <w:lang w:val="en-US"/>
        </w:rPr>
      </w:pPr>
    </w:p>
    <w:p w14:paraId="3D011CD6" w14:textId="77777777" w:rsidR="004E394B" w:rsidRDefault="004E394B" w:rsidP="004E39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b/>
          <w:i/>
          <w:color w:val="000000"/>
          <w:sz w:val="32"/>
          <w:szCs w:val="32"/>
          <w:lang w:val="en-US"/>
        </w:rPr>
      </w:pPr>
      <w:r>
        <w:rPr>
          <w:rFonts w:ascii="Arial" w:hAnsi="Arial" w:cs="Arial"/>
          <w:b/>
          <w:i/>
          <w:color w:val="000000"/>
          <w:sz w:val="32"/>
          <w:szCs w:val="32"/>
          <w:lang w:val="en-US"/>
        </w:rPr>
        <w:t>Presentations</w:t>
      </w:r>
    </w:p>
    <w:tbl>
      <w:tblPr>
        <w:tblW w:w="0" w:type="auto"/>
        <w:tblLook w:val="04A0" w:firstRow="1" w:lastRow="0" w:firstColumn="1" w:lastColumn="0" w:noHBand="0" w:noVBand="1"/>
      </w:tblPr>
      <w:tblGrid>
        <w:gridCol w:w="1384"/>
        <w:gridCol w:w="8464"/>
      </w:tblGrid>
      <w:tr w:rsidR="00FB2F94" w14:paraId="38786696" w14:textId="77777777" w:rsidTr="006838BF">
        <w:tc>
          <w:tcPr>
            <w:tcW w:w="1384" w:type="dxa"/>
          </w:tcPr>
          <w:p w14:paraId="6EBC0B37" w14:textId="77777777" w:rsidR="00FB2F94" w:rsidRPr="00A43BE3" w:rsidRDefault="00A43BE3" w:rsidP="00A43B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color w:val="000000"/>
                <w:lang w:val="en-US"/>
              </w:rPr>
            </w:pPr>
            <w:r>
              <w:rPr>
                <w:rFonts w:ascii="Arial" w:hAnsi="Arial" w:cs="Arial"/>
                <w:color w:val="000000"/>
                <w:lang w:val="en-US"/>
              </w:rPr>
              <w:t>2017</w:t>
            </w:r>
          </w:p>
        </w:tc>
        <w:tc>
          <w:tcPr>
            <w:tcW w:w="8464" w:type="dxa"/>
          </w:tcPr>
          <w:p w14:paraId="3F073624" w14:textId="77777777" w:rsidR="00A43BE3" w:rsidRDefault="00A43BE3" w:rsidP="006838BF">
            <w:pPr>
              <w:widowControl w:val="0"/>
              <w:tabs>
                <w:tab w:val="left" w:pos="560"/>
                <w:tab w:val="left" w:pos="85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rPr>
            </w:pPr>
            <w:r>
              <w:rPr>
                <w:rFonts w:ascii="Arial" w:hAnsi="Arial" w:cs="Arial"/>
                <w:b/>
              </w:rPr>
              <w:t xml:space="preserve">Oral and Poster presentation </w:t>
            </w:r>
            <w:r>
              <w:rPr>
                <w:rFonts w:ascii="Arial" w:hAnsi="Arial" w:cs="Arial"/>
              </w:rPr>
              <w:t>at the 44</w:t>
            </w:r>
            <w:r w:rsidRPr="00A43BE3">
              <w:rPr>
                <w:rFonts w:ascii="Arial" w:hAnsi="Arial" w:cs="Arial"/>
                <w:vertAlign w:val="superscript"/>
              </w:rPr>
              <w:t>th</w:t>
            </w:r>
            <w:r>
              <w:rPr>
                <w:rFonts w:ascii="Arial" w:hAnsi="Arial" w:cs="Arial"/>
              </w:rPr>
              <w:t xml:space="preserve"> ECTS Annual Congress, Salzburg, Austria</w:t>
            </w:r>
          </w:p>
          <w:p w14:paraId="12B4D1FB" w14:textId="77777777" w:rsidR="00A43BE3" w:rsidRDefault="00A43BE3" w:rsidP="006838BF">
            <w:pPr>
              <w:widowControl w:val="0"/>
              <w:tabs>
                <w:tab w:val="left" w:pos="560"/>
                <w:tab w:val="left" w:pos="85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i/>
                <w:color w:val="1A1A1A"/>
                <w:lang w:val="en-US"/>
              </w:rPr>
            </w:pPr>
            <w:r w:rsidRPr="00A034B8">
              <w:rPr>
                <w:rFonts w:ascii="Arial" w:hAnsi="Arial" w:cs="Arial"/>
                <w:i/>
                <w:color w:val="1A1A1A"/>
                <w:lang w:val="en-US"/>
              </w:rPr>
              <w:t xml:space="preserve">Feeding after overnight fast potentiates bone’s response to mechanical     loading in </w:t>
            </w:r>
            <w:r>
              <w:rPr>
                <w:rFonts w:ascii="Arial" w:hAnsi="Arial" w:cs="Arial"/>
                <w:i/>
                <w:color w:val="1A1A1A"/>
                <w:lang w:val="en-US"/>
              </w:rPr>
              <w:t xml:space="preserve">young, but not aged </w:t>
            </w:r>
            <w:r w:rsidRPr="00A034B8">
              <w:rPr>
                <w:rFonts w:ascii="Arial" w:hAnsi="Arial" w:cs="Arial"/>
                <w:i/>
                <w:color w:val="1A1A1A"/>
                <w:lang w:val="en-US"/>
              </w:rPr>
              <w:t>mice</w:t>
            </w:r>
          </w:p>
          <w:p w14:paraId="3DE847ED" w14:textId="77777777" w:rsidR="00F90792" w:rsidRDefault="00A43BE3" w:rsidP="00A43BE3">
            <w:pPr>
              <w:widowControl w:val="0"/>
              <w:tabs>
                <w:tab w:val="left" w:pos="560"/>
                <w:tab w:val="left" w:pos="85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360" w:lineRule="auto"/>
              <w:jc w:val="both"/>
              <w:rPr>
                <w:rFonts w:ascii="Arial" w:hAnsi="Arial" w:cs="Arial"/>
                <w:color w:val="1A1A1A"/>
                <w:lang w:val="en-US"/>
              </w:rPr>
            </w:pPr>
            <w:r w:rsidRPr="00667A96">
              <w:rPr>
                <w:rFonts w:ascii="Arial" w:hAnsi="Arial" w:cs="Arial"/>
                <w:b/>
                <w:color w:val="1A1A1A"/>
                <w:lang w:val="en-US"/>
              </w:rPr>
              <w:t>Samvelyan, H. J.</w:t>
            </w:r>
            <w:r w:rsidRPr="002F0AA7">
              <w:rPr>
                <w:rFonts w:ascii="Arial" w:hAnsi="Arial" w:cs="Arial"/>
                <w:b/>
                <w:color w:val="1A1A1A"/>
                <w:lang w:val="en-US"/>
              </w:rPr>
              <w:t>,</w:t>
            </w:r>
            <w:r w:rsidR="00F90792">
              <w:rPr>
                <w:rFonts w:ascii="Arial" w:hAnsi="Arial" w:cs="Arial"/>
                <w:color w:val="1A1A1A"/>
                <w:lang w:val="en-US"/>
              </w:rPr>
              <w:t xml:space="preserve"> Mathers, J.</w:t>
            </w:r>
            <w:r w:rsidR="00AC7CF0">
              <w:rPr>
                <w:rFonts w:ascii="Arial" w:hAnsi="Arial" w:cs="Arial"/>
                <w:color w:val="1A1A1A"/>
                <w:lang w:val="en-US"/>
              </w:rPr>
              <w:t xml:space="preserve"> </w:t>
            </w:r>
            <w:r w:rsidR="00F90792">
              <w:rPr>
                <w:rFonts w:ascii="Arial" w:hAnsi="Arial" w:cs="Arial"/>
                <w:color w:val="1A1A1A"/>
                <w:lang w:val="en-US"/>
              </w:rPr>
              <w:t>C., Skerry, T.</w:t>
            </w:r>
            <w:r w:rsidR="00AC7CF0">
              <w:rPr>
                <w:rFonts w:ascii="Arial" w:hAnsi="Arial" w:cs="Arial"/>
                <w:color w:val="1A1A1A"/>
                <w:lang w:val="en-US"/>
              </w:rPr>
              <w:t xml:space="preserve"> </w:t>
            </w:r>
            <w:r w:rsidR="00F90792">
              <w:rPr>
                <w:rFonts w:ascii="Arial" w:hAnsi="Arial" w:cs="Arial"/>
                <w:color w:val="1A1A1A"/>
                <w:lang w:val="en-US"/>
              </w:rPr>
              <w:t>M.</w:t>
            </w:r>
          </w:p>
          <w:p w14:paraId="131C1C5A" w14:textId="77777777" w:rsidR="00F90792" w:rsidRPr="006838BF" w:rsidRDefault="00F90792" w:rsidP="00A43BE3">
            <w:pPr>
              <w:widowControl w:val="0"/>
              <w:tabs>
                <w:tab w:val="left" w:pos="560"/>
                <w:tab w:val="left" w:pos="85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360" w:lineRule="auto"/>
              <w:jc w:val="both"/>
              <w:rPr>
                <w:rFonts w:ascii="Arial" w:hAnsi="Arial" w:cs="Arial"/>
                <w:color w:val="1A1A1A"/>
                <w:lang w:val="en-US"/>
              </w:rPr>
            </w:pPr>
          </w:p>
        </w:tc>
      </w:tr>
      <w:tr w:rsidR="00A43BE3" w14:paraId="41981E16" w14:textId="77777777" w:rsidTr="006838BF">
        <w:tc>
          <w:tcPr>
            <w:tcW w:w="1384" w:type="dxa"/>
          </w:tcPr>
          <w:p w14:paraId="7E0463AD" w14:textId="77777777" w:rsidR="00A43BE3" w:rsidRDefault="00A43BE3" w:rsidP="00A43B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color w:val="000000"/>
                <w:lang w:val="en-US"/>
              </w:rPr>
            </w:pPr>
            <w:r>
              <w:rPr>
                <w:rFonts w:ascii="Arial" w:hAnsi="Arial" w:cs="Arial"/>
                <w:color w:val="000000"/>
                <w:lang w:val="en-US"/>
              </w:rPr>
              <w:t>2016</w:t>
            </w:r>
          </w:p>
        </w:tc>
        <w:tc>
          <w:tcPr>
            <w:tcW w:w="8464" w:type="dxa"/>
          </w:tcPr>
          <w:p w14:paraId="0970E63A" w14:textId="77777777" w:rsidR="00A43BE3" w:rsidRDefault="00A43BE3" w:rsidP="006838BF">
            <w:pPr>
              <w:widowControl w:val="0"/>
              <w:tabs>
                <w:tab w:val="left" w:pos="560"/>
                <w:tab w:val="left" w:pos="85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rPr>
            </w:pPr>
            <w:r>
              <w:rPr>
                <w:rFonts w:ascii="Arial" w:hAnsi="Arial" w:cs="Arial"/>
                <w:b/>
              </w:rPr>
              <w:t xml:space="preserve">Poster presentation </w:t>
            </w:r>
            <w:r w:rsidRPr="00A43BE3">
              <w:rPr>
                <w:rFonts w:ascii="Arial" w:hAnsi="Arial" w:cs="Arial"/>
              </w:rPr>
              <w:t>at the</w:t>
            </w:r>
            <w:r>
              <w:rPr>
                <w:rFonts w:ascii="Arial" w:hAnsi="Arial" w:cs="Arial"/>
                <w:b/>
              </w:rPr>
              <w:t xml:space="preserve"> </w:t>
            </w:r>
            <w:r w:rsidRPr="00A43BE3">
              <w:rPr>
                <w:rFonts w:ascii="Arial" w:hAnsi="Arial" w:cs="Arial"/>
              </w:rPr>
              <w:t xml:space="preserve">ASBMR Annual Meeting, </w:t>
            </w:r>
            <w:r>
              <w:rPr>
                <w:rFonts w:ascii="Arial" w:hAnsi="Arial" w:cs="Arial"/>
              </w:rPr>
              <w:t xml:space="preserve">Georgia, </w:t>
            </w:r>
            <w:r w:rsidRPr="00A43BE3">
              <w:rPr>
                <w:rFonts w:ascii="Arial" w:hAnsi="Arial" w:cs="Arial"/>
              </w:rPr>
              <w:t>Atlanta,</w:t>
            </w:r>
            <w:r>
              <w:rPr>
                <w:rFonts w:ascii="Arial" w:hAnsi="Arial" w:cs="Arial"/>
                <w:b/>
              </w:rPr>
              <w:t xml:space="preserve"> </w:t>
            </w:r>
            <w:r w:rsidRPr="00A43BE3">
              <w:rPr>
                <w:rFonts w:ascii="Arial" w:hAnsi="Arial" w:cs="Arial"/>
              </w:rPr>
              <w:t>USA</w:t>
            </w:r>
          </w:p>
          <w:p w14:paraId="4B3CF4A5" w14:textId="77777777" w:rsidR="00A43BE3" w:rsidRDefault="00A43BE3" w:rsidP="006838BF">
            <w:pPr>
              <w:widowControl w:val="0"/>
              <w:tabs>
                <w:tab w:val="left" w:pos="560"/>
                <w:tab w:val="left" w:pos="85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rPr>
            </w:pPr>
            <w:r w:rsidRPr="002F0AA7">
              <w:rPr>
                <w:rFonts w:ascii="Arial" w:hAnsi="Arial" w:cs="Arial"/>
                <w:i/>
                <w:color w:val="1A1A1A"/>
                <w:lang w:val="en-US"/>
              </w:rPr>
              <w:t>Feeding after overnight fast enhances bone’s response to mechanical loading</w:t>
            </w:r>
            <w:r w:rsidRPr="008E725F">
              <w:rPr>
                <w:rFonts w:ascii="Arial" w:hAnsi="Arial" w:cs="Arial"/>
                <w:color w:val="1A1A1A"/>
                <w:lang w:val="en-US"/>
              </w:rPr>
              <w:t xml:space="preserve"> </w:t>
            </w:r>
            <w:r>
              <w:rPr>
                <w:rFonts w:ascii="Arial" w:hAnsi="Arial" w:cs="Arial"/>
                <w:color w:val="1A1A1A"/>
                <w:lang w:val="en-US"/>
              </w:rPr>
              <w:t xml:space="preserve">  </w:t>
            </w:r>
            <w:r w:rsidRPr="002F0AA7">
              <w:rPr>
                <w:rFonts w:ascii="Arial" w:hAnsi="Arial" w:cs="Arial"/>
                <w:i/>
                <w:color w:val="1A1A1A"/>
                <w:lang w:val="en-US"/>
              </w:rPr>
              <w:t>in mice</w:t>
            </w:r>
            <w:r>
              <w:rPr>
                <w:rFonts w:ascii="Arial" w:hAnsi="Arial" w:cs="Arial"/>
                <w:color w:val="1A1A1A"/>
                <w:lang w:val="en-US"/>
              </w:rPr>
              <w:t xml:space="preserve">  </w:t>
            </w:r>
          </w:p>
          <w:p w14:paraId="7C8232E8" w14:textId="77777777" w:rsidR="00F90792" w:rsidRDefault="00A43BE3" w:rsidP="00A43BE3">
            <w:pPr>
              <w:spacing w:after="200" w:line="360" w:lineRule="auto"/>
              <w:jc w:val="both"/>
              <w:rPr>
                <w:rFonts w:ascii="Arial" w:hAnsi="Arial" w:cs="Arial"/>
                <w:color w:val="1A1A1A"/>
                <w:lang w:val="en-US"/>
              </w:rPr>
            </w:pPr>
            <w:r w:rsidRPr="002F0AA7">
              <w:rPr>
                <w:rFonts w:ascii="Arial" w:hAnsi="Arial" w:cs="Arial"/>
                <w:b/>
                <w:color w:val="1A1A1A"/>
                <w:lang w:val="en-US"/>
              </w:rPr>
              <w:t>Samvelyan, H.</w:t>
            </w:r>
            <w:r w:rsidRPr="002F0AA7">
              <w:rPr>
                <w:rFonts w:ascii="Arial" w:hAnsi="Arial" w:cs="Arial"/>
                <w:color w:val="1A1A1A"/>
                <w:lang w:val="en-US"/>
              </w:rPr>
              <w:t xml:space="preserve">, </w:t>
            </w:r>
            <w:r w:rsidR="001D55E8">
              <w:rPr>
                <w:rFonts w:ascii="Arial" w:hAnsi="Arial" w:cs="Arial"/>
                <w:color w:val="1A1A1A"/>
                <w:lang w:val="en-US"/>
              </w:rPr>
              <w:t>Mathers, J., Skerry, T.</w:t>
            </w:r>
          </w:p>
          <w:p w14:paraId="29E7EDBC" w14:textId="77777777" w:rsidR="001D55E8" w:rsidRPr="00A43BE3" w:rsidRDefault="001D55E8" w:rsidP="00A43BE3">
            <w:pPr>
              <w:spacing w:after="200" w:line="360" w:lineRule="auto"/>
              <w:jc w:val="both"/>
              <w:rPr>
                <w:rFonts w:ascii="Arial" w:hAnsi="Arial" w:cs="Arial"/>
                <w:color w:val="1A1A1A"/>
                <w:lang w:val="en-US"/>
              </w:rPr>
            </w:pPr>
          </w:p>
        </w:tc>
      </w:tr>
      <w:tr w:rsidR="00A43BE3" w14:paraId="6540D3B7" w14:textId="77777777" w:rsidTr="006838BF">
        <w:tc>
          <w:tcPr>
            <w:tcW w:w="1384" w:type="dxa"/>
          </w:tcPr>
          <w:p w14:paraId="03C71534" w14:textId="77777777" w:rsidR="00A43BE3" w:rsidRDefault="00A43BE3" w:rsidP="00A43B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color w:val="000000"/>
                <w:lang w:val="en-US"/>
              </w:rPr>
            </w:pPr>
            <w:r>
              <w:rPr>
                <w:rFonts w:ascii="Arial" w:hAnsi="Arial" w:cs="Arial"/>
                <w:color w:val="000000"/>
                <w:lang w:val="en-US"/>
              </w:rPr>
              <w:t>2016</w:t>
            </w:r>
          </w:p>
        </w:tc>
        <w:tc>
          <w:tcPr>
            <w:tcW w:w="8464" w:type="dxa"/>
          </w:tcPr>
          <w:p w14:paraId="07850BE4" w14:textId="77777777" w:rsidR="00A43BE3" w:rsidRDefault="00A43BE3" w:rsidP="006838BF">
            <w:pPr>
              <w:tabs>
                <w:tab w:val="left" w:pos="1276"/>
              </w:tabs>
              <w:spacing w:line="360" w:lineRule="auto"/>
              <w:jc w:val="both"/>
              <w:rPr>
                <w:rFonts w:ascii="Arial" w:hAnsi="Arial" w:cs="Arial"/>
              </w:rPr>
            </w:pPr>
            <w:r w:rsidRPr="00C55EA1">
              <w:rPr>
                <w:rFonts w:ascii="Arial" w:hAnsi="Arial" w:cs="Arial"/>
                <w:b/>
              </w:rPr>
              <w:t>Poster presentation</w:t>
            </w:r>
            <w:r w:rsidRPr="00C55EA1">
              <w:rPr>
                <w:rFonts w:ascii="Arial" w:hAnsi="Arial" w:cs="Arial"/>
              </w:rPr>
              <w:t xml:space="preserve"> at</w:t>
            </w:r>
            <w:r>
              <w:rPr>
                <w:rFonts w:ascii="Arial" w:hAnsi="Arial" w:cs="Arial"/>
                <w:i/>
              </w:rPr>
              <w:t xml:space="preserve"> </w:t>
            </w:r>
            <w:r w:rsidRPr="00C55EA1">
              <w:rPr>
                <w:rFonts w:ascii="Arial" w:hAnsi="Arial" w:cs="Arial"/>
              </w:rPr>
              <w:t>the 66</w:t>
            </w:r>
            <w:r w:rsidRPr="00C55EA1">
              <w:rPr>
                <w:rFonts w:ascii="Arial" w:hAnsi="Arial" w:cs="Arial"/>
                <w:vertAlign w:val="superscript"/>
              </w:rPr>
              <w:t>th</w:t>
            </w:r>
            <w:r w:rsidRPr="00C55EA1">
              <w:rPr>
                <w:rFonts w:ascii="Arial" w:hAnsi="Arial" w:cs="Arial"/>
              </w:rPr>
              <w:t xml:space="preserve"> BSRA Annual Scientific Meeting, Durham</w:t>
            </w:r>
            <w:r>
              <w:rPr>
                <w:rFonts w:ascii="Arial" w:hAnsi="Arial" w:cs="Arial"/>
              </w:rPr>
              <w:t>, UK</w:t>
            </w:r>
          </w:p>
          <w:p w14:paraId="1625CC73" w14:textId="77777777" w:rsidR="006838BF" w:rsidRDefault="00A43BE3" w:rsidP="006838BF">
            <w:pPr>
              <w:tabs>
                <w:tab w:val="left" w:pos="1276"/>
              </w:tabs>
              <w:spacing w:line="360" w:lineRule="auto"/>
              <w:jc w:val="both"/>
              <w:rPr>
                <w:rFonts w:ascii="Arial" w:hAnsi="Arial" w:cs="Arial"/>
                <w:color w:val="1A1A1A"/>
                <w:lang w:val="en-US"/>
              </w:rPr>
            </w:pPr>
            <w:r w:rsidRPr="0074241F">
              <w:rPr>
                <w:rFonts w:ascii="Arial" w:hAnsi="Arial" w:cs="Arial"/>
                <w:i/>
                <w:color w:val="1A1A1A"/>
                <w:lang w:val="en-US"/>
              </w:rPr>
              <w:t>Feeding after overnight fast enhances bone’s response to mechanical loading</w:t>
            </w:r>
          </w:p>
          <w:p w14:paraId="4321081B" w14:textId="77777777" w:rsidR="00A43BE3" w:rsidRPr="00A43BE3" w:rsidRDefault="00A43BE3" w:rsidP="001D55E8">
            <w:pPr>
              <w:tabs>
                <w:tab w:val="left" w:pos="1276"/>
              </w:tabs>
              <w:spacing w:after="200" w:line="360" w:lineRule="auto"/>
              <w:jc w:val="both"/>
              <w:rPr>
                <w:rFonts w:ascii="Arial" w:hAnsi="Arial" w:cs="Arial"/>
                <w:color w:val="1A1A1A"/>
                <w:lang w:val="en-US"/>
              </w:rPr>
            </w:pPr>
            <w:r w:rsidRPr="00C55EA1">
              <w:rPr>
                <w:rFonts w:ascii="Arial" w:hAnsi="Arial" w:cs="Arial"/>
                <w:b/>
                <w:color w:val="1A1A1A"/>
                <w:lang w:val="en-US"/>
              </w:rPr>
              <w:t>Samvelyan, H.</w:t>
            </w:r>
            <w:r w:rsidR="003F672F">
              <w:rPr>
                <w:rFonts w:ascii="Arial" w:hAnsi="Arial" w:cs="Arial"/>
                <w:b/>
                <w:color w:val="1A1A1A"/>
                <w:lang w:val="en-US"/>
              </w:rPr>
              <w:t xml:space="preserve"> </w:t>
            </w:r>
            <w:r w:rsidRPr="00C55EA1">
              <w:rPr>
                <w:rFonts w:ascii="Arial" w:hAnsi="Arial" w:cs="Arial"/>
                <w:b/>
                <w:color w:val="1A1A1A"/>
                <w:lang w:val="en-US"/>
              </w:rPr>
              <w:t>J.</w:t>
            </w:r>
            <w:r>
              <w:rPr>
                <w:rFonts w:ascii="Arial" w:hAnsi="Arial" w:cs="Arial"/>
                <w:color w:val="1A1A1A"/>
                <w:lang w:val="en-US"/>
              </w:rPr>
              <w:t>, Mathers, J.</w:t>
            </w:r>
            <w:r w:rsidR="003F672F">
              <w:rPr>
                <w:rFonts w:ascii="Arial" w:hAnsi="Arial" w:cs="Arial"/>
                <w:color w:val="1A1A1A"/>
                <w:lang w:val="en-US"/>
              </w:rPr>
              <w:t xml:space="preserve"> </w:t>
            </w:r>
            <w:r>
              <w:rPr>
                <w:rFonts w:ascii="Arial" w:hAnsi="Arial" w:cs="Arial"/>
                <w:color w:val="1A1A1A"/>
                <w:lang w:val="en-US"/>
              </w:rPr>
              <w:t>C., Skerry, T.</w:t>
            </w:r>
            <w:r w:rsidR="003F672F">
              <w:rPr>
                <w:rFonts w:ascii="Arial" w:hAnsi="Arial" w:cs="Arial"/>
                <w:color w:val="1A1A1A"/>
                <w:lang w:val="en-US"/>
              </w:rPr>
              <w:t xml:space="preserve"> </w:t>
            </w:r>
            <w:r>
              <w:rPr>
                <w:rFonts w:ascii="Arial" w:hAnsi="Arial" w:cs="Arial"/>
                <w:color w:val="1A1A1A"/>
                <w:lang w:val="en-US"/>
              </w:rPr>
              <w:t>M.</w:t>
            </w:r>
          </w:p>
        </w:tc>
      </w:tr>
    </w:tbl>
    <w:p w14:paraId="03070081" w14:textId="77777777" w:rsidR="00845B4D" w:rsidRDefault="00845B4D" w:rsidP="00A43B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color w:val="000000"/>
          <w:lang w:val="en-US"/>
        </w:rPr>
        <w:sectPr w:rsidR="00845B4D" w:rsidSect="00E771EA">
          <w:pgSz w:w="11900" w:h="16840"/>
          <w:pgMar w:top="1134" w:right="1134" w:bottom="1134" w:left="1134" w:header="709" w:footer="709" w:gutter="0"/>
          <w:pgNumType w:start="1" w:chapStyle="1"/>
          <w:cols w:space="708"/>
          <w:titlePg/>
          <w:docGrid w:linePitch="360"/>
        </w:sectPr>
      </w:pPr>
    </w:p>
    <w:tbl>
      <w:tblPr>
        <w:tblW w:w="0" w:type="auto"/>
        <w:tblLook w:val="04A0" w:firstRow="1" w:lastRow="0" w:firstColumn="1" w:lastColumn="0" w:noHBand="0" w:noVBand="1"/>
      </w:tblPr>
      <w:tblGrid>
        <w:gridCol w:w="1382"/>
        <w:gridCol w:w="8450"/>
      </w:tblGrid>
      <w:tr w:rsidR="00A43BE3" w14:paraId="45312B0B" w14:textId="77777777" w:rsidTr="007C1D34">
        <w:trPr>
          <w:trHeight w:val="2493"/>
        </w:trPr>
        <w:tc>
          <w:tcPr>
            <w:tcW w:w="1382" w:type="dxa"/>
          </w:tcPr>
          <w:p w14:paraId="3EAB135B" w14:textId="77777777" w:rsidR="00A43BE3" w:rsidRDefault="00A43BE3" w:rsidP="00A43B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color w:val="000000"/>
                <w:lang w:val="en-US"/>
              </w:rPr>
            </w:pPr>
            <w:r>
              <w:rPr>
                <w:rFonts w:ascii="Arial" w:hAnsi="Arial" w:cs="Arial"/>
                <w:color w:val="000000"/>
                <w:lang w:val="en-US"/>
              </w:rPr>
              <w:lastRenderedPageBreak/>
              <w:t>2016</w:t>
            </w:r>
          </w:p>
        </w:tc>
        <w:tc>
          <w:tcPr>
            <w:tcW w:w="8450" w:type="dxa"/>
          </w:tcPr>
          <w:p w14:paraId="44125045" w14:textId="77777777" w:rsidR="00A43BE3" w:rsidRPr="00621D44" w:rsidRDefault="00A43BE3" w:rsidP="00F90792">
            <w:pPr>
              <w:tabs>
                <w:tab w:val="left" w:pos="1276"/>
              </w:tabs>
              <w:spacing w:line="360" w:lineRule="auto"/>
              <w:jc w:val="both"/>
              <w:rPr>
                <w:rFonts w:ascii="Arial" w:hAnsi="Arial" w:cs="Arial"/>
              </w:rPr>
            </w:pPr>
            <w:r w:rsidRPr="00621D44">
              <w:rPr>
                <w:rFonts w:ascii="Arial" w:hAnsi="Arial" w:cs="Arial"/>
                <w:b/>
              </w:rPr>
              <w:t>Poster presentation</w:t>
            </w:r>
            <w:r>
              <w:rPr>
                <w:rFonts w:ascii="Arial" w:hAnsi="Arial" w:cs="Arial"/>
                <w:i/>
              </w:rPr>
              <w:t xml:space="preserve"> </w:t>
            </w:r>
            <w:r w:rsidRPr="00621D44">
              <w:rPr>
                <w:rFonts w:ascii="Arial" w:hAnsi="Arial" w:cs="Arial"/>
              </w:rPr>
              <w:t>at the</w:t>
            </w:r>
            <w:r>
              <w:rPr>
                <w:rFonts w:ascii="Arial" w:hAnsi="Arial" w:cs="Arial"/>
                <w:i/>
              </w:rPr>
              <w:t xml:space="preserve"> </w:t>
            </w:r>
            <w:r>
              <w:rPr>
                <w:rFonts w:ascii="Arial" w:hAnsi="Arial" w:cs="Arial"/>
              </w:rPr>
              <w:t>MouseAge ECOST</w:t>
            </w:r>
            <w:r w:rsidR="00F00ECC">
              <w:rPr>
                <w:rFonts w:ascii="Arial" w:hAnsi="Arial" w:cs="Arial"/>
              </w:rPr>
              <w:t xml:space="preserve"> Action</w:t>
            </w:r>
            <w:r>
              <w:rPr>
                <w:rFonts w:ascii="Arial" w:hAnsi="Arial" w:cs="Arial"/>
              </w:rPr>
              <w:t xml:space="preserve">, </w:t>
            </w:r>
            <w:r w:rsidRPr="00621D44">
              <w:rPr>
                <w:rFonts w:ascii="Arial" w:hAnsi="Arial" w:cs="Arial"/>
              </w:rPr>
              <w:t>Madrid, Spain</w:t>
            </w:r>
          </w:p>
          <w:p w14:paraId="0D9E391E" w14:textId="77777777" w:rsidR="00A43BE3" w:rsidRDefault="00A43BE3" w:rsidP="00F90792">
            <w:pPr>
              <w:tabs>
                <w:tab w:val="left" w:pos="1276"/>
              </w:tabs>
              <w:spacing w:line="360" w:lineRule="auto"/>
              <w:jc w:val="both"/>
              <w:rPr>
                <w:rFonts w:ascii="Arial" w:hAnsi="Arial" w:cs="Arial"/>
                <w:i/>
                <w:color w:val="1A1A1A"/>
                <w:lang w:val="en-US"/>
              </w:rPr>
            </w:pPr>
            <w:r>
              <w:rPr>
                <w:rFonts w:ascii="Arial" w:hAnsi="Arial" w:cs="Arial"/>
                <w:i/>
                <w:color w:val="1A1A1A"/>
                <w:lang w:val="en-US"/>
              </w:rPr>
              <w:t>The effect of timing of feeding</w:t>
            </w:r>
            <w:r w:rsidRPr="00621D44">
              <w:rPr>
                <w:rFonts w:ascii="Arial" w:hAnsi="Arial" w:cs="Arial"/>
                <w:i/>
                <w:color w:val="1A1A1A"/>
                <w:lang w:val="en-US"/>
              </w:rPr>
              <w:t xml:space="preserve"> </w:t>
            </w:r>
            <w:r>
              <w:rPr>
                <w:rFonts w:ascii="Arial" w:hAnsi="Arial" w:cs="Arial"/>
                <w:i/>
                <w:color w:val="1A1A1A"/>
                <w:lang w:val="en-US"/>
              </w:rPr>
              <w:t>on bone’s response to maximal mechanical loading in young mice</w:t>
            </w:r>
          </w:p>
          <w:p w14:paraId="0A01E368" w14:textId="77777777" w:rsidR="00A43BE3" w:rsidRDefault="00A43BE3" w:rsidP="00A43BE3">
            <w:pPr>
              <w:tabs>
                <w:tab w:val="left" w:pos="1276"/>
              </w:tabs>
              <w:spacing w:after="200" w:line="360" w:lineRule="auto"/>
              <w:jc w:val="both"/>
              <w:rPr>
                <w:rFonts w:ascii="Arial" w:hAnsi="Arial" w:cs="Arial"/>
                <w:color w:val="1A1A1A"/>
                <w:lang w:val="en-US"/>
              </w:rPr>
            </w:pPr>
            <w:r w:rsidRPr="00621D44">
              <w:rPr>
                <w:rFonts w:ascii="Arial" w:hAnsi="Arial" w:cs="Arial"/>
                <w:b/>
                <w:color w:val="1A1A1A"/>
                <w:lang w:val="en-US"/>
              </w:rPr>
              <w:t>Samvelyan, H.</w:t>
            </w:r>
            <w:r w:rsidR="003F672F">
              <w:rPr>
                <w:rFonts w:ascii="Arial" w:hAnsi="Arial" w:cs="Arial"/>
                <w:b/>
                <w:color w:val="1A1A1A"/>
                <w:lang w:val="en-US"/>
              </w:rPr>
              <w:t xml:space="preserve"> </w:t>
            </w:r>
            <w:r w:rsidRPr="00621D44">
              <w:rPr>
                <w:rFonts w:ascii="Arial" w:hAnsi="Arial" w:cs="Arial"/>
                <w:b/>
                <w:color w:val="1A1A1A"/>
                <w:lang w:val="en-US"/>
              </w:rPr>
              <w:t>J.</w:t>
            </w:r>
            <w:r>
              <w:rPr>
                <w:rFonts w:ascii="Arial" w:hAnsi="Arial" w:cs="Arial"/>
                <w:color w:val="1A1A1A"/>
                <w:lang w:val="en-US"/>
              </w:rPr>
              <w:t>, Mathers, J.</w:t>
            </w:r>
            <w:r w:rsidR="003F672F">
              <w:rPr>
                <w:rFonts w:ascii="Arial" w:hAnsi="Arial" w:cs="Arial"/>
                <w:color w:val="1A1A1A"/>
                <w:lang w:val="en-US"/>
              </w:rPr>
              <w:t xml:space="preserve"> </w:t>
            </w:r>
            <w:r>
              <w:rPr>
                <w:rFonts w:ascii="Arial" w:hAnsi="Arial" w:cs="Arial"/>
                <w:color w:val="1A1A1A"/>
                <w:lang w:val="en-US"/>
              </w:rPr>
              <w:t>C., Skerry, T.</w:t>
            </w:r>
            <w:r w:rsidR="003F672F">
              <w:rPr>
                <w:rFonts w:ascii="Arial" w:hAnsi="Arial" w:cs="Arial"/>
                <w:color w:val="1A1A1A"/>
                <w:lang w:val="en-US"/>
              </w:rPr>
              <w:t xml:space="preserve"> </w:t>
            </w:r>
            <w:r>
              <w:rPr>
                <w:rFonts w:ascii="Arial" w:hAnsi="Arial" w:cs="Arial"/>
                <w:color w:val="1A1A1A"/>
                <w:lang w:val="en-US"/>
              </w:rPr>
              <w:t>M.</w:t>
            </w:r>
          </w:p>
          <w:p w14:paraId="057DC668" w14:textId="77777777" w:rsidR="00F90792" w:rsidRPr="00A43BE3" w:rsidRDefault="00F90792" w:rsidP="00A43BE3">
            <w:pPr>
              <w:tabs>
                <w:tab w:val="left" w:pos="1276"/>
              </w:tabs>
              <w:spacing w:after="200" w:line="360" w:lineRule="auto"/>
              <w:jc w:val="both"/>
              <w:rPr>
                <w:rFonts w:ascii="Arial" w:hAnsi="Arial" w:cs="Arial"/>
                <w:i/>
                <w:color w:val="1A1A1A"/>
                <w:lang w:val="en-US"/>
              </w:rPr>
            </w:pPr>
          </w:p>
        </w:tc>
      </w:tr>
      <w:tr w:rsidR="00A43BE3" w14:paraId="599AB497" w14:textId="77777777" w:rsidTr="007C1D34">
        <w:trPr>
          <w:trHeight w:val="2516"/>
        </w:trPr>
        <w:tc>
          <w:tcPr>
            <w:tcW w:w="1382" w:type="dxa"/>
          </w:tcPr>
          <w:p w14:paraId="0A4D25BB" w14:textId="77777777" w:rsidR="00A43BE3" w:rsidRDefault="00A43BE3" w:rsidP="00F907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000000"/>
                <w:lang w:val="en-US"/>
              </w:rPr>
            </w:pPr>
            <w:r>
              <w:rPr>
                <w:rFonts w:ascii="Arial" w:hAnsi="Arial" w:cs="Arial"/>
              </w:rPr>
              <w:t>2016</w:t>
            </w:r>
          </w:p>
        </w:tc>
        <w:tc>
          <w:tcPr>
            <w:tcW w:w="8450" w:type="dxa"/>
          </w:tcPr>
          <w:p w14:paraId="4CAD3D84" w14:textId="77777777" w:rsidR="00A43BE3" w:rsidRPr="00A81F79" w:rsidRDefault="00A43BE3" w:rsidP="00F90792">
            <w:pPr>
              <w:tabs>
                <w:tab w:val="left" w:pos="1276"/>
              </w:tabs>
              <w:spacing w:line="360" w:lineRule="auto"/>
              <w:jc w:val="both"/>
              <w:rPr>
                <w:rFonts w:ascii="Arial" w:hAnsi="Arial" w:cs="Arial"/>
              </w:rPr>
            </w:pPr>
            <w:r w:rsidRPr="00A81F79">
              <w:rPr>
                <w:rFonts w:ascii="Arial" w:hAnsi="Arial" w:cs="Arial"/>
                <w:b/>
                <w:color w:val="1A1A1A"/>
                <w:lang w:val="en-US"/>
              </w:rPr>
              <w:t>Poster presentation</w:t>
            </w:r>
            <w:r w:rsidRPr="00F11080">
              <w:rPr>
                <w:rFonts w:ascii="Arial" w:hAnsi="Arial" w:cs="Arial"/>
                <w:i/>
                <w:color w:val="1A1A1A"/>
                <w:lang w:val="en-US"/>
              </w:rPr>
              <w:t xml:space="preserve"> </w:t>
            </w:r>
            <w:r w:rsidRPr="00A81F79">
              <w:rPr>
                <w:rFonts w:ascii="Arial" w:hAnsi="Arial" w:cs="Arial"/>
                <w:color w:val="1A1A1A"/>
                <w:lang w:val="en-US"/>
              </w:rPr>
              <w:t xml:space="preserve">at </w:t>
            </w:r>
            <w:r>
              <w:rPr>
                <w:rFonts w:ascii="Arial" w:hAnsi="Arial" w:cs="Arial"/>
                <w:color w:val="1A1A1A"/>
                <w:lang w:val="en-US"/>
              </w:rPr>
              <w:t xml:space="preserve">the </w:t>
            </w:r>
            <w:r w:rsidRPr="00A81F79">
              <w:rPr>
                <w:rFonts w:ascii="Arial" w:hAnsi="Arial" w:cs="Arial"/>
                <w:color w:val="1A1A1A"/>
                <w:lang w:val="en-US"/>
              </w:rPr>
              <w:t>IBMS</w:t>
            </w:r>
            <w:r>
              <w:rPr>
                <w:rFonts w:ascii="Arial" w:hAnsi="Arial" w:cs="Arial"/>
              </w:rPr>
              <w:t xml:space="preserve"> </w:t>
            </w:r>
            <w:r w:rsidRPr="00A81F79">
              <w:rPr>
                <w:rFonts w:ascii="Arial" w:hAnsi="Arial" w:cs="Arial"/>
                <w:color w:val="1A1A1A"/>
                <w:lang w:val="en-US"/>
              </w:rPr>
              <w:t>Herbert Fleisch workshop, Brugge, Brussels</w:t>
            </w:r>
          </w:p>
          <w:p w14:paraId="2D1DCED7" w14:textId="77777777" w:rsidR="00A43BE3" w:rsidRDefault="00A43BE3" w:rsidP="00F90792">
            <w:pPr>
              <w:spacing w:line="360" w:lineRule="auto"/>
              <w:jc w:val="both"/>
              <w:rPr>
                <w:rFonts w:ascii="Arial" w:hAnsi="Arial" w:cs="Arial"/>
                <w:i/>
                <w:color w:val="1A1A1A"/>
                <w:lang w:val="en-US"/>
              </w:rPr>
            </w:pPr>
            <w:r w:rsidRPr="00A81F79">
              <w:rPr>
                <w:rFonts w:ascii="Arial" w:hAnsi="Arial" w:cs="Arial"/>
                <w:i/>
                <w:color w:val="1A1A1A"/>
                <w:lang w:val="en-US"/>
              </w:rPr>
              <w:t xml:space="preserve">Timing of feeding </w:t>
            </w:r>
            <w:r>
              <w:rPr>
                <w:rFonts w:ascii="Arial" w:hAnsi="Arial" w:cs="Arial"/>
                <w:i/>
                <w:color w:val="1A1A1A"/>
                <w:lang w:val="en-US"/>
              </w:rPr>
              <w:t>potentiates</w:t>
            </w:r>
            <w:r w:rsidRPr="00A81F79">
              <w:rPr>
                <w:rFonts w:ascii="Arial" w:hAnsi="Arial" w:cs="Arial"/>
                <w:i/>
                <w:color w:val="1A1A1A"/>
                <w:lang w:val="en-US"/>
              </w:rPr>
              <w:t xml:space="preserve"> the </w:t>
            </w:r>
            <w:r>
              <w:rPr>
                <w:rFonts w:ascii="Arial" w:hAnsi="Arial" w:cs="Arial"/>
                <w:i/>
                <w:color w:val="1A1A1A"/>
                <w:lang w:val="en-US"/>
              </w:rPr>
              <w:t xml:space="preserve">effect of osteogenic mechanical loading on mouse </w:t>
            </w:r>
            <w:r w:rsidRPr="00A81F79">
              <w:rPr>
                <w:rFonts w:ascii="Arial" w:hAnsi="Arial" w:cs="Arial"/>
                <w:i/>
                <w:color w:val="1A1A1A"/>
                <w:lang w:val="en-US"/>
              </w:rPr>
              <w:t>bone</w:t>
            </w:r>
            <w:r>
              <w:rPr>
                <w:rFonts w:ascii="Arial" w:hAnsi="Arial" w:cs="Arial"/>
                <w:i/>
                <w:color w:val="1A1A1A"/>
                <w:lang w:val="en-US"/>
              </w:rPr>
              <w:t xml:space="preserve"> </w:t>
            </w:r>
          </w:p>
          <w:p w14:paraId="6B94D86F" w14:textId="77777777" w:rsidR="00A43BE3" w:rsidRDefault="00A43BE3" w:rsidP="00F90792">
            <w:pPr>
              <w:spacing w:line="360" w:lineRule="auto"/>
              <w:jc w:val="both"/>
              <w:rPr>
                <w:rFonts w:ascii="Arial" w:hAnsi="Arial" w:cs="Arial"/>
                <w:color w:val="1A1A1A"/>
                <w:lang w:val="en-US"/>
              </w:rPr>
            </w:pPr>
            <w:r w:rsidRPr="00A81F79">
              <w:rPr>
                <w:rFonts w:ascii="Arial" w:hAnsi="Arial" w:cs="Arial"/>
                <w:b/>
                <w:color w:val="1A1A1A"/>
                <w:lang w:val="en-US"/>
              </w:rPr>
              <w:t>Samvelyan, H.</w:t>
            </w:r>
            <w:r w:rsidR="003F672F">
              <w:rPr>
                <w:rFonts w:ascii="Arial" w:hAnsi="Arial" w:cs="Arial"/>
                <w:b/>
                <w:color w:val="1A1A1A"/>
                <w:lang w:val="en-US"/>
              </w:rPr>
              <w:t xml:space="preserve"> </w:t>
            </w:r>
            <w:r w:rsidRPr="00A81F79">
              <w:rPr>
                <w:rFonts w:ascii="Arial" w:hAnsi="Arial" w:cs="Arial"/>
                <w:b/>
                <w:color w:val="1A1A1A"/>
                <w:lang w:val="en-US"/>
              </w:rPr>
              <w:t>J.</w:t>
            </w:r>
            <w:r>
              <w:rPr>
                <w:rFonts w:ascii="Arial" w:hAnsi="Arial" w:cs="Arial"/>
                <w:color w:val="1A1A1A"/>
                <w:lang w:val="en-US"/>
              </w:rPr>
              <w:t>, Mathers, J.</w:t>
            </w:r>
            <w:r w:rsidR="003F672F">
              <w:rPr>
                <w:rFonts w:ascii="Arial" w:hAnsi="Arial" w:cs="Arial"/>
                <w:color w:val="1A1A1A"/>
                <w:lang w:val="en-US"/>
              </w:rPr>
              <w:t xml:space="preserve"> </w:t>
            </w:r>
            <w:r>
              <w:rPr>
                <w:rFonts w:ascii="Arial" w:hAnsi="Arial" w:cs="Arial"/>
                <w:color w:val="1A1A1A"/>
                <w:lang w:val="en-US"/>
              </w:rPr>
              <w:t>C., Skerry, T.</w:t>
            </w:r>
            <w:r w:rsidR="003F672F">
              <w:rPr>
                <w:rFonts w:ascii="Arial" w:hAnsi="Arial" w:cs="Arial"/>
                <w:color w:val="1A1A1A"/>
                <w:lang w:val="en-US"/>
              </w:rPr>
              <w:t xml:space="preserve"> </w:t>
            </w:r>
            <w:r>
              <w:rPr>
                <w:rFonts w:ascii="Arial" w:hAnsi="Arial" w:cs="Arial"/>
                <w:color w:val="1A1A1A"/>
                <w:lang w:val="en-US"/>
              </w:rPr>
              <w:t>M.</w:t>
            </w:r>
          </w:p>
          <w:p w14:paraId="483FFB5B" w14:textId="77777777" w:rsidR="00F90792" w:rsidRPr="00A43BE3" w:rsidRDefault="00F90792" w:rsidP="00F90792">
            <w:pPr>
              <w:spacing w:line="360" w:lineRule="auto"/>
              <w:jc w:val="both"/>
              <w:rPr>
                <w:rFonts w:ascii="Arial" w:hAnsi="Arial" w:cs="Arial"/>
                <w:i/>
                <w:color w:val="1A1A1A"/>
                <w:lang w:val="en-US"/>
              </w:rPr>
            </w:pPr>
          </w:p>
        </w:tc>
      </w:tr>
      <w:tr w:rsidR="00A43BE3" w14:paraId="737DC39F" w14:textId="77777777" w:rsidTr="007C1D34">
        <w:trPr>
          <w:trHeight w:val="2505"/>
        </w:trPr>
        <w:tc>
          <w:tcPr>
            <w:tcW w:w="1382" w:type="dxa"/>
          </w:tcPr>
          <w:p w14:paraId="1F0ED93A" w14:textId="77777777" w:rsidR="00A43BE3" w:rsidRDefault="00A43BE3" w:rsidP="00F907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rPr>
            </w:pPr>
            <w:r>
              <w:rPr>
                <w:rFonts w:ascii="Arial" w:hAnsi="Arial" w:cs="Arial"/>
                <w:color w:val="1A1A1A"/>
                <w:lang w:val="en-US"/>
              </w:rPr>
              <w:t xml:space="preserve">2015  </w:t>
            </w:r>
          </w:p>
        </w:tc>
        <w:tc>
          <w:tcPr>
            <w:tcW w:w="8450" w:type="dxa"/>
          </w:tcPr>
          <w:p w14:paraId="17B04DC8" w14:textId="77777777" w:rsidR="00A43BE3" w:rsidRDefault="00A43BE3" w:rsidP="00F90792">
            <w:pPr>
              <w:tabs>
                <w:tab w:val="left" w:pos="0"/>
              </w:tabs>
              <w:spacing w:line="360" w:lineRule="auto"/>
              <w:jc w:val="both"/>
              <w:rPr>
                <w:rFonts w:ascii="Arial" w:hAnsi="Arial" w:cs="Arial"/>
              </w:rPr>
            </w:pPr>
            <w:r w:rsidRPr="00A81F79">
              <w:rPr>
                <w:rFonts w:ascii="Arial" w:hAnsi="Arial" w:cs="Arial"/>
                <w:b/>
                <w:color w:val="1A1A1A"/>
                <w:lang w:val="en-US"/>
              </w:rPr>
              <w:t>Oral presentation</w:t>
            </w:r>
            <w:r>
              <w:rPr>
                <w:rFonts w:ascii="Arial" w:hAnsi="Arial" w:cs="Arial"/>
                <w:color w:val="1A1A1A"/>
                <w:lang w:val="en-US"/>
              </w:rPr>
              <w:t xml:space="preserve"> </w:t>
            </w:r>
            <w:r w:rsidRPr="00A81F79">
              <w:rPr>
                <w:rFonts w:ascii="Arial" w:hAnsi="Arial" w:cs="Arial"/>
              </w:rPr>
              <w:t xml:space="preserve">at </w:t>
            </w:r>
            <w:r>
              <w:rPr>
                <w:rFonts w:ascii="Arial" w:hAnsi="Arial" w:cs="Arial"/>
              </w:rPr>
              <w:t xml:space="preserve">the </w:t>
            </w:r>
            <w:r w:rsidRPr="00A81F79">
              <w:rPr>
                <w:rFonts w:ascii="Arial" w:hAnsi="Arial" w:cs="Arial"/>
              </w:rPr>
              <w:t>6</w:t>
            </w:r>
            <w:r w:rsidRPr="00A81F79">
              <w:rPr>
                <w:rFonts w:ascii="Arial" w:hAnsi="Arial" w:cs="Arial"/>
                <w:vertAlign w:val="superscript"/>
              </w:rPr>
              <w:t>th</w:t>
            </w:r>
            <w:r w:rsidRPr="00A81F79">
              <w:rPr>
                <w:rFonts w:ascii="Arial" w:hAnsi="Arial" w:cs="Arial"/>
              </w:rPr>
              <w:t xml:space="preserve"> Annua</w:t>
            </w:r>
            <w:r>
              <w:rPr>
                <w:rFonts w:ascii="Arial" w:hAnsi="Arial" w:cs="Arial"/>
              </w:rPr>
              <w:t>l Mellanby Centre Research Day, Sheffield, UK</w:t>
            </w:r>
          </w:p>
          <w:p w14:paraId="61A49E9D" w14:textId="77777777" w:rsidR="00A43BE3" w:rsidRDefault="00A43BE3" w:rsidP="00F90792">
            <w:pPr>
              <w:tabs>
                <w:tab w:val="left" w:pos="0"/>
              </w:tabs>
              <w:spacing w:line="360" w:lineRule="auto"/>
              <w:jc w:val="both"/>
              <w:rPr>
                <w:rFonts w:ascii="Arial" w:hAnsi="Arial" w:cs="Arial"/>
              </w:rPr>
            </w:pPr>
            <w:r w:rsidRPr="00971FD6">
              <w:rPr>
                <w:rFonts w:ascii="Arial" w:hAnsi="Arial" w:cs="Arial"/>
                <w:bCs/>
                <w:i/>
              </w:rPr>
              <w:t>The effect of timing of feeding on bone’s response to mechanical loading</w:t>
            </w:r>
          </w:p>
          <w:p w14:paraId="0365C647" w14:textId="77777777" w:rsidR="00A43BE3" w:rsidRDefault="00A43BE3" w:rsidP="00F90792">
            <w:pPr>
              <w:tabs>
                <w:tab w:val="left" w:pos="0"/>
              </w:tabs>
              <w:spacing w:after="200" w:line="360" w:lineRule="auto"/>
              <w:jc w:val="both"/>
              <w:rPr>
                <w:rFonts w:ascii="Arial" w:hAnsi="Arial" w:cs="Arial"/>
                <w:color w:val="1A1A1A"/>
                <w:lang w:val="en-US"/>
              </w:rPr>
            </w:pPr>
            <w:r w:rsidRPr="00971FD6">
              <w:rPr>
                <w:rFonts w:ascii="Arial" w:hAnsi="Arial" w:cs="Arial"/>
                <w:b/>
                <w:color w:val="1A1A1A"/>
                <w:lang w:val="en-US"/>
              </w:rPr>
              <w:t>Samvelyan, H.</w:t>
            </w:r>
            <w:r w:rsidR="003F672F">
              <w:rPr>
                <w:rFonts w:ascii="Arial" w:hAnsi="Arial" w:cs="Arial"/>
                <w:b/>
                <w:color w:val="1A1A1A"/>
                <w:lang w:val="en-US"/>
              </w:rPr>
              <w:t xml:space="preserve"> </w:t>
            </w:r>
            <w:r w:rsidRPr="00971FD6">
              <w:rPr>
                <w:rFonts w:ascii="Arial" w:hAnsi="Arial" w:cs="Arial"/>
                <w:b/>
                <w:color w:val="1A1A1A"/>
                <w:lang w:val="en-US"/>
              </w:rPr>
              <w:t>J.</w:t>
            </w:r>
            <w:r>
              <w:rPr>
                <w:rFonts w:ascii="Arial" w:hAnsi="Arial" w:cs="Arial"/>
                <w:color w:val="1A1A1A"/>
                <w:lang w:val="en-US"/>
              </w:rPr>
              <w:t>, Mathers, J.</w:t>
            </w:r>
            <w:r w:rsidR="003F672F">
              <w:rPr>
                <w:rFonts w:ascii="Arial" w:hAnsi="Arial" w:cs="Arial"/>
                <w:color w:val="1A1A1A"/>
                <w:lang w:val="en-US"/>
              </w:rPr>
              <w:t xml:space="preserve"> </w:t>
            </w:r>
            <w:r>
              <w:rPr>
                <w:rFonts w:ascii="Arial" w:hAnsi="Arial" w:cs="Arial"/>
                <w:color w:val="1A1A1A"/>
                <w:lang w:val="en-US"/>
              </w:rPr>
              <w:t>C., Skerry, T.</w:t>
            </w:r>
            <w:r w:rsidR="003F672F">
              <w:rPr>
                <w:rFonts w:ascii="Arial" w:hAnsi="Arial" w:cs="Arial"/>
                <w:color w:val="1A1A1A"/>
                <w:lang w:val="en-US"/>
              </w:rPr>
              <w:t xml:space="preserve"> </w:t>
            </w:r>
            <w:r>
              <w:rPr>
                <w:rFonts w:ascii="Arial" w:hAnsi="Arial" w:cs="Arial"/>
                <w:color w:val="1A1A1A"/>
                <w:lang w:val="en-US"/>
              </w:rPr>
              <w:t>M.</w:t>
            </w:r>
          </w:p>
          <w:p w14:paraId="72745214" w14:textId="77777777" w:rsidR="00F90792" w:rsidRPr="00A43BE3" w:rsidRDefault="00F90792" w:rsidP="00F90792">
            <w:pPr>
              <w:tabs>
                <w:tab w:val="left" w:pos="0"/>
              </w:tabs>
              <w:spacing w:after="200" w:line="360" w:lineRule="auto"/>
              <w:jc w:val="both"/>
              <w:rPr>
                <w:rFonts w:ascii="Arial" w:hAnsi="Arial" w:cs="Arial"/>
              </w:rPr>
            </w:pPr>
          </w:p>
        </w:tc>
      </w:tr>
      <w:tr w:rsidR="00A43BE3" w14:paraId="40DCA310" w14:textId="77777777" w:rsidTr="007C1D34">
        <w:trPr>
          <w:trHeight w:val="2916"/>
        </w:trPr>
        <w:tc>
          <w:tcPr>
            <w:tcW w:w="1382" w:type="dxa"/>
          </w:tcPr>
          <w:p w14:paraId="3AC69C6E" w14:textId="77777777" w:rsidR="00A43BE3" w:rsidRDefault="00A43BE3" w:rsidP="00F907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color w:val="1A1A1A"/>
                <w:lang w:val="en-US"/>
              </w:rPr>
            </w:pPr>
            <w:r>
              <w:rPr>
                <w:rFonts w:ascii="Arial" w:hAnsi="Arial" w:cs="Arial"/>
              </w:rPr>
              <w:t>2015</w:t>
            </w:r>
          </w:p>
        </w:tc>
        <w:tc>
          <w:tcPr>
            <w:tcW w:w="8450" w:type="dxa"/>
          </w:tcPr>
          <w:p w14:paraId="706BF090" w14:textId="77777777" w:rsidR="00845B4D" w:rsidRDefault="00A43BE3" w:rsidP="00F90792">
            <w:pPr>
              <w:tabs>
                <w:tab w:val="left" w:pos="851"/>
                <w:tab w:val="left" w:pos="1134"/>
                <w:tab w:val="left" w:pos="1168"/>
              </w:tabs>
              <w:spacing w:line="360" w:lineRule="auto"/>
              <w:ind w:left="34"/>
              <w:jc w:val="both"/>
              <w:rPr>
                <w:rFonts w:ascii="Arial" w:hAnsi="Arial" w:cs="Arial"/>
              </w:rPr>
            </w:pPr>
            <w:r w:rsidRPr="00971FD6">
              <w:rPr>
                <w:rFonts w:ascii="Arial" w:hAnsi="Arial" w:cs="Arial"/>
                <w:b/>
              </w:rPr>
              <w:t>Poster presentation</w:t>
            </w:r>
            <w:r>
              <w:rPr>
                <w:rFonts w:ascii="Arial" w:hAnsi="Arial" w:cs="Arial"/>
              </w:rPr>
              <w:t xml:space="preserve"> </w:t>
            </w:r>
            <w:r w:rsidRPr="00971FD6">
              <w:rPr>
                <w:rFonts w:ascii="Arial" w:hAnsi="Arial" w:cs="Arial"/>
              </w:rPr>
              <w:t xml:space="preserve">at </w:t>
            </w:r>
            <w:r>
              <w:rPr>
                <w:rFonts w:ascii="Arial" w:hAnsi="Arial" w:cs="Arial"/>
              </w:rPr>
              <w:t xml:space="preserve">the </w:t>
            </w:r>
            <w:r w:rsidRPr="00971FD6">
              <w:rPr>
                <w:rFonts w:ascii="Arial" w:hAnsi="Arial" w:cs="Arial"/>
              </w:rPr>
              <w:t>CIMA – CIMAR Joint Scientific Meeting,</w:t>
            </w:r>
            <w:r>
              <w:rPr>
                <w:rFonts w:ascii="Arial" w:hAnsi="Arial" w:cs="Arial"/>
              </w:rPr>
              <w:t xml:space="preserve"> </w:t>
            </w:r>
            <w:r w:rsidRPr="00971FD6">
              <w:rPr>
                <w:rFonts w:ascii="Arial" w:hAnsi="Arial" w:cs="Arial"/>
              </w:rPr>
              <w:t>Nottingham</w:t>
            </w:r>
            <w:r>
              <w:rPr>
                <w:rFonts w:ascii="Arial" w:hAnsi="Arial" w:cs="Arial"/>
              </w:rPr>
              <w:t>, UK</w:t>
            </w:r>
          </w:p>
          <w:p w14:paraId="77F8C4E3" w14:textId="77777777" w:rsidR="00845B4D" w:rsidRDefault="00A43BE3" w:rsidP="00F90792">
            <w:pPr>
              <w:tabs>
                <w:tab w:val="left" w:pos="851"/>
                <w:tab w:val="left" w:pos="1134"/>
                <w:tab w:val="left" w:pos="1168"/>
              </w:tabs>
              <w:spacing w:line="360" w:lineRule="auto"/>
              <w:ind w:left="34"/>
              <w:jc w:val="both"/>
              <w:rPr>
                <w:rFonts w:ascii="Arial" w:hAnsi="Arial" w:cs="Arial"/>
              </w:rPr>
            </w:pPr>
            <w:r w:rsidRPr="00971FD6">
              <w:rPr>
                <w:rFonts w:ascii="Arial" w:hAnsi="Arial" w:cs="Arial"/>
                <w:i/>
              </w:rPr>
              <w:t>Overnight fasting does not affect bone’s response to submaximal mechanical loading in mice</w:t>
            </w:r>
          </w:p>
          <w:p w14:paraId="1DA62CFB" w14:textId="77777777" w:rsidR="00F90792" w:rsidRDefault="00A43BE3" w:rsidP="00490F99">
            <w:pPr>
              <w:tabs>
                <w:tab w:val="left" w:pos="851"/>
                <w:tab w:val="left" w:pos="1134"/>
                <w:tab w:val="left" w:pos="1168"/>
              </w:tabs>
              <w:spacing w:after="200" w:line="360" w:lineRule="auto"/>
              <w:ind w:left="34"/>
              <w:jc w:val="both"/>
              <w:rPr>
                <w:rFonts w:ascii="Arial" w:hAnsi="Arial" w:cs="Arial"/>
                <w:color w:val="1A1A1A"/>
                <w:lang w:val="en-US"/>
              </w:rPr>
            </w:pPr>
            <w:r w:rsidRPr="00971FD6">
              <w:rPr>
                <w:rFonts w:ascii="Arial" w:hAnsi="Arial" w:cs="Arial"/>
                <w:b/>
                <w:color w:val="1A1A1A"/>
                <w:lang w:val="en-US"/>
              </w:rPr>
              <w:t>Samvelyan, H.</w:t>
            </w:r>
            <w:r w:rsidR="003F672F">
              <w:rPr>
                <w:rFonts w:ascii="Arial" w:hAnsi="Arial" w:cs="Arial"/>
                <w:b/>
                <w:color w:val="1A1A1A"/>
                <w:lang w:val="en-US"/>
              </w:rPr>
              <w:t xml:space="preserve"> </w:t>
            </w:r>
            <w:r w:rsidRPr="00971FD6">
              <w:rPr>
                <w:rFonts w:ascii="Arial" w:hAnsi="Arial" w:cs="Arial"/>
                <w:b/>
                <w:color w:val="1A1A1A"/>
                <w:lang w:val="en-US"/>
              </w:rPr>
              <w:t>J.</w:t>
            </w:r>
            <w:r>
              <w:rPr>
                <w:rFonts w:ascii="Arial" w:hAnsi="Arial" w:cs="Arial"/>
                <w:color w:val="1A1A1A"/>
                <w:lang w:val="en-US"/>
              </w:rPr>
              <w:t>, Mathers, J.</w:t>
            </w:r>
            <w:r w:rsidR="003F672F">
              <w:rPr>
                <w:rFonts w:ascii="Arial" w:hAnsi="Arial" w:cs="Arial"/>
                <w:color w:val="1A1A1A"/>
                <w:lang w:val="en-US"/>
              </w:rPr>
              <w:t xml:space="preserve"> </w:t>
            </w:r>
            <w:r>
              <w:rPr>
                <w:rFonts w:ascii="Arial" w:hAnsi="Arial" w:cs="Arial"/>
                <w:color w:val="1A1A1A"/>
                <w:lang w:val="en-US"/>
              </w:rPr>
              <w:t>C., Skerry, T.</w:t>
            </w:r>
            <w:r w:rsidR="003F672F">
              <w:rPr>
                <w:rFonts w:ascii="Arial" w:hAnsi="Arial" w:cs="Arial"/>
                <w:color w:val="1A1A1A"/>
                <w:lang w:val="en-US"/>
              </w:rPr>
              <w:t xml:space="preserve"> </w:t>
            </w:r>
            <w:r>
              <w:rPr>
                <w:rFonts w:ascii="Arial" w:hAnsi="Arial" w:cs="Arial"/>
                <w:color w:val="1A1A1A"/>
                <w:lang w:val="en-US"/>
              </w:rPr>
              <w:t>M.</w:t>
            </w:r>
          </w:p>
          <w:p w14:paraId="0B185E0C" w14:textId="77777777" w:rsidR="00490F99" w:rsidRPr="00490F99" w:rsidRDefault="00490F99" w:rsidP="001D55E8">
            <w:pPr>
              <w:tabs>
                <w:tab w:val="left" w:pos="851"/>
                <w:tab w:val="left" w:pos="1134"/>
                <w:tab w:val="left" w:pos="1168"/>
              </w:tabs>
              <w:spacing w:after="200" w:line="360" w:lineRule="auto"/>
              <w:jc w:val="both"/>
              <w:rPr>
                <w:rFonts w:ascii="Arial" w:hAnsi="Arial" w:cs="Arial"/>
                <w:color w:val="1A1A1A"/>
                <w:lang w:val="en-US"/>
              </w:rPr>
            </w:pPr>
          </w:p>
        </w:tc>
      </w:tr>
      <w:tr w:rsidR="00845B4D" w14:paraId="0A16F896" w14:textId="77777777" w:rsidTr="007C1D34">
        <w:trPr>
          <w:trHeight w:val="1458"/>
        </w:trPr>
        <w:tc>
          <w:tcPr>
            <w:tcW w:w="1382" w:type="dxa"/>
          </w:tcPr>
          <w:p w14:paraId="6B687932" w14:textId="77777777" w:rsidR="00845B4D" w:rsidRDefault="00845B4D" w:rsidP="00F907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Arial" w:hAnsi="Arial" w:cs="Arial"/>
              </w:rPr>
            </w:pPr>
            <w:r w:rsidRPr="00F9039A">
              <w:rPr>
                <w:rFonts w:ascii="Arial" w:hAnsi="Arial" w:cs="Arial"/>
              </w:rPr>
              <w:t>2014</w:t>
            </w:r>
          </w:p>
        </w:tc>
        <w:tc>
          <w:tcPr>
            <w:tcW w:w="8450" w:type="dxa"/>
          </w:tcPr>
          <w:p w14:paraId="21FE71F2" w14:textId="77777777" w:rsidR="00845B4D" w:rsidRPr="00F9039A" w:rsidRDefault="00845B4D" w:rsidP="00F90792">
            <w:pPr>
              <w:tabs>
                <w:tab w:val="left" w:pos="1276"/>
              </w:tabs>
              <w:spacing w:line="360" w:lineRule="auto"/>
              <w:ind w:left="1276" w:hanging="1276"/>
              <w:jc w:val="both"/>
              <w:rPr>
                <w:rFonts w:ascii="Arial" w:hAnsi="Arial" w:cs="Arial"/>
                <w:color w:val="1A1A1A"/>
                <w:lang w:val="en-US"/>
              </w:rPr>
            </w:pPr>
            <w:r w:rsidRPr="00F9039A">
              <w:rPr>
                <w:rFonts w:ascii="Arial" w:hAnsi="Arial" w:cs="Arial"/>
                <w:b/>
              </w:rPr>
              <w:t>Poster presentation</w:t>
            </w:r>
            <w:r>
              <w:rPr>
                <w:rFonts w:ascii="Arial" w:hAnsi="Arial" w:cs="Arial"/>
                <w:i/>
              </w:rPr>
              <w:t xml:space="preserve"> </w:t>
            </w:r>
            <w:r w:rsidRPr="00F9039A">
              <w:rPr>
                <w:rFonts w:ascii="Arial" w:hAnsi="Arial" w:cs="Arial"/>
              </w:rPr>
              <w:t xml:space="preserve">at </w:t>
            </w:r>
            <w:r>
              <w:rPr>
                <w:rFonts w:ascii="Arial" w:hAnsi="Arial" w:cs="Arial"/>
              </w:rPr>
              <w:t xml:space="preserve">the </w:t>
            </w:r>
            <w:r w:rsidRPr="00F9039A">
              <w:rPr>
                <w:rFonts w:ascii="Arial" w:hAnsi="Arial" w:cs="Arial"/>
              </w:rPr>
              <w:t>CIMA Annual Meeting, Sheffield</w:t>
            </w:r>
            <w:r>
              <w:rPr>
                <w:rFonts w:ascii="Arial" w:hAnsi="Arial" w:cs="Arial"/>
              </w:rPr>
              <w:t>, UK</w:t>
            </w:r>
          </w:p>
          <w:p w14:paraId="39661147" w14:textId="77777777" w:rsidR="00845B4D" w:rsidRDefault="00845B4D" w:rsidP="00F90792">
            <w:pPr>
              <w:tabs>
                <w:tab w:val="left" w:pos="1276"/>
              </w:tabs>
              <w:spacing w:line="360" w:lineRule="auto"/>
              <w:rPr>
                <w:rFonts w:ascii="Arial" w:hAnsi="Arial" w:cs="Arial"/>
                <w:b/>
                <w:i/>
              </w:rPr>
            </w:pPr>
            <w:r w:rsidRPr="00200C63">
              <w:rPr>
                <w:rFonts w:ascii="Arial" w:hAnsi="Arial" w:cs="Arial"/>
                <w:i/>
              </w:rPr>
              <w:t>Does the timing of eating affect bone’s response to exercise?</w:t>
            </w:r>
          </w:p>
          <w:p w14:paraId="1BB1ABC2" w14:textId="77777777" w:rsidR="00845B4D" w:rsidRPr="00845B4D" w:rsidRDefault="00845B4D" w:rsidP="00F90792">
            <w:pPr>
              <w:tabs>
                <w:tab w:val="left" w:pos="1276"/>
              </w:tabs>
              <w:spacing w:after="200" w:line="360" w:lineRule="auto"/>
              <w:rPr>
                <w:rFonts w:ascii="Arial" w:hAnsi="Arial" w:cs="Arial"/>
                <w:b/>
                <w:i/>
              </w:rPr>
            </w:pPr>
            <w:r w:rsidRPr="00F9039A">
              <w:rPr>
                <w:rFonts w:ascii="Arial" w:hAnsi="Arial" w:cs="Arial"/>
                <w:b/>
                <w:color w:val="1A1A1A"/>
                <w:lang w:val="en-US"/>
              </w:rPr>
              <w:t>Samvelyan, H.</w:t>
            </w:r>
            <w:r w:rsidR="003F672F">
              <w:rPr>
                <w:rFonts w:ascii="Arial" w:hAnsi="Arial" w:cs="Arial"/>
                <w:b/>
                <w:color w:val="1A1A1A"/>
                <w:lang w:val="en-US"/>
              </w:rPr>
              <w:t xml:space="preserve"> </w:t>
            </w:r>
            <w:r w:rsidRPr="00F9039A">
              <w:rPr>
                <w:rFonts w:ascii="Arial" w:hAnsi="Arial" w:cs="Arial"/>
                <w:b/>
                <w:color w:val="1A1A1A"/>
                <w:lang w:val="en-US"/>
              </w:rPr>
              <w:t>J.</w:t>
            </w:r>
            <w:r>
              <w:rPr>
                <w:rFonts w:ascii="Arial" w:hAnsi="Arial" w:cs="Arial"/>
                <w:color w:val="1A1A1A"/>
                <w:lang w:val="en-US"/>
              </w:rPr>
              <w:t>, Richards, G.</w:t>
            </w:r>
            <w:r w:rsidR="003F672F">
              <w:rPr>
                <w:rFonts w:ascii="Arial" w:hAnsi="Arial" w:cs="Arial"/>
                <w:color w:val="1A1A1A"/>
                <w:lang w:val="en-US"/>
              </w:rPr>
              <w:t xml:space="preserve"> </w:t>
            </w:r>
            <w:r>
              <w:rPr>
                <w:rFonts w:ascii="Arial" w:hAnsi="Arial" w:cs="Arial"/>
                <w:color w:val="1A1A1A"/>
                <w:lang w:val="en-US"/>
              </w:rPr>
              <w:t>O., Mathers, J.</w:t>
            </w:r>
            <w:r w:rsidR="003F672F">
              <w:rPr>
                <w:rFonts w:ascii="Arial" w:hAnsi="Arial" w:cs="Arial"/>
                <w:color w:val="1A1A1A"/>
                <w:lang w:val="en-US"/>
              </w:rPr>
              <w:t xml:space="preserve"> </w:t>
            </w:r>
            <w:r>
              <w:rPr>
                <w:rFonts w:ascii="Arial" w:hAnsi="Arial" w:cs="Arial"/>
                <w:color w:val="1A1A1A"/>
                <w:lang w:val="en-US"/>
              </w:rPr>
              <w:t>C., Skerry, T.</w:t>
            </w:r>
            <w:r w:rsidR="003F672F">
              <w:rPr>
                <w:rFonts w:ascii="Arial" w:hAnsi="Arial" w:cs="Arial"/>
                <w:color w:val="1A1A1A"/>
                <w:lang w:val="en-US"/>
              </w:rPr>
              <w:t xml:space="preserve"> </w:t>
            </w:r>
            <w:r>
              <w:rPr>
                <w:rFonts w:ascii="Arial" w:hAnsi="Arial" w:cs="Arial"/>
                <w:color w:val="1A1A1A"/>
                <w:lang w:val="en-US"/>
              </w:rPr>
              <w:t>M.</w:t>
            </w:r>
          </w:p>
        </w:tc>
      </w:tr>
    </w:tbl>
    <w:p w14:paraId="2E4B546E" w14:textId="77777777" w:rsidR="004850AF" w:rsidRDefault="004850AF" w:rsidP="00F9039A">
      <w:pPr>
        <w:tabs>
          <w:tab w:val="left" w:pos="1276"/>
        </w:tabs>
        <w:spacing w:after="200" w:line="360" w:lineRule="auto"/>
        <w:jc w:val="both"/>
        <w:rPr>
          <w:rFonts w:ascii="Arial" w:hAnsi="Arial" w:cs="Arial"/>
        </w:rPr>
        <w:sectPr w:rsidR="004850AF" w:rsidSect="00E771EA">
          <w:pgSz w:w="11900" w:h="16840"/>
          <w:pgMar w:top="1134" w:right="1134" w:bottom="1134" w:left="1134" w:header="709" w:footer="709" w:gutter="0"/>
          <w:pgNumType w:start="1" w:chapStyle="1"/>
          <w:cols w:space="708"/>
          <w:titlePg/>
          <w:docGrid w:linePitch="360"/>
        </w:sectPr>
      </w:pPr>
    </w:p>
    <w:p w14:paraId="1AF2D3CF" w14:textId="77777777" w:rsidR="00E3356C" w:rsidRPr="000D5AB9" w:rsidRDefault="00E3356C" w:rsidP="00E3356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center"/>
        <w:rPr>
          <w:rFonts w:ascii="Arial" w:hAnsi="Arial" w:cs="Arial"/>
          <w:b/>
          <w:color w:val="000000"/>
          <w:sz w:val="36"/>
          <w:szCs w:val="36"/>
          <w:lang w:val="en-US"/>
        </w:rPr>
      </w:pPr>
      <w:r w:rsidRPr="000D5AB9">
        <w:rPr>
          <w:rFonts w:ascii="Arial" w:hAnsi="Arial" w:cs="Arial"/>
          <w:b/>
          <w:color w:val="000000"/>
          <w:sz w:val="36"/>
          <w:szCs w:val="36"/>
          <w:lang w:val="en-US"/>
        </w:rPr>
        <w:lastRenderedPageBreak/>
        <w:t>Summary</w:t>
      </w:r>
    </w:p>
    <w:p w14:paraId="70B4697D" w14:textId="77777777" w:rsidR="00E3356C" w:rsidRPr="00F47C05" w:rsidRDefault="00E3356C" w:rsidP="00E3356C">
      <w:pPr>
        <w:spacing w:line="480" w:lineRule="auto"/>
        <w:jc w:val="both"/>
        <w:rPr>
          <w:rFonts w:ascii="Arial" w:hAnsi="Arial" w:cs="Arial"/>
        </w:rPr>
      </w:pPr>
      <w:r>
        <w:rPr>
          <w:rFonts w:ascii="Arial" w:hAnsi="Arial"/>
        </w:rPr>
        <w:t xml:space="preserve">Many factors including exercise and metabolic hormones </w:t>
      </w:r>
      <w:r w:rsidRPr="00EE7AA1">
        <w:rPr>
          <w:rFonts w:ascii="Arial" w:hAnsi="Arial" w:cs="Calibri"/>
          <w:bCs/>
          <w:color w:val="000000"/>
        </w:rPr>
        <w:t>regulate bone homeostasis</w:t>
      </w:r>
      <w:r>
        <w:rPr>
          <w:rFonts w:ascii="Arial" w:hAnsi="Arial" w:cs="Calibri"/>
          <w:bCs/>
          <w:color w:val="000000"/>
        </w:rPr>
        <w:t xml:space="preserve"> and maintain bone sufficiently strong for everyday activity protecting against falls and factures</w:t>
      </w:r>
      <w:r>
        <w:rPr>
          <w:rFonts w:cs="Calibri"/>
          <w:bCs/>
          <w:color w:val="000000"/>
        </w:rPr>
        <w:t>.</w:t>
      </w:r>
      <w:r>
        <w:rPr>
          <w:rFonts w:ascii="Arial" w:hAnsi="Arial"/>
        </w:rPr>
        <w:t xml:space="preserve"> However, </w:t>
      </w:r>
      <w:r>
        <w:rPr>
          <w:rFonts w:ascii="Arial" w:hAnsi="Arial" w:cs="Arial"/>
        </w:rPr>
        <w:t xml:space="preserve">with age </w:t>
      </w:r>
      <w:r>
        <w:rPr>
          <w:rFonts w:ascii="Arial" w:hAnsi="Arial" w:cs="Arial"/>
          <w:bCs/>
          <w:noProof/>
          <w:color w:val="000000" w:themeColor="text1"/>
        </w:rPr>
        <w:t xml:space="preserve">effectiveness of the skeletal system </w:t>
      </w:r>
      <w:r>
        <w:rPr>
          <w:rFonts w:ascii="Arial" w:hAnsi="Arial" w:cs="Arial"/>
        </w:rPr>
        <w:t>to withstand habitual loads without fractures or accumulating microdamage declines, and injuries become frequent.</w:t>
      </w:r>
      <w:r w:rsidRPr="000C7B03">
        <w:rPr>
          <w:rFonts w:ascii="Arial" w:hAnsi="Arial" w:cs="Arial"/>
        </w:rPr>
        <w:t xml:space="preserve"> </w:t>
      </w:r>
      <w:r>
        <w:rPr>
          <w:rFonts w:ascii="Arial" w:hAnsi="Arial" w:cs="Arial"/>
        </w:rPr>
        <w:t>Therefore, it is hard for elderly adults and those with bone wasting disorders to exercise with sufficient intensity to influence bone strength. It is known, that concentrations of gastro-entero-pancreatic hormones change before and after eating and many have potent regulatory effects on bone. W</w:t>
      </w:r>
      <w:r w:rsidRPr="00F47C05">
        <w:rPr>
          <w:rFonts w:ascii="Arial" w:hAnsi="Arial" w:cs="Arial"/>
        </w:rPr>
        <w:t xml:space="preserve">e </w:t>
      </w:r>
      <w:r>
        <w:rPr>
          <w:rFonts w:ascii="Arial" w:hAnsi="Arial" w:cs="Arial"/>
        </w:rPr>
        <w:t xml:space="preserve">hypothesised </w:t>
      </w:r>
      <w:r w:rsidRPr="00F47C05">
        <w:rPr>
          <w:rFonts w:ascii="Arial" w:hAnsi="Arial" w:cs="Arial"/>
        </w:rPr>
        <w:t>that the timing of food ingestion affects bones</w:t>
      </w:r>
      <w:r w:rsidR="00FA39BF">
        <w:rPr>
          <w:rFonts w:ascii="Arial" w:hAnsi="Arial" w:cs="Arial"/>
        </w:rPr>
        <w:t>’</w:t>
      </w:r>
      <w:r w:rsidRPr="00F47C05">
        <w:rPr>
          <w:rFonts w:ascii="Arial" w:hAnsi="Arial" w:cs="Arial"/>
        </w:rPr>
        <w:t xml:space="preserve"> response to mechanical loading.</w:t>
      </w:r>
    </w:p>
    <w:p w14:paraId="543FD094" w14:textId="77777777" w:rsidR="00E3356C" w:rsidRDefault="00E3356C" w:rsidP="00E3356C">
      <w:pPr>
        <w:spacing w:line="480" w:lineRule="auto"/>
        <w:jc w:val="both"/>
        <w:rPr>
          <w:rFonts w:ascii="Arial" w:hAnsi="Arial" w:cs="Arial"/>
        </w:rPr>
      </w:pPr>
    </w:p>
    <w:p w14:paraId="2F319476" w14:textId="77777777" w:rsidR="00E3356C" w:rsidRPr="001A7FA3" w:rsidRDefault="00E3356C" w:rsidP="00E3356C">
      <w:pPr>
        <w:spacing w:line="480" w:lineRule="auto"/>
        <w:jc w:val="both"/>
        <w:rPr>
          <w:rFonts w:ascii="Arial" w:hAnsi="Arial" w:cs="Arial"/>
          <w:color w:val="1A1A1A"/>
          <w:lang w:val="en-US"/>
        </w:rPr>
      </w:pPr>
      <w:r>
        <w:rPr>
          <w:rFonts w:ascii="Arial" w:hAnsi="Arial" w:cs="Arial"/>
        </w:rPr>
        <w:t xml:space="preserve">Using a well-established tibial axial loading model, </w:t>
      </w:r>
      <w:r>
        <w:rPr>
          <w:rFonts w:ascii="Arial" w:hAnsi="Arial" w:cs="Arial"/>
          <w:color w:val="1A1A1A"/>
          <w:lang w:val="en-US"/>
        </w:rPr>
        <w:t xml:space="preserve">we performed experiments to </w:t>
      </w:r>
      <w:r w:rsidRPr="00A27D68">
        <w:rPr>
          <w:rFonts w:ascii="Arial" w:hAnsi="Arial" w:cs="Arial"/>
          <w:color w:val="1A1A1A"/>
          <w:lang w:val="en-US"/>
        </w:rPr>
        <w:t>determine</w:t>
      </w:r>
      <w:r>
        <w:rPr>
          <w:rFonts w:ascii="Arial" w:hAnsi="Arial" w:cs="Arial"/>
          <w:color w:val="1A1A1A"/>
          <w:lang w:val="en-US"/>
        </w:rPr>
        <w:t xml:space="preserve"> </w:t>
      </w:r>
      <w:r w:rsidRPr="00A27D68">
        <w:rPr>
          <w:rFonts w:ascii="Arial" w:hAnsi="Arial" w:cs="Arial"/>
          <w:color w:val="1A1A1A"/>
          <w:lang w:val="en-US"/>
        </w:rPr>
        <w:t xml:space="preserve">osteogenic effects of mechanical loading that mimics exercise after different periods </w:t>
      </w:r>
      <w:r>
        <w:rPr>
          <w:rFonts w:ascii="Arial" w:hAnsi="Arial" w:cs="Arial"/>
          <w:color w:val="1A1A1A"/>
          <w:lang w:val="en-US"/>
        </w:rPr>
        <w:t xml:space="preserve">of withholding food or feeding </w:t>
      </w:r>
      <w:r>
        <w:rPr>
          <w:rFonts w:ascii="Arial" w:hAnsi="Arial" w:cs="Arial"/>
        </w:rPr>
        <w:t>in young adult and aged mice</w:t>
      </w:r>
      <w:r>
        <w:rPr>
          <w:rFonts w:ascii="Arial" w:hAnsi="Arial" w:cs="Arial"/>
          <w:color w:val="1A1A1A"/>
          <w:lang w:val="en-US"/>
        </w:rPr>
        <w:t xml:space="preserve">. </w:t>
      </w:r>
      <w:r>
        <w:rPr>
          <w:rFonts w:ascii="Arial" w:hAnsi="Arial" w:cs="Arial"/>
        </w:rPr>
        <w:t>H</w:t>
      </w:r>
      <w:r w:rsidRPr="00F47C05">
        <w:rPr>
          <w:rFonts w:ascii="Arial" w:hAnsi="Arial" w:cs="Arial"/>
        </w:rPr>
        <w:t>ere we show</w:t>
      </w:r>
      <w:r>
        <w:rPr>
          <w:rFonts w:ascii="Arial" w:hAnsi="Arial" w:cs="Arial"/>
        </w:rPr>
        <w:t xml:space="preserve"> </w:t>
      </w:r>
      <w:r w:rsidRPr="00BF499C">
        <w:rPr>
          <w:rFonts w:ascii="Arial" w:hAnsi="Arial" w:cs="Arial"/>
        </w:rPr>
        <w:t>that food ingestion for 2 hours</w:t>
      </w:r>
      <w:r>
        <w:rPr>
          <w:rFonts w:ascii="Arial" w:hAnsi="Arial" w:cs="Arial"/>
        </w:rPr>
        <w:t>, but not 1 hour or 3 hours,</w:t>
      </w:r>
      <w:r w:rsidRPr="00BF499C">
        <w:rPr>
          <w:rFonts w:ascii="Arial" w:hAnsi="Arial" w:cs="Arial"/>
        </w:rPr>
        <w:t xml:space="preserve"> following overnight </w:t>
      </w:r>
      <w:r w:rsidR="00B22EB0">
        <w:rPr>
          <w:rFonts w:ascii="Arial" w:hAnsi="Arial" w:cs="Arial"/>
        </w:rPr>
        <w:t>(</w:t>
      </w:r>
      <w:r>
        <w:rPr>
          <w:rFonts w:ascii="Arial" w:hAnsi="Arial" w:cs="Arial"/>
        </w:rPr>
        <w:t>16-hour</w:t>
      </w:r>
      <w:r w:rsidR="00B22EB0">
        <w:rPr>
          <w:rFonts w:ascii="Arial" w:hAnsi="Arial" w:cs="Arial"/>
        </w:rPr>
        <w:t>)</w:t>
      </w:r>
      <w:r>
        <w:rPr>
          <w:rFonts w:ascii="Arial" w:hAnsi="Arial" w:cs="Arial"/>
        </w:rPr>
        <w:t xml:space="preserve"> </w:t>
      </w:r>
      <w:r w:rsidR="002F157E">
        <w:rPr>
          <w:rFonts w:ascii="Arial" w:hAnsi="Arial" w:cs="Arial"/>
        </w:rPr>
        <w:t>fast</w:t>
      </w:r>
      <w:r w:rsidRPr="00BF499C">
        <w:rPr>
          <w:rFonts w:ascii="Arial" w:hAnsi="Arial" w:cs="Arial"/>
        </w:rPr>
        <w:t xml:space="preserve"> potentiated bones’ </w:t>
      </w:r>
      <w:r>
        <w:rPr>
          <w:rFonts w:ascii="Arial" w:hAnsi="Arial" w:cs="Arial"/>
        </w:rPr>
        <w:t>adaptive</w:t>
      </w:r>
      <w:r w:rsidRPr="00BF499C">
        <w:rPr>
          <w:rFonts w:ascii="Arial" w:hAnsi="Arial" w:cs="Arial"/>
        </w:rPr>
        <w:t xml:space="preserve"> response to </w:t>
      </w:r>
      <w:r>
        <w:rPr>
          <w:rFonts w:ascii="Arial" w:hAnsi="Arial" w:cs="Arial"/>
        </w:rPr>
        <w:t xml:space="preserve">osteogenic </w:t>
      </w:r>
      <w:r w:rsidRPr="00BF499C">
        <w:rPr>
          <w:rFonts w:ascii="Arial" w:hAnsi="Arial" w:cs="Arial"/>
        </w:rPr>
        <w:t xml:space="preserve">mechanical loading in </w:t>
      </w:r>
      <w:r>
        <w:rPr>
          <w:rFonts w:ascii="Arial" w:hAnsi="Arial" w:cs="Arial"/>
        </w:rPr>
        <w:t xml:space="preserve">young, but not aged </w:t>
      </w:r>
      <w:r w:rsidRPr="00BF499C">
        <w:rPr>
          <w:rFonts w:ascii="Arial" w:hAnsi="Arial" w:cs="Arial"/>
        </w:rPr>
        <w:t xml:space="preserve">mice. Furthermore, we found that </w:t>
      </w:r>
      <w:r w:rsidRPr="00BF499C">
        <w:rPr>
          <w:rFonts w:ascii="Arial" w:hAnsi="Arial" w:cs="Arial"/>
          <w:bCs/>
          <w:lang w:val="en-US"/>
        </w:rPr>
        <w:t xml:space="preserve">changing timing of feeding can turn an ineffective loading stimulus that does not normally cause bone formation, into an effective one. </w:t>
      </w:r>
      <w:r>
        <w:rPr>
          <w:rFonts w:ascii="Arial" w:hAnsi="Arial" w:cs="Arial"/>
          <w:bCs/>
          <w:lang w:val="en-US"/>
        </w:rPr>
        <w:t xml:space="preserve">Concentrations of metabolic hormones, with known regulatory effects on bone including ghrelin, leptin, insulin, GIP and GLP1 changed during fed and fasted 2-hour fed states in young and aged mice, however, there were age-related differences in hormone secretion. </w:t>
      </w:r>
    </w:p>
    <w:p w14:paraId="1C192C6A" w14:textId="77777777" w:rsidR="00E3356C" w:rsidRDefault="00E3356C" w:rsidP="00E3356C">
      <w:pPr>
        <w:spacing w:line="480" w:lineRule="auto"/>
        <w:jc w:val="both"/>
        <w:rPr>
          <w:rFonts w:ascii="Arial" w:hAnsi="Arial" w:cs="Arial"/>
          <w:bCs/>
          <w:lang w:val="en-US"/>
        </w:rPr>
      </w:pPr>
    </w:p>
    <w:p w14:paraId="0CC9A52B" w14:textId="77777777" w:rsidR="00E3356C" w:rsidRPr="00BF499C" w:rsidRDefault="00E3356C" w:rsidP="00E3356C">
      <w:pPr>
        <w:spacing w:line="480" w:lineRule="auto"/>
        <w:jc w:val="both"/>
        <w:rPr>
          <w:rFonts w:ascii="Arial" w:hAnsi="Arial" w:cs="Arial"/>
        </w:rPr>
      </w:pPr>
      <w:r w:rsidRPr="00BF499C">
        <w:rPr>
          <w:rFonts w:ascii="Arial" w:hAnsi="Arial" w:cs="Arial"/>
          <w:bCs/>
          <w:lang w:val="en-US"/>
        </w:rPr>
        <w:t xml:space="preserve">Our findings </w:t>
      </w:r>
      <w:r w:rsidRPr="00BF499C">
        <w:rPr>
          <w:rFonts w:ascii="Arial" w:hAnsi="Arial" w:cs="Arial"/>
          <w:bCs/>
        </w:rPr>
        <w:t xml:space="preserve">indicate </w:t>
      </w:r>
      <w:r>
        <w:rPr>
          <w:rFonts w:ascii="Arial" w:hAnsi="Arial" w:cs="Arial"/>
          <w:bCs/>
        </w:rPr>
        <w:t>associations between the timing of feeding</w:t>
      </w:r>
      <w:r w:rsidRPr="00BF499C">
        <w:rPr>
          <w:rFonts w:ascii="Arial" w:hAnsi="Arial" w:cs="Arial"/>
          <w:bCs/>
        </w:rPr>
        <w:t xml:space="preserve"> and bone adaptation. </w:t>
      </w:r>
      <w:r w:rsidRPr="00BF499C">
        <w:rPr>
          <w:rFonts w:ascii="Arial" w:eastAsia="Cambria" w:hAnsi="Arial" w:cs="Arial"/>
          <w:bCs/>
        </w:rPr>
        <w:t xml:space="preserve">These findings have potential for translation into benefits for people by providing information on when to exercise in relation to meals, </w:t>
      </w:r>
      <w:r w:rsidRPr="00BF499C">
        <w:rPr>
          <w:rFonts w:ascii="Arial" w:eastAsiaTheme="minorHAnsi" w:hAnsi="Arial" w:cs="Arial"/>
          <w:bCs/>
        </w:rPr>
        <w:t xml:space="preserve">which may help to build and maintain healthy musculoskeletal system throughout the </w:t>
      </w:r>
      <w:r w:rsidR="00BC09D3">
        <w:rPr>
          <w:rFonts w:ascii="Arial" w:eastAsiaTheme="minorHAnsi" w:hAnsi="Arial" w:cs="Arial"/>
          <w:bCs/>
        </w:rPr>
        <w:t>life-</w:t>
      </w:r>
      <w:r w:rsidR="009355C8" w:rsidRPr="00BF499C">
        <w:rPr>
          <w:rFonts w:ascii="Arial" w:eastAsiaTheme="minorHAnsi" w:hAnsi="Arial" w:cs="Arial"/>
          <w:bCs/>
        </w:rPr>
        <w:t>course</w:t>
      </w:r>
      <w:r w:rsidRPr="00BF499C">
        <w:rPr>
          <w:rFonts w:ascii="Arial" w:eastAsiaTheme="minorHAnsi" w:hAnsi="Arial" w:cs="Arial"/>
          <w:bCs/>
        </w:rPr>
        <w:t xml:space="preserve">. </w:t>
      </w:r>
    </w:p>
    <w:p w14:paraId="2ED2211D" w14:textId="77777777" w:rsidR="004850AF" w:rsidRPr="00F90792" w:rsidRDefault="004850AF" w:rsidP="00F90792">
      <w:pPr>
        <w:rPr>
          <w:rFonts w:ascii="Arial" w:hAnsi="Arial" w:cs="Arial"/>
          <w:sz w:val="36"/>
          <w:szCs w:val="36"/>
          <w:lang w:val="en-US"/>
        </w:rPr>
        <w:sectPr w:rsidR="004850AF" w:rsidRPr="00F90792" w:rsidSect="00E3356C">
          <w:pgSz w:w="11900" w:h="16840"/>
          <w:pgMar w:top="1134" w:right="1134" w:bottom="1134" w:left="1134" w:header="709" w:footer="709" w:gutter="0"/>
          <w:pgNumType w:start="1" w:chapStyle="1"/>
          <w:cols w:space="708"/>
          <w:titlePg/>
          <w:docGrid w:linePitch="360"/>
        </w:sectPr>
      </w:pPr>
    </w:p>
    <w:sdt>
      <w:sdtPr>
        <w:rPr>
          <w:rFonts w:ascii="Times New Roman" w:eastAsia="Times New Roman" w:hAnsi="Times New Roman" w:cs="Times New Roman"/>
          <w:b w:val="0"/>
          <w:bCs w:val="0"/>
          <w:noProof w:val="0"/>
          <w:color w:val="auto"/>
          <w:sz w:val="24"/>
          <w:szCs w:val="24"/>
          <w:lang w:val="en-GB"/>
        </w:rPr>
        <w:id w:val="-515538186"/>
        <w:docPartObj>
          <w:docPartGallery w:val="Table of Contents"/>
          <w:docPartUnique/>
        </w:docPartObj>
      </w:sdtPr>
      <w:sdtEndPr>
        <w:rPr>
          <w:rFonts w:ascii="Arial" w:hAnsi="Arial" w:cs="Arial"/>
        </w:rPr>
      </w:sdtEndPr>
      <w:sdtContent>
        <w:p w14:paraId="4E4D1BBE" w14:textId="77777777" w:rsidR="000427E5" w:rsidRPr="0013320D" w:rsidRDefault="000427E5" w:rsidP="00204988">
          <w:pPr>
            <w:pStyle w:val="TOCHeading"/>
          </w:pPr>
          <w:r w:rsidRPr="004B51EA">
            <w:rPr>
              <w:sz w:val="36"/>
              <w:szCs w:val="36"/>
            </w:rPr>
            <w:t>Contents</w:t>
          </w:r>
        </w:p>
        <w:p w14:paraId="7F2E296D" w14:textId="77777777" w:rsidR="00586B01" w:rsidRPr="00586B01" w:rsidRDefault="000427E5" w:rsidP="00586B01">
          <w:pPr>
            <w:pStyle w:val="TOC2"/>
            <w:spacing w:line="360" w:lineRule="auto"/>
            <w:rPr>
              <w:rFonts w:ascii="Arial" w:eastAsiaTheme="minorEastAsia" w:hAnsi="Arial" w:cs="Arial"/>
              <w:noProof/>
              <w:sz w:val="24"/>
              <w:szCs w:val="24"/>
              <w:lang w:eastAsia="ja-JP"/>
            </w:rPr>
          </w:pPr>
          <w:r w:rsidRPr="00586B01">
            <w:rPr>
              <w:rFonts w:ascii="Arial" w:hAnsi="Arial" w:cs="Arial"/>
              <w:sz w:val="24"/>
              <w:szCs w:val="24"/>
            </w:rPr>
            <w:fldChar w:fldCharType="begin"/>
          </w:r>
          <w:r w:rsidRPr="00586B01">
            <w:rPr>
              <w:rFonts w:ascii="Arial" w:hAnsi="Arial" w:cs="Arial"/>
              <w:sz w:val="24"/>
              <w:szCs w:val="24"/>
            </w:rPr>
            <w:instrText xml:space="preserve"> TOC \o "1-3" \h \z \u </w:instrText>
          </w:r>
          <w:r w:rsidRPr="00586B01">
            <w:rPr>
              <w:rFonts w:ascii="Arial" w:hAnsi="Arial" w:cs="Arial"/>
              <w:sz w:val="24"/>
              <w:szCs w:val="24"/>
            </w:rPr>
            <w:fldChar w:fldCharType="separate"/>
          </w:r>
          <w:r w:rsidR="00586B01" w:rsidRPr="00586B01">
            <w:rPr>
              <w:rFonts w:ascii="Arial" w:hAnsi="Arial" w:cs="Arial"/>
              <w:noProof/>
              <w:sz w:val="24"/>
              <w:szCs w:val="24"/>
            </w:rPr>
            <w:t>List of figures</w:t>
          </w:r>
          <w:r w:rsidR="00586B01" w:rsidRPr="00586B01">
            <w:rPr>
              <w:rFonts w:ascii="Arial" w:hAnsi="Arial" w:cs="Arial"/>
              <w:noProof/>
              <w:sz w:val="24"/>
              <w:szCs w:val="24"/>
            </w:rPr>
            <w:tab/>
          </w:r>
          <w:r w:rsidR="00586B01" w:rsidRPr="00586B01">
            <w:rPr>
              <w:rFonts w:ascii="Arial" w:hAnsi="Arial" w:cs="Arial"/>
              <w:noProof/>
              <w:sz w:val="24"/>
              <w:szCs w:val="24"/>
            </w:rPr>
            <w:fldChar w:fldCharType="begin"/>
          </w:r>
          <w:r w:rsidR="00586B01" w:rsidRPr="00586B01">
            <w:rPr>
              <w:rFonts w:ascii="Arial" w:hAnsi="Arial" w:cs="Arial"/>
              <w:noProof/>
              <w:sz w:val="24"/>
              <w:szCs w:val="24"/>
            </w:rPr>
            <w:instrText xml:space="preserve"> PAGEREF _Toc383723838 \h </w:instrText>
          </w:r>
          <w:r w:rsidR="00586B01" w:rsidRPr="00586B01">
            <w:rPr>
              <w:rFonts w:ascii="Arial" w:hAnsi="Arial" w:cs="Arial"/>
              <w:noProof/>
              <w:sz w:val="24"/>
              <w:szCs w:val="24"/>
            </w:rPr>
          </w:r>
          <w:r w:rsidR="00586B01" w:rsidRPr="00586B01">
            <w:rPr>
              <w:rFonts w:ascii="Arial" w:hAnsi="Arial" w:cs="Arial"/>
              <w:noProof/>
              <w:sz w:val="24"/>
              <w:szCs w:val="24"/>
            </w:rPr>
            <w:fldChar w:fldCharType="separate"/>
          </w:r>
          <w:r w:rsidR="0091638B">
            <w:rPr>
              <w:rFonts w:ascii="Arial" w:hAnsi="Arial" w:cs="Arial"/>
              <w:noProof/>
              <w:sz w:val="24"/>
              <w:szCs w:val="24"/>
            </w:rPr>
            <w:t>i</w:t>
          </w:r>
          <w:r w:rsidR="00586B01" w:rsidRPr="00586B01">
            <w:rPr>
              <w:rFonts w:ascii="Arial" w:hAnsi="Arial" w:cs="Arial"/>
              <w:noProof/>
              <w:sz w:val="24"/>
              <w:szCs w:val="24"/>
            </w:rPr>
            <w:fldChar w:fldCharType="end"/>
          </w:r>
        </w:p>
        <w:p w14:paraId="28F83FE6"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List of tables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_Toc383723839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v</w:t>
          </w:r>
          <w:r w:rsidRPr="00586B01">
            <w:rPr>
              <w:rFonts w:ascii="Arial" w:hAnsi="Arial" w:cs="Arial"/>
              <w:noProof/>
              <w:sz w:val="24"/>
              <w:szCs w:val="24"/>
            </w:rPr>
            <w:fldChar w:fldCharType="end"/>
          </w:r>
        </w:p>
        <w:p w14:paraId="56B8136D"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List of abbreviations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_Toc383723840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vi</w:t>
          </w:r>
          <w:r w:rsidRPr="00586B01">
            <w:rPr>
              <w:rFonts w:ascii="Arial" w:hAnsi="Arial" w:cs="Arial"/>
              <w:noProof/>
              <w:sz w:val="24"/>
              <w:szCs w:val="24"/>
            </w:rPr>
            <w:fldChar w:fldCharType="end"/>
          </w:r>
        </w:p>
        <w:p w14:paraId="6ECE1144" w14:textId="77777777" w:rsidR="00586B01" w:rsidRPr="00586B01" w:rsidRDefault="00586B01" w:rsidP="00586B01">
          <w:pPr>
            <w:pStyle w:val="TOC1"/>
            <w:spacing w:line="360" w:lineRule="auto"/>
            <w:rPr>
              <w:rFonts w:eastAsiaTheme="minorEastAsia"/>
              <w:b w:val="0"/>
              <w:color w:val="auto"/>
              <w:lang w:eastAsia="ja-JP"/>
            </w:rPr>
          </w:pPr>
          <w:r w:rsidRPr="00586B01">
            <w:t>General introduction</w:t>
          </w:r>
          <w:r w:rsidRPr="00586B01">
            <w:tab/>
          </w:r>
          <w:r w:rsidRPr="00586B01">
            <w:fldChar w:fldCharType="begin"/>
          </w:r>
          <w:r w:rsidRPr="00586B01">
            <w:instrText xml:space="preserve"> PAGEREF _Toc383723841 \h </w:instrText>
          </w:r>
          <w:r w:rsidRPr="00586B01">
            <w:fldChar w:fldCharType="separate"/>
          </w:r>
          <w:r w:rsidR="0091638B">
            <w:t>1</w:t>
          </w:r>
          <w:r w:rsidRPr="00586B01">
            <w:fldChar w:fldCharType="end"/>
          </w:r>
        </w:p>
        <w:p w14:paraId="72794148"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1.1 Ageing and the human skeleton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_Toc383723842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3</w:t>
          </w:r>
          <w:r w:rsidRPr="00586B01">
            <w:rPr>
              <w:rFonts w:ascii="Arial" w:hAnsi="Arial" w:cs="Arial"/>
              <w:noProof/>
              <w:sz w:val="24"/>
              <w:szCs w:val="24"/>
            </w:rPr>
            <w:fldChar w:fldCharType="end"/>
          </w:r>
        </w:p>
        <w:p w14:paraId="30CA506F"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1.1.1 Anatomy and physiology of the skeleton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_Toc383723843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3</w:t>
          </w:r>
          <w:r w:rsidRPr="00586B01">
            <w:rPr>
              <w:rFonts w:ascii="Arial" w:hAnsi="Arial" w:cs="Arial"/>
              <w:noProof/>
              <w:sz w:val="24"/>
              <w:szCs w:val="24"/>
            </w:rPr>
            <w:fldChar w:fldCharType="end"/>
          </w:r>
        </w:p>
        <w:p w14:paraId="5C7C6DBE"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1.1.2 Bone cells and remodelling</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_Toc383723844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9</w:t>
          </w:r>
          <w:r w:rsidRPr="00586B01">
            <w:rPr>
              <w:rFonts w:ascii="Arial" w:hAnsi="Arial" w:cs="Arial"/>
              <w:noProof/>
              <w:sz w:val="24"/>
              <w:szCs w:val="24"/>
            </w:rPr>
            <w:fldChar w:fldCharType="end"/>
          </w:r>
        </w:p>
        <w:p w14:paraId="2C8AED70"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1.1.3 The effect of age on the skeleton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_Toc383723845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13</w:t>
          </w:r>
          <w:r w:rsidRPr="00586B01">
            <w:rPr>
              <w:rFonts w:ascii="Arial" w:hAnsi="Arial" w:cs="Arial"/>
              <w:noProof/>
              <w:sz w:val="24"/>
              <w:szCs w:val="24"/>
            </w:rPr>
            <w:fldChar w:fldCharType="end"/>
          </w:r>
        </w:p>
        <w:p w14:paraId="68C3AC3D"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1.2 The response of bone to exercise/mechanical loading</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_Toc383723846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17</w:t>
          </w:r>
          <w:r w:rsidRPr="00586B01">
            <w:rPr>
              <w:rFonts w:ascii="Arial" w:hAnsi="Arial" w:cs="Arial"/>
              <w:noProof/>
              <w:sz w:val="24"/>
              <w:szCs w:val="24"/>
            </w:rPr>
            <w:fldChar w:fldCharType="end"/>
          </w:r>
        </w:p>
        <w:p w14:paraId="35B39619"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1.2.1 The mechanostat</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_Toc383723847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19</w:t>
          </w:r>
          <w:r w:rsidRPr="00586B01">
            <w:rPr>
              <w:rFonts w:ascii="Arial" w:hAnsi="Arial" w:cs="Arial"/>
              <w:noProof/>
              <w:sz w:val="24"/>
              <w:szCs w:val="24"/>
            </w:rPr>
            <w:fldChar w:fldCharType="end"/>
          </w:r>
        </w:p>
        <w:p w14:paraId="4592132D"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1.2.2 Cellular changes following mechanical loading in bone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_Toc383723848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19</w:t>
          </w:r>
          <w:r w:rsidRPr="00586B01">
            <w:rPr>
              <w:rFonts w:ascii="Arial" w:hAnsi="Arial" w:cs="Arial"/>
              <w:noProof/>
              <w:sz w:val="24"/>
              <w:szCs w:val="24"/>
            </w:rPr>
            <w:fldChar w:fldCharType="end"/>
          </w:r>
        </w:p>
        <w:p w14:paraId="0FF673E0"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1.3 Rodent models of mechanical loading and skeletal ageing</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_Toc383723849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21</w:t>
          </w:r>
          <w:r w:rsidRPr="00586B01">
            <w:rPr>
              <w:rFonts w:ascii="Arial" w:hAnsi="Arial" w:cs="Arial"/>
              <w:noProof/>
              <w:sz w:val="24"/>
              <w:szCs w:val="24"/>
            </w:rPr>
            <w:fldChar w:fldCharType="end"/>
          </w:r>
        </w:p>
        <w:p w14:paraId="7CC819A2"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1.4 Systemic regulation of bone homeostasis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_Toc383723850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22</w:t>
          </w:r>
          <w:r w:rsidRPr="00586B01">
            <w:rPr>
              <w:rFonts w:ascii="Arial" w:hAnsi="Arial" w:cs="Arial"/>
              <w:noProof/>
              <w:sz w:val="24"/>
              <w:szCs w:val="24"/>
            </w:rPr>
            <w:fldChar w:fldCharType="end"/>
          </w:r>
        </w:p>
        <w:p w14:paraId="238C6413"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1.4.1 The endocrinology of food intake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_Toc383723851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23</w:t>
          </w:r>
          <w:r w:rsidRPr="00586B01">
            <w:rPr>
              <w:rFonts w:ascii="Arial" w:hAnsi="Arial" w:cs="Arial"/>
              <w:noProof/>
              <w:sz w:val="24"/>
              <w:szCs w:val="24"/>
            </w:rPr>
            <w:fldChar w:fldCharType="end"/>
          </w:r>
        </w:p>
        <w:p w14:paraId="5BE7E912"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1.4.2 Ghrelin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_Toc383723852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25</w:t>
          </w:r>
          <w:r w:rsidRPr="00586B01">
            <w:rPr>
              <w:rFonts w:ascii="Arial" w:hAnsi="Arial" w:cs="Arial"/>
              <w:noProof/>
              <w:sz w:val="24"/>
              <w:szCs w:val="24"/>
            </w:rPr>
            <w:fldChar w:fldCharType="end"/>
          </w:r>
        </w:p>
        <w:p w14:paraId="6AE52BE8"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1.4.3 Leptin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_Toc383723853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26</w:t>
          </w:r>
          <w:r w:rsidRPr="00586B01">
            <w:rPr>
              <w:rFonts w:ascii="Arial" w:hAnsi="Arial" w:cs="Arial"/>
              <w:noProof/>
              <w:sz w:val="24"/>
              <w:szCs w:val="24"/>
            </w:rPr>
            <w:fldChar w:fldCharType="end"/>
          </w:r>
        </w:p>
        <w:p w14:paraId="74D25159"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1.4.4 Insulin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_Toc383723854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26</w:t>
          </w:r>
          <w:r w:rsidRPr="00586B01">
            <w:rPr>
              <w:rFonts w:ascii="Arial" w:hAnsi="Arial" w:cs="Arial"/>
              <w:noProof/>
              <w:sz w:val="24"/>
              <w:szCs w:val="24"/>
            </w:rPr>
            <w:fldChar w:fldCharType="end"/>
          </w:r>
        </w:p>
        <w:p w14:paraId="4387BD17"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1.4.5 GIP</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_Toc383723855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28</w:t>
          </w:r>
          <w:r w:rsidRPr="00586B01">
            <w:rPr>
              <w:rFonts w:ascii="Arial" w:hAnsi="Arial" w:cs="Arial"/>
              <w:noProof/>
              <w:sz w:val="24"/>
              <w:szCs w:val="24"/>
            </w:rPr>
            <w:fldChar w:fldCharType="end"/>
          </w:r>
        </w:p>
        <w:p w14:paraId="496DFBA3"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1.4.6 GLP1</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_Toc383723856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28</w:t>
          </w:r>
          <w:r w:rsidRPr="00586B01">
            <w:rPr>
              <w:rFonts w:ascii="Arial" w:hAnsi="Arial" w:cs="Arial"/>
              <w:noProof/>
              <w:sz w:val="24"/>
              <w:szCs w:val="24"/>
            </w:rPr>
            <w:fldChar w:fldCharType="end"/>
          </w:r>
        </w:p>
        <w:p w14:paraId="1B5B85B7"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1.4.7 Interlinks between endocrine system and bone homeostasis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_Toc383723857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30</w:t>
          </w:r>
          <w:r w:rsidRPr="00586B01">
            <w:rPr>
              <w:rFonts w:ascii="Arial" w:hAnsi="Arial" w:cs="Arial"/>
              <w:noProof/>
              <w:sz w:val="24"/>
              <w:szCs w:val="24"/>
            </w:rPr>
            <w:fldChar w:fldCharType="end"/>
          </w:r>
        </w:p>
        <w:p w14:paraId="21258DBB"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1.5 Hypothesis and aims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_Toc383723858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34</w:t>
          </w:r>
          <w:r w:rsidRPr="00586B01">
            <w:rPr>
              <w:rFonts w:ascii="Arial" w:hAnsi="Arial" w:cs="Arial"/>
              <w:noProof/>
              <w:sz w:val="24"/>
              <w:szCs w:val="24"/>
            </w:rPr>
            <w:fldChar w:fldCharType="end"/>
          </w:r>
        </w:p>
        <w:p w14:paraId="38BB0704" w14:textId="77777777" w:rsidR="00586B01" w:rsidRPr="00586B01" w:rsidRDefault="00586B01" w:rsidP="00586B01">
          <w:pPr>
            <w:pStyle w:val="TOC1"/>
            <w:spacing w:line="360" w:lineRule="auto"/>
            <w:rPr>
              <w:rFonts w:eastAsiaTheme="minorEastAsia"/>
              <w:b w:val="0"/>
              <w:color w:val="auto"/>
              <w:lang w:eastAsia="ja-JP"/>
            </w:rPr>
          </w:pPr>
          <w:r w:rsidRPr="00586B01">
            <w:t>General materials and methods</w:t>
          </w:r>
          <w:r w:rsidRPr="00586B01">
            <w:tab/>
          </w:r>
          <w:r w:rsidRPr="00586B01">
            <w:fldChar w:fldCharType="begin"/>
          </w:r>
          <w:r w:rsidRPr="00586B01">
            <w:instrText xml:space="preserve"> PAGEREF _Toc383723859 \h </w:instrText>
          </w:r>
          <w:r w:rsidRPr="00586B01">
            <w:fldChar w:fldCharType="separate"/>
          </w:r>
          <w:r w:rsidR="0091638B">
            <w:t>36</w:t>
          </w:r>
          <w:r w:rsidRPr="00586B01">
            <w:fldChar w:fldCharType="end"/>
          </w:r>
        </w:p>
        <w:p w14:paraId="7A08F440"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 xml:space="preserve">2.1 </w:t>
          </w:r>
          <w:r w:rsidRPr="00586B01">
            <w:rPr>
              <w:rFonts w:ascii="Arial" w:hAnsi="Arial" w:cs="Arial"/>
              <w:i/>
              <w:noProof/>
              <w:sz w:val="24"/>
              <w:szCs w:val="24"/>
            </w:rPr>
            <w:t>In vivo</w:t>
          </w:r>
          <w:r w:rsidRPr="00586B01">
            <w:rPr>
              <w:rFonts w:ascii="Arial" w:hAnsi="Arial" w:cs="Arial"/>
              <w:noProof/>
              <w:sz w:val="24"/>
              <w:szCs w:val="24"/>
            </w:rPr>
            <w:t xml:space="preserve"> experiments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_Toc383723860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37</w:t>
          </w:r>
          <w:r w:rsidRPr="00586B01">
            <w:rPr>
              <w:rFonts w:ascii="Arial" w:hAnsi="Arial" w:cs="Arial"/>
              <w:noProof/>
              <w:sz w:val="24"/>
              <w:szCs w:val="24"/>
            </w:rPr>
            <w:fldChar w:fldCharType="end"/>
          </w:r>
        </w:p>
        <w:p w14:paraId="448F263F"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2.1.1 Model organisms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_Toc383723861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37</w:t>
          </w:r>
          <w:r w:rsidRPr="00586B01">
            <w:rPr>
              <w:rFonts w:ascii="Arial" w:hAnsi="Arial" w:cs="Arial"/>
              <w:noProof/>
              <w:sz w:val="24"/>
              <w:szCs w:val="24"/>
            </w:rPr>
            <w:fldChar w:fldCharType="end"/>
          </w:r>
        </w:p>
        <w:p w14:paraId="42BB2769"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2.1.2 Assessment of feeding behaviour of fed or fasted young and aged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_Toc383723862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37</w:t>
          </w:r>
          <w:r w:rsidRPr="00586B01">
            <w:rPr>
              <w:rFonts w:ascii="Arial" w:hAnsi="Arial" w:cs="Arial"/>
              <w:noProof/>
              <w:sz w:val="24"/>
              <w:szCs w:val="24"/>
            </w:rPr>
            <w:fldChar w:fldCharType="end"/>
          </w:r>
        </w:p>
        <w:p w14:paraId="20E3CFE6"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2.1.3 In vivo mechanical loading of tibiae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_Toc383723863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38</w:t>
          </w:r>
          <w:r w:rsidRPr="00586B01">
            <w:rPr>
              <w:rFonts w:ascii="Arial" w:hAnsi="Arial" w:cs="Arial"/>
              <w:noProof/>
              <w:sz w:val="24"/>
              <w:szCs w:val="24"/>
            </w:rPr>
            <w:fldChar w:fldCharType="end"/>
          </w:r>
        </w:p>
        <w:p w14:paraId="5EAB5B7B"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2.1.4 Calcein administration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_Toc383723864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41</w:t>
          </w:r>
          <w:r w:rsidRPr="00586B01">
            <w:rPr>
              <w:rFonts w:ascii="Arial" w:hAnsi="Arial" w:cs="Arial"/>
              <w:noProof/>
              <w:sz w:val="24"/>
              <w:szCs w:val="24"/>
            </w:rPr>
            <w:fldChar w:fldCharType="end"/>
          </w:r>
        </w:p>
        <w:p w14:paraId="6EE16EF9"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2.1.5 Euthanasia and dissection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_Toc383723865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41</w:t>
          </w:r>
          <w:r w:rsidRPr="00586B01">
            <w:rPr>
              <w:rFonts w:ascii="Arial" w:hAnsi="Arial" w:cs="Arial"/>
              <w:noProof/>
              <w:sz w:val="24"/>
              <w:szCs w:val="24"/>
            </w:rPr>
            <w:fldChar w:fldCharType="end"/>
          </w:r>
        </w:p>
        <w:p w14:paraId="596B38DF"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2.1.6 Micro-computed tomography (</w:t>
          </w:r>
          <w:r w:rsidRPr="00586B01">
            <w:rPr>
              <w:rFonts w:ascii="Arial" w:hAnsi="Arial" w:cs="Arial"/>
              <w:noProof/>
              <w:sz w:val="24"/>
              <w:szCs w:val="24"/>
            </w:rPr>
            <w:sym w:font="Symbol" w:char="F06D"/>
          </w:r>
          <w:r w:rsidRPr="00586B01">
            <w:rPr>
              <w:rFonts w:ascii="Arial" w:hAnsi="Arial" w:cs="Arial"/>
              <w:noProof/>
              <w:sz w:val="24"/>
              <w:szCs w:val="24"/>
            </w:rPr>
            <w:t>CT) analysis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_Toc383723866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42</w:t>
          </w:r>
          <w:r w:rsidRPr="00586B01">
            <w:rPr>
              <w:rFonts w:ascii="Arial" w:hAnsi="Arial" w:cs="Arial"/>
              <w:noProof/>
              <w:sz w:val="24"/>
              <w:szCs w:val="24"/>
            </w:rPr>
            <w:fldChar w:fldCharType="end"/>
          </w:r>
        </w:p>
        <w:p w14:paraId="0171AAF1"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2.2 Bone dynamic histomorphometry</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_Toc383723867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48</w:t>
          </w:r>
          <w:r w:rsidRPr="00586B01">
            <w:rPr>
              <w:rFonts w:ascii="Arial" w:hAnsi="Arial" w:cs="Arial"/>
              <w:noProof/>
              <w:sz w:val="24"/>
              <w:szCs w:val="24"/>
            </w:rPr>
            <w:fldChar w:fldCharType="end"/>
          </w:r>
        </w:p>
        <w:p w14:paraId="00B7908F"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2.2.1 Bone fixation and embedding in acrylic resin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_Toc383723868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48</w:t>
          </w:r>
          <w:r w:rsidRPr="00586B01">
            <w:rPr>
              <w:rFonts w:ascii="Arial" w:hAnsi="Arial" w:cs="Arial"/>
              <w:noProof/>
              <w:sz w:val="24"/>
              <w:szCs w:val="24"/>
            </w:rPr>
            <w:fldChar w:fldCharType="end"/>
          </w:r>
        </w:p>
        <w:p w14:paraId="1D31697C"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2.2.2 Sectioning and visualisation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_Toc383723869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49</w:t>
          </w:r>
          <w:r w:rsidRPr="00586B01">
            <w:rPr>
              <w:rFonts w:ascii="Arial" w:hAnsi="Arial" w:cs="Arial"/>
              <w:noProof/>
              <w:sz w:val="24"/>
              <w:szCs w:val="24"/>
            </w:rPr>
            <w:fldChar w:fldCharType="end"/>
          </w:r>
        </w:p>
        <w:p w14:paraId="0BA88D7B"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lastRenderedPageBreak/>
            <w:t>2.2.3 Measurements of bone formation parameters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_Toc383723870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50</w:t>
          </w:r>
          <w:r w:rsidRPr="00586B01">
            <w:rPr>
              <w:rFonts w:ascii="Arial" w:hAnsi="Arial" w:cs="Arial"/>
              <w:noProof/>
              <w:sz w:val="24"/>
              <w:szCs w:val="24"/>
            </w:rPr>
            <w:fldChar w:fldCharType="end"/>
          </w:r>
        </w:p>
        <w:p w14:paraId="5C486131"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2.3 Mouse cortisol and multiplex metabolic assays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_Toc383723871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53</w:t>
          </w:r>
          <w:r w:rsidRPr="00586B01">
            <w:rPr>
              <w:rFonts w:ascii="Arial" w:hAnsi="Arial" w:cs="Arial"/>
              <w:noProof/>
              <w:sz w:val="24"/>
              <w:szCs w:val="24"/>
            </w:rPr>
            <w:fldChar w:fldCharType="end"/>
          </w:r>
        </w:p>
        <w:p w14:paraId="5FC56B27"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2.3.1 Repeated blood sampling by tail incision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_Toc383723872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53</w:t>
          </w:r>
          <w:r w:rsidRPr="00586B01">
            <w:rPr>
              <w:rFonts w:ascii="Arial" w:hAnsi="Arial" w:cs="Arial"/>
              <w:noProof/>
              <w:sz w:val="24"/>
              <w:szCs w:val="24"/>
            </w:rPr>
            <w:fldChar w:fldCharType="end"/>
          </w:r>
        </w:p>
        <w:p w14:paraId="33ACB14D"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2.3.2 Serum sample preparation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_Toc383723873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54</w:t>
          </w:r>
          <w:r w:rsidRPr="00586B01">
            <w:rPr>
              <w:rFonts w:ascii="Arial" w:hAnsi="Arial" w:cs="Arial"/>
              <w:noProof/>
              <w:sz w:val="24"/>
              <w:szCs w:val="24"/>
            </w:rPr>
            <w:fldChar w:fldCharType="end"/>
          </w:r>
        </w:p>
        <w:p w14:paraId="031AB3AA"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2.3.3 Serum cortisol analysis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_Toc383723874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55</w:t>
          </w:r>
          <w:r w:rsidRPr="00586B01">
            <w:rPr>
              <w:rFonts w:ascii="Arial" w:hAnsi="Arial" w:cs="Arial"/>
              <w:noProof/>
              <w:sz w:val="24"/>
              <w:szCs w:val="24"/>
            </w:rPr>
            <w:fldChar w:fldCharType="end"/>
          </w:r>
        </w:p>
        <w:p w14:paraId="326B2852"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2.3.4 Mouse multiplex metabolic hormone assay</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_Toc383723875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57</w:t>
          </w:r>
          <w:r w:rsidRPr="00586B01">
            <w:rPr>
              <w:rFonts w:ascii="Arial" w:hAnsi="Arial" w:cs="Arial"/>
              <w:noProof/>
              <w:sz w:val="24"/>
              <w:szCs w:val="24"/>
            </w:rPr>
            <w:fldChar w:fldCharType="end"/>
          </w:r>
        </w:p>
        <w:p w14:paraId="53F6A808"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2.4 Statistical analysis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_Toc383723876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58</w:t>
          </w:r>
          <w:r w:rsidRPr="00586B01">
            <w:rPr>
              <w:rFonts w:ascii="Arial" w:hAnsi="Arial" w:cs="Arial"/>
              <w:noProof/>
              <w:sz w:val="24"/>
              <w:szCs w:val="24"/>
            </w:rPr>
            <w:fldChar w:fldCharType="end"/>
          </w:r>
        </w:p>
        <w:p w14:paraId="38992E5F" w14:textId="77777777" w:rsidR="00586B01" w:rsidRPr="00586B01" w:rsidRDefault="00586B01" w:rsidP="00586B01">
          <w:pPr>
            <w:pStyle w:val="TOC1"/>
            <w:spacing w:line="360" w:lineRule="auto"/>
            <w:rPr>
              <w:rFonts w:eastAsiaTheme="minorEastAsia"/>
              <w:b w:val="0"/>
              <w:color w:val="auto"/>
              <w:lang w:eastAsia="ja-JP"/>
            </w:rPr>
          </w:pPr>
          <w:r w:rsidRPr="00586B01">
            <w:t>The effect of mechanical loading on bone mass and architecture of fed or overnight fasted young mice</w:t>
          </w:r>
          <w:r w:rsidRPr="00586B01">
            <w:tab/>
          </w:r>
          <w:r w:rsidRPr="00586B01">
            <w:fldChar w:fldCharType="begin"/>
          </w:r>
          <w:r w:rsidRPr="00586B01">
            <w:instrText xml:space="preserve"> PAGEREF _Toc383723877 \h </w:instrText>
          </w:r>
          <w:r w:rsidRPr="00586B01">
            <w:fldChar w:fldCharType="separate"/>
          </w:r>
          <w:r w:rsidR="0091638B">
            <w:t>59</w:t>
          </w:r>
          <w:r w:rsidRPr="00586B01">
            <w:fldChar w:fldCharType="end"/>
          </w:r>
        </w:p>
        <w:p w14:paraId="6794C8D4"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3.1 Introduction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_Toc383723878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60</w:t>
          </w:r>
          <w:r w:rsidRPr="00586B01">
            <w:rPr>
              <w:rFonts w:ascii="Arial" w:hAnsi="Arial" w:cs="Arial"/>
              <w:noProof/>
              <w:sz w:val="24"/>
              <w:szCs w:val="24"/>
            </w:rPr>
            <w:fldChar w:fldCharType="end"/>
          </w:r>
        </w:p>
        <w:p w14:paraId="51E95072"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3.2 Results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_Toc383723879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65</w:t>
          </w:r>
          <w:r w:rsidRPr="00586B01">
            <w:rPr>
              <w:rFonts w:ascii="Arial" w:hAnsi="Arial" w:cs="Arial"/>
              <w:noProof/>
              <w:sz w:val="24"/>
              <w:szCs w:val="24"/>
            </w:rPr>
            <w:fldChar w:fldCharType="end"/>
          </w:r>
        </w:p>
        <w:p w14:paraId="7EC000AC"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3.2.1 The effect of overnight fast on feeding behaviour of young male C57BL/6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_Toc383723880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65</w:t>
          </w:r>
          <w:r w:rsidRPr="00586B01">
            <w:rPr>
              <w:rFonts w:ascii="Arial" w:hAnsi="Arial" w:cs="Arial"/>
              <w:noProof/>
              <w:sz w:val="24"/>
              <w:szCs w:val="24"/>
            </w:rPr>
            <w:fldChar w:fldCharType="end"/>
          </w:r>
        </w:p>
        <w:p w14:paraId="26E6CFD4"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3.2.2 The effect of 20 cycles mechanical loading with 13N force on tibial cortical bone mass and architecture of fed or overnight fasted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_Toc383723881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67</w:t>
          </w:r>
          <w:r w:rsidRPr="00586B01">
            <w:rPr>
              <w:rFonts w:ascii="Arial" w:hAnsi="Arial" w:cs="Arial"/>
              <w:noProof/>
              <w:sz w:val="24"/>
              <w:szCs w:val="24"/>
            </w:rPr>
            <w:fldChar w:fldCharType="end"/>
          </w:r>
        </w:p>
        <w:p w14:paraId="7FBFCFE7"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3.2.3 The effect of 20 cycles mechanical loading with 13N force on tibial trabecular bone mass and architecture of fed or overnight fasted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_Toc383723882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70</w:t>
          </w:r>
          <w:r w:rsidRPr="00586B01">
            <w:rPr>
              <w:rFonts w:ascii="Arial" w:hAnsi="Arial" w:cs="Arial"/>
              <w:noProof/>
              <w:sz w:val="24"/>
              <w:szCs w:val="24"/>
            </w:rPr>
            <w:fldChar w:fldCharType="end"/>
          </w:r>
        </w:p>
        <w:p w14:paraId="7C97D397"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3.2.4 The effect of 40 cycles of mechanical loading with 13N force on tibial cortical bone mass and architecture of fed or overnight fasted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_Toc383723883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72</w:t>
          </w:r>
          <w:r w:rsidRPr="00586B01">
            <w:rPr>
              <w:rFonts w:ascii="Arial" w:hAnsi="Arial" w:cs="Arial"/>
              <w:noProof/>
              <w:sz w:val="24"/>
              <w:szCs w:val="24"/>
            </w:rPr>
            <w:fldChar w:fldCharType="end"/>
          </w:r>
        </w:p>
        <w:p w14:paraId="679D3FAA"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3.2.5 The effect of 40 cycles of mechanical loading with 13N force on tibial trabecular bone mass and architecture of fed or overnight fasted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_Toc383723884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74</w:t>
          </w:r>
          <w:r w:rsidRPr="00586B01">
            <w:rPr>
              <w:rFonts w:ascii="Arial" w:hAnsi="Arial" w:cs="Arial"/>
              <w:noProof/>
              <w:sz w:val="24"/>
              <w:szCs w:val="24"/>
            </w:rPr>
            <w:fldChar w:fldCharType="end"/>
          </w:r>
        </w:p>
        <w:p w14:paraId="16A047AF"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3.3 Discussion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_Toc383723885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76</w:t>
          </w:r>
          <w:r w:rsidRPr="00586B01">
            <w:rPr>
              <w:rFonts w:ascii="Arial" w:hAnsi="Arial" w:cs="Arial"/>
              <w:noProof/>
              <w:sz w:val="24"/>
              <w:szCs w:val="24"/>
            </w:rPr>
            <w:fldChar w:fldCharType="end"/>
          </w:r>
        </w:p>
        <w:p w14:paraId="1DEABFC5"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3.3.1 Differences in feeding behaviour of fed and overnight fasted young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_Toc383723886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76</w:t>
          </w:r>
          <w:r w:rsidRPr="00586B01">
            <w:rPr>
              <w:rFonts w:ascii="Arial" w:hAnsi="Arial" w:cs="Arial"/>
              <w:noProof/>
              <w:sz w:val="24"/>
              <w:szCs w:val="24"/>
            </w:rPr>
            <w:fldChar w:fldCharType="end"/>
          </w:r>
        </w:p>
        <w:p w14:paraId="51CBAF13"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3.3.2 Overnight fasting neither potentiates nor inhibits bone’s response to 20 cycles of mechanical loading in young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_Toc383723887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77</w:t>
          </w:r>
          <w:r w:rsidRPr="00586B01">
            <w:rPr>
              <w:rFonts w:ascii="Arial" w:hAnsi="Arial" w:cs="Arial"/>
              <w:noProof/>
              <w:sz w:val="24"/>
              <w:szCs w:val="24"/>
            </w:rPr>
            <w:fldChar w:fldCharType="end"/>
          </w:r>
        </w:p>
        <w:p w14:paraId="0E0842D3"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3.3.3 Mechanical loading regimen with 40 cycles induces osteog</w:t>
          </w:r>
          <w:r w:rsidR="00FA39BF">
            <w:rPr>
              <w:rFonts w:ascii="Arial" w:hAnsi="Arial" w:cs="Arial"/>
              <w:noProof/>
              <w:sz w:val="24"/>
              <w:szCs w:val="24"/>
            </w:rPr>
            <w:t>enic adaptive response in</w:t>
          </w:r>
          <w:r w:rsidRPr="00586B01">
            <w:rPr>
              <w:rFonts w:ascii="Arial" w:hAnsi="Arial" w:cs="Arial"/>
              <w:noProof/>
              <w:sz w:val="24"/>
              <w:szCs w:val="24"/>
            </w:rPr>
            <w:t xml:space="preserve"> tibiae of young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_Toc383723888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78</w:t>
          </w:r>
          <w:r w:rsidRPr="00586B01">
            <w:rPr>
              <w:rFonts w:ascii="Arial" w:hAnsi="Arial" w:cs="Arial"/>
              <w:noProof/>
              <w:sz w:val="24"/>
              <w:szCs w:val="24"/>
            </w:rPr>
            <w:fldChar w:fldCharType="end"/>
          </w:r>
        </w:p>
        <w:p w14:paraId="6DF840BD"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3.4 Conclusions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_Toc383723889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80</w:t>
          </w:r>
          <w:r w:rsidRPr="00586B01">
            <w:rPr>
              <w:rFonts w:ascii="Arial" w:hAnsi="Arial" w:cs="Arial"/>
              <w:noProof/>
              <w:sz w:val="24"/>
              <w:szCs w:val="24"/>
            </w:rPr>
            <w:fldChar w:fldCharType="end"/>
          </w:r>
        </w:p>
        <w:p w14:paraId="67D87351" w14:textId="77777777" w:rsidR="00586B01" w:rsidRPr="00586B01" w:rsidRDefault="00586B01" w:rsidP="00586B01">
          <w:pPr>
            <w:pStyle w:val="TOC1"/>
            <w:spacing w:line="360" w:lineRule="auto"/>
            <w:rPr>
              <w:rFonts w:eastAsiaTheme="minorEastAsia"/>
              <w:b w:val="0"/>
              <w:color w:val="auto"/>
              <w:lang w:eastAsia="ja-JP"/>
            </w:rPr>
          </w:pPr>
          <w:r w:rsidRPr="00586B01">
            <w:t>The effect of timing of feeding on bone mass and architecture of fed or overnight fasted young mice</w:t>
          </w:r>
          <w:r w:rsidRPr="00586B01">
            <w:tab/>
          </w:r>
          <w:r w:rsidRPr="00586B01">
            <w:fldChar w:fldCharType="begin"/>
          </w:r>
          <w:r w:rsidRPr="00586B01">
            <w:instrText xml:space="preserve"> PAGEREF _Toc383723890 \h </w:instrText>
          </w:r>
          <w:r w:rsidRPr="00586B01">
            <w:fldChar w:fldCharType="separate"/>
          </w:r>
          <w:r w:rsidR="0091638B">
            <w:t>81</w:t>
          </w:r>
          <w:r w:rsidRPr="00586B01">
            <w:fldChar w:fldCharType="end"/>
          </w:r>
        </w:p>
        <w:p w14:paraId="75CCD08D"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4.1 Introduction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_Toc383723891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82</w:t>
          </w:r>
          <w:r w:rsidRPr="00586B01">
            <w:rPr>
              <w:rFonts w:ascii="Arial" w:hAnsi="Arial" w:cs="Arial"/>
              <w:noProof/>
              <w:sz w:val="24"/>
              <w:szCs w:val="24"/>
            </w:rPr>
            <w:fldChar w:fldCharType="end"/>
          </w:r>
        </w:p>
        <w:p w14:paraId="4D69A12A"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4.2 Results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_Toc383723892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87</w:t>
          </w:r>
          <w:r w:rsidRPr="00586B01">
            <w:rPr>
              <w:rFonts w:ascii="Arial" w:hAnsi="Arial" w:cs="Arial"/>
              <w:noProof/>
              <w:sz w:val="24"/>
              <w:szCs w:val="24"/>
            </w:rPr>
            <w:fldChar w:fldCharType="end"/>
          </w:r>
        </w:p>
        <w:p w14:paraId="6858B07B"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4.2.1 The effect of maximal mechanical loading on tibial cortical bone mass and architecture of fed or fasted 2-hour fed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_Toc383723893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87</w:t>
          </w:r>
          <w:r w:rsidRPr="00586B01">
            <w:rPr>
              <w:rFonts w:ascii="Arial" w:hAnsi="Arial" w:cs="Arial"/>
              <w:noProof/>
              <w:sz w:val="24"/>
              <w:szCs w:val="24"/>
            </w:rPr>
            <w:fldChar w:fldCharType="end"/>
          </w:r>
        </w:p>
        <w:p w14:paraId="2D7751ED"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lastRenderedPageBreak/>
            <w:t xml:space="preserve">4.2.2 </w:t>
          </w:r>
          <w:r w:rsidR="005D63EC">
            <w:rPr>
              <w:rFonts w:ascii="Arial" w:hAnsi="Arial" w:cs="Arial"/>
              <w:noProof/>
              <w:sz w:val="24"/>
              <w:szCs w:val="24"/>
            </w:rPr>
            <w:t>Rate and extend of the minerali</w:t>
          </w:r>
          <w:r w:rsidRPr="00586B01">
            <w:rPr>
              <w:rFonts w:ascii="Arial" w:hAnsi="Arial" w:cs="Arial"/>
              <w:noProof/>
              <w:sz w:val="24"/>
              <w:szCs w:val="24"/>
            </w:rPr>
            <w:t>sation induced by maximal mechanical loading of fed or fed for 2 hours following overnight fast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_Toc383723894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94</w:t>
          </w:r>
          <w:r w:rsidRPr="00586B01">
            <w:rPr>
              <w:rFonts w:ascii="Arial" w:hAnsi="Arial" w:cs="Arial"/>
              <w:noProof/>
              <w:sz w:val="24"/>
              <w:szCs w:val="24"/>
            </w:rPr>
            <w:fldChar w:fldCharType="end"/>
          </w:r>
        </w:p>
        <w:p w14:paraId="558EB282"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4.2.3 The effect of maximal mechanical loading on tibial trabecular bone mass and architecture of fed or fasted 2-hour fed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_Toc383723895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97</w:t>
          </w:r>
          <w:r w:rsidRPr="00586B01">
            <w:rPr>
              <w:rFonts w:ascii="Arial" w:hAnsi="Arial" w:cs="Arial"/>
              <w:noProof/>
              <w:sz w:val="24"/>
              <w:szCs w:val="24"/>
            </w:rPr>
            <w:fldChar w:fldCharType="end"/>
          </w:r>
        </w:p>
        <w:p w14:paraId="5E631505"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4.2.4 The effect of maximal mechanical loading on tibial cortical bone mass and architecture of fed or fasted 1-hour fed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_Toc383723896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101</w:t>
          </w:r>
          <w:r w:rsidRPr="00586B01">
            <w:rPr>
              <w:rFonts w:ascii="Arial" w:hAnsi="Arial" w:cs="Arial"/>
              <w:noProof/>
              <w:sz w:val="24"/>
              <w:szCs w:val="24"/>
            </w:rPr>
            <w:fldChar w:fldCharType="end"/>
          </w:r>
        </w:p>
        <w:p w14:paraId="1A2A3AF5"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4.2.5 The effect of maximal mechanical loading on tibial trabecular bone mass and architecture of fed or fasted 1-hour fed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_Toc383723897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104</w:t>
          </w:r>
          <w:r w:rsidRPr="00586B01">
            <w:rPr>
              <w:rFonts w:ascii="Arial" w:hAnsi="Arial" w:cs="Arial"/>
              <w:noProof/>
              <w:sz w:val="24"/>
              <w:szCs w:val="24"/>
            </w:rPr>
            <w:fldChar w:fldCharType="end"/>
          </w:r>
        </w:p>
        <w:p w14:paraId="6124902F"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4.2.6 The effect of maximal mechanical loading on tibial cortical bone mass and architecture of fed or fasted 3-hour fed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_Toc383723898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106</w:t>
          </w:r>
          <w:r w:rsidRPr="00586B01">
            <w:rPr>
              <w:rFonts w:ascii="Arial" w:hAnsi="Arial" w:cs="Arial"/>
              <w:noProof/>
              <w:sz w:val="24"/>
              <w:szCs w:val="24"/>
            </w:rPr>
            <w:fldChar w:fldCharType="end"/>
          </w:r>
        </w:p>
        <w:p w14:paraId="52BC4A58"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4.2.7 The effect of maximal mechanical loading on tibial trabecular bone mass and architecture of fed or fasted 3-hour fed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_Toc383723899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109</w:t>
          </w:r>
          <w:r w:rsidRPr="00586B01">
            <w:rPr>
              <w:rFonts w:ascii="Arial" w:hAnsi="Arial" w:cs="Arial"/>
              <w:noProof/>
              <w:sz w:val="24"/>
              <w:szCs w:val="24"/>
            </w:rPr>
            <w:fldChar w:fldCharType="end"/>
          </w:r>
        </w:p>
        <w:p w14:paraId="1C7CE1B2"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4.3 Discussion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_Toc383723900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111</w:t>
          </w:r>
          <w:r w:rsidRPr="00586B01">
            <w:rPr>
              <w:rFonts w:ascii="Arial" w:hAnsi="Arial" w:cs="Arial"/>
              <w:noProof/>
              <w:sz w:val="24"/>
              <w:szCs w:val="24"/>
            </w:rPr>
            <w:fldChar w:fldCharType="end"/>
          </w:r>
        </w:p>
        <w:p w14:paraId="7DEB2754"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4.3.1 Food ingestion for 2 hours following overnight fast potentiates bone’s osteogenic adaptive response to maximal mechanical loading in young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_Toc383723901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111</w:t>
          </w:r>
          <w:r w:rsidRPr="00586B01">
            <w:rPr>
              <w:rFonts w:ascii="Arial" w:hAnsi="Arial" w:cs="Arial"/>
              <w:noProof/>
              <w:sz w:val="24"/>
              <w:szCs w:val="24"/>
            </w:rPr>
            <w:fldChar w:fldCharType="end"/>
          </w:r>
        </w:p>
        <w:p w14:paraId="4150AE29"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4.3.2 The effect of timing of feeding on cortical bone’s response to maximal mechanical loading in young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_Toc383723902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112</w:t>
          </w:r>
          <w:r w:rsidRPr="00586B01">
            <w:rPr>
              <w:rFonts w:ascii="Arial" w:hAnsi="Arial" w:cs="Arial"/>
              <w:noProof/>
              <w:sz w:val="24"/>
              <w:szCs w:val="24"/>
            </w:rPr>
            <w:fldChar w:fldCharType="end"/>
          </w:r>
        </w:p>
        <w:p w14:paraId="4F36436B"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4.3.3 The effect of timing of feeding on trabecular bone’s response to maximal mechanical loading in young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_Toc383723903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113</w:t>
          </w:r>
          <w:r w:rsidRPr="00586B01">
            <w:rPr>
              <w:rFonts w:ascii="Arial" w:hAnsi="Arial" w:cs="Arial"/>
              <w:noProof/>
              <w:sz w:val="24"/>
              <w:szCs w:val="24"/>
            </w:rPr>
            <w:fldChar w:fldCharType="end"/>
          </w:r>
        </w:p>
        <w:p w14:paraId="6FC5489E"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4.4 Conclusions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_Toc383723904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116</w:t>
          </w:r>
          <w:r w:rsidRPr="00586B01">
            <w:rPr>
              <w:rFonts w:ascii="Arial" w:hAnsi="Arial" w:cs="Arial"/>
              <w:noProof/>
              <w:sz w:val="24"/>
              <w:szCs w:val="24"/>
            </w:rPr>
            <w:fldChar w:fldCharType="end"/>
          </w:r>
        </w:p>
        <w:p w14:paraId="7E7FD30D" w14:textId="77777777" w:rsidR="00586B01" w:rsidRPr="00586B01" w:rsidRDefault="00586B01" w:rsidP="00586B01">
          <w:pPr>
            <w:pStyle w:val="TOC1"/>
            <w:spacing w:line="360" w:lineRule="auto"/>
            <w:rPr>
              <w:rFonts w:eastAsiaTheme="minorEastAsia"/>
              <w:b w:val="0"/>
              <w:color w:val="auto"/>
              <w:lang w:eastAsia="ja-JP"/>
            </w:rPr>
          </w:pPr>
          <w:r w:rsidRPr="00586B01">
            <w:t>The effects of su</w:t>
          </w:r>
          <w:r>
            <w:t xml:space="preserve">b-threshold and </w:t>
          </w:r>
          <w:r w:rsidRPr="00A660B7">
            <w:t>submaximal</w:t>
          </w:r>
          <w:r>
            <w:t xml:space="preserve"> </w:t>
          </w:r>
          <w:r w:rsidRPr="00586B01">
            <w:t xml:space="preserve">mechanical loading on </w:t>
          </w:r>
          <w:r w:rsidR="005D63EC">
            <w:t xml:space="preserve">bone mass and architecture of </w:t>
          </w:r>
          <w:r w:rsidRPr="00586B01">
            <w:t>fed or fasted fed young mice</w:t>
          </w:r>
          <w:r w:rsidRPr="00586B01">
            <w:tab/>
          </w:r>
          <w:r w:rsidRPr="00586B01">
            <w:fldChar w:fldCharType="begin"/>
          </w:r>
          <w:r w:rsidRPr="00586B01">
            <w:instrText xml:space="preserve"> PAGEREF _Toc383723905 \h </w:instrText>
          </w:r>
          <w:r w:rsidRPr="00586B01">
            <w:fldChar w:fldCharType="separate"/>
          </w:r>
          <w:r w:rsidR="0091638B">
            <w:t>117</w:t>
          </w:r>
          <w:r w:rsidRPr="00586B01">
            <w:fldChar w:fldCharType="end"/>
          </w:r>
        </w:p>
        <w:p w14:paraId="08D08B18"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5.1 Introduction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_Toc383723906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118</w:t>
          </w:r>
          <w:r w:rsidRPr="00586B01">
            <w:rPr>
              <w:rFonts w:ascii="Arial" w:hAnsi="Arial" w:cs="Arial"/>
              <w:noProof/>
              <w:sz w:val="24"/>
              <w:szCs w:val="24"/>
            </w:rPr>
            <w:fldChar w:fldCharType="end"/>
          </w:r>
        </w:p>
        <w:p w14:paraId="4374C473"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5.2 Results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_Toc383723907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122</w:t>
          </w:r>
          <w:r w:rsidRPr="00586B01">
            <w:rPr>
              <w:rFonts w:ascii="Arial" w:hAnsi="Arial" w:cs="Arial"/>
              <w:noProof/>
              <w:sz w:val="24"/>
              <w:szCs w:val="24"/>
            </w:rPr>
            <w:fldChar w:fldCharType="end"/>
          </w:r>
        </w:p>
        <w:p w14:paraId="71A15A79"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5.2.1 The effect of sub-threshold mechanical loading on tibial cortical bone mass and architecture of fed or fed for 2 hours following overnight fast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_Toc383723908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122</w:t>
          </w:r>
          <w:r w:rsidRPr="00586B01">
            <w:rPr>
              <w:rFonts w:ascii="Arial" w:hAnsi="Arial" w:cs="Arial"/>
              <w:noProof/>
              <w:sz w:val="24"/>
              <w:szCs w:val="24"/>
            </w:rPr>
            <w:fldChar w:fldCharType="end"/>
          </w:r>
        </w:p>
        <w:p w14:paraId="5618C6F9"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5.2.2 The effect of sub-threshold mechanical loading on tibial trabecular bone mass and architecture of fed or fed for 2 hours following overnight fast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_Toc383723909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125</w:t>
          </w:r>
          <w:r w:rsidRPr="00586B01">
            <w:rPr>
              <w:rFonts w:ascii="Arial" w:hAnsi="Arial" w:cs="Arial"/>
              <w:noProof/>
              <w:sz w:val="24"/>
              <w:szCs w:val="24"/>
            </w:rPr>
            <w:fldChar w:fldCharType="end"/>
          </w:r>
        </w:p>
        <w:p w14:paraId="0F961168"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5.2.3 The effect of submaximal mechanical loading on tibial cortical bone mass and architecture of fed or fed for 2 hours following overnight fast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_Toc383723910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127</w:t>
          </w:r>
          <w:r w:rsidRPr="00586B01">
            <w:rPr>
              <w:rFonts w:ascii="Arial" w:hAnsi="Arial" w:cs="Arial"/>
              <w:noProof/>
              <w:sz w:val="24"/>
              <w:szCs w:val="24"/>
            </w:rPr>
            <w:fldChar w:fldCharType="end"/>
          </w:r>
        </w:p>
        <w:p w14:paraId="0B26792F"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5.2.4 The effect of submaximal mechanical loading on tibial trabecular bone mass and architecture of fed or fed for 2 hours following overnight fast young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_Toc383723911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129</w:t>
          </w:r>
          <w:r w:rsidRPr="00586B01">
            <w:rPr>
              <w:rFonts w:ascii="Arial" w:hAnsi="Arial" w:cs="Arial"/>
              <w:noProof/>
              <w:sz w:val="24"/>
              <w:szCs w:val="24"/>
            </w:rPr>
            <w:fldChar w:fldCharType="end"/>
          </w:r>
        </w:p>
        <w:p w14:paraId="5E03AE9A"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5.3 Discussion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_Toc383723912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131</w:t>
          </w:r>
          <w:r w:rsidRPr="00586B01">
            <w:rPr>
              <w:rFonts w:ascii="Arial" w:hAnsi="Arial" w:cs="Arial"/>
              <w:noProof/>
              <w:sz w:val="24"/>
              <w:szCs w:val="24"/>
            </w:rPr>
            <w:fldChar w:fldCharType="end"/>
          </w:r>
        </w:p>
        <w:p w14:paraId="4E4E426E"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5.3.1 Food ingestion for 2 hours following overnight fast potentiated bone’s response to sub-threshold mechanical loading in young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_Toc383723913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131</w:t>
          </w:r>
          <w:r w:rsidRPr="00586B01">
            <w:rPr>
              <w:rFonts w:ascii="Arial" w:hAnsi="Arial" w:cs="Arial"/>
              <w:noProof/>
              <w:sz w:val="24"/>
              <w:szCs w:val="24"/>
            </w:rPr>
            <w:fldChar w:fldCharType="end"/>
          </w:r>
        </w:p>
        <w:p w14:paraId="2B5752CC"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lastRenderedPageBreak/>
            <w:t>5.3.2 The effect of food ingestion for 2 hours following overnight fast on bone’s response to submaximal mechanical loading in young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_Toc383723914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133</w:t>
          </w:r>
          <w:r w:rsidRPr="00586B01">
            <w:rPr>
              <w:rFonts w:ascii="Arial" w:hAnsi="Arial" w:cs="Arial"/>
              <w:noProof/>
              <w:sz w:val="24"/>
              <w:szCs w:val="24"/>
            </w:rPr>
            <w:fldChar w:fldCharType="end"/>
          </w:r>
        </w:p>
        <w:p w14:paraId="501037F9"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5.4 Conclusions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_Toc383723915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135</w:t>
          </w:r>
          <w:r w:rsidRPr="00586B01">
            <w:rPr>
              <w:rFonts w:ascii="Arial" w:hAnsi="Arial" w:cs="Arial"/>
              <w:noProof/>
              <w:sz w:val="24"/>
              <w:szCs w:val="24"/>
            </w:rPr>
            <w:fldChar w:fldCharType="end"/>
          </w:r>
        </w:p>
        <w:p w14:paraId="19401976" w14:textId="77777777" w:rsidR="00586B01" w:rsidRPr="00586B01" w:rsidRDefault="00586B01" w:rsidP="00586B01">
          <w:pPr>
            <w:pStyle w:val="TOC1"/>
            <w:spacing w:line="360" w:lineRule="auto"/>
            <w:rPr>
              <w:rFonts w:eastAsiaTheme="minorEastAsia"/>
              <w:b w:val="0"/>
              <w:color w:val="auto"/>
              <w:lang w:eastAsia="ja-JP"/>
            </w:rPr>
          </w:pPr>
          <w:r w:rsidRPr="00586B01">
            <w:t>The effect of ageing on bone’s adaptation to mechanical loading in fed or overnight fasted fed mice</w:t>
          </w:r>
          <w:r w:rsidRPr="00586B01">
            <w:tab/>
          </w:r>
          <w:r w:rsidRPr="00586B01">
            <w:fldChar w:fldCharType="begin"/>
          </w:r>
          <w:r w:rsidRPr="00586B01">
            <w:instrText xml:space="preserve"> PAGEREF _Toc383723916 \h </w:instrText>
          </w:r>
          <w:r w:rsidRPr="00586B01">
            <w:fldChar w:fldCharType="separate"/>
          </w:r>
          <w:r w:rsidR="0091638B">
            <w:t>136</w:t>
          </w:r>
          <w:r w:rsidRPr="00586B01">
            <w:fldChar w:fldCharType="end"/>
          </w:r>
        </w:p>
        <w:p w14:paraId="4B1D7AB7"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6.1 Introduction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_Toc383723917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137</w:t>
          </w:r>
          <w:r w:rsidRPr="00586B01">
            <w:rPr>
              <w:rFonts w:ascii="Arial" w:hAnsi="Arial" w:cs="Arial"/>
              <w:noProof/>
              <w:sz w:val="24"/>
              <w:szCs w:val="24"/>
            </w:rPr>
            <w:fldChar w:fldCharType="end"/>
          </w:r>
        </w:p>
        <w:p w14:paraId="44F996D2"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6.2 Results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_Toc383723918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140</w:t>
          </w:r>
          <w:r w:rsidRPr="00586B01">
            <w:rPr>
              <w:rFonts w:ascii="Arial" w:hAnsi="Arial" w:cs="Arial"/>
              <w:noProof/>
              <w:sz w:val="24"/>
              <w:szCs w:val="24"/>
            </w:rPr>
            <w:fldChar w:fldCharType="end"/>
          </w:r>
        </w:p>
        <w:p w14:paraId="361BD60C"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6.2.1 The effect of overnight fast on feeding behaviour of aged male C57BL/6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_Toc383723919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140</w:t>
          </w:r>
          <w:r w:rsidRPr="00586B01">
            <w:rPr>
              <w:rFonts w:ascii="Arial" w:hAnsi="Arial" w:cs="Arial"/>
              <w:noProof/>
              <w:sz w:val="24"/>
              <w:szCs w:val="24"/>
            </w:rPr>
            <w:fldChar w:fldCharType="end"/>
          </w:r>
        </w:p>
        <w:p w14:paraId="64EF6971"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6.2.2 The effect of ageing on tibial cortical bone response to maximal mechanical loading of fed or fasted 2-hour fed aged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_Toc383723920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142</w:t>
          </w:r>
          <w:r w:rsidRPr="00586B01">
            <w:rPr>
              <w:rFonts w:ascii="Arial" w:hAnsi="Arial" w:cs="Arial"/>
              <w:noProof/>
              <w:sz w:val="24"/>
              <w:szCs w:val="24"/>
            </w:rPr>
            <w:fldChar w:fldCharType="end"/>
          </w:r>
        </w:p>
        <w:p w14:paraId="4FAD0125"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6.2.3 The effect of ageing on tibial trabecular bone response to maximal mechanical loading of fed or fasted 2-hour fed aged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_Toc383723921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147</w:t>
          </w:r>
          <w:r w:rsidRPr="00586B01">
            <w:rPr>
              <w:rFonts w:ascii="Arial" w:hAnsi="Arial" w:cs="Arial"/>
              <w:noProof/>
              <w:sz w:val="24"/>
              <w:szCs w:val="24"/>
            </w:rPr>
            <w:fldChar w:fldCharType="end"/>
          </w:r>
        </w:p>
        <w:p w14:paraId="3B11D444"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6.3 Discussion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_Toc383723922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151</w:t>
          </w:r>
          <w:r w:rsidRPr="00586B01">
            <w:rPr>
              <w:rFonts w:ascii="Arial" w:hAnsi="Arial" w:cs="Arial"/>
              <w:noProof/>
              <w:sz w:val="24"/>
              <w:szCs w:val="24"/>
            </w:rPr>
            <w:fldChar w:fldCharType="end"/>
          </w:r>
        </w:p>
        <w:p w14:paraId="3608F6CA"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6.3.1 Differences in feeding behaviour of fed and overnight fasted aged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_Toc383723923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151</w:t>
          </w:r>
          <w:r w:rsidRPr="00586B01">
            <w:rPr>
              <w:rFonts w:ascii="Arial" w:hAnsi="Arial" w:cs="Arial"/>
              <w:noProof/>
              <w:sz w:val="24"/>
              <w:szCs w:val="24"/>
            </w:rPr>
            <w:fldChar w:fldCharType="end"/>
          </w:r>
        </w:p>
        <w:p w14:paraId="10F0852B"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6.3.2 The effect of ageing on cortical bone’s response to mechanical loading</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_Toc383723924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153</w:t>
          </w:r>
          <w:r w:rsidRPr="00586B01">
            <w:rPr>
              <w:rFonts w:ascii="Arial" w:hAnsi="Arial" w:cs="Arial"/>
              <w:noProof/>
              <w:sz w:val="24"/>
              <w:szCs w:val="24"/>
            </w:rPr>
            <w:fldChar w:fldCharType="end"/>
          </w:r>
        </w:p>
        <w:p w14:paraId="763177AB"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6.3.3 The effect of ageing on trabecular bone’s response to mechanical loading</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_Toc383723925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154</w:t>
          </w:r>
          <w:r w:rsidRPr="00586B01">
            <w:rPr>
              <w:rFonts w:ascii="Arial" w:hAnsi="Arial" w:cs="Arial"/>
              <w:noProof/>
              <w:sz w:val="24"/>
              <w:szCs w:val="24"/>
            </w:rPr>
            <w:fldChar w:fldCharType="end"/>
          </w:r>
        </w:p>
        <w:p w14:paraId="62C8CC09"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6.3.4 Food ingestion for 2 hours following overnight fast does not potentiate bone’s adaptive response to osteogenic loading in aged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_Toc383723926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155</w:t>
          </w:r>
          <w:r w:rsidRPr="00586B01">
            <w:rPr>
              <w:rFonts w:ascii="Arial" w:hAnsi="Arial" w:cs="Arial"/>
              <w:noProof/>
              <w:sz w:val="24"/>
              <w:szCs w:val="24"/>
            </w:rPr>
            <w:fldChar w:fldCharType="end"/>
          </w:r>
        </w:p>
        <w:p w14:paraId="4C486B48"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6.4 Conclusions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_Toc383723927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158</w:t>
          </w:r>
          <w:r w:rsidRPr="00586B01">
            <w:rPr>
              <w:rFonts w:ascii="Arial" w:hAnsi="Arial" w:cs="Arial"/>
              <w:noProof/>
              <w:sz w:val="24"/>
              <w:szCs w:val="24"/>
            </w:rPr>
            <w:fldChar w:fldCharType="end"/>
          </w:r>
        </w:p>
        <w:p w14:paraId="11488638" w14:textId="77777777" w:rsidR="00586B01" w:rsidRPr="00586B01" w:rsidRDefault="00586B01" w:rsidP="00586B01">
          <w:pPr>
            <w:pStyle w:val="TOC1"/>
            <w:spacing w:line="360" w:lineRule="auto"/>
            <w:rPr>
              <w:rFonts w:eastAsiaTheme="minorEastAsia"/>
              <w:b w:val="0"/>
              <w:color w:val="auto"/>
              <w:lang w:eastAsia="ja-JP"/>
            </w:rPr>
          </w:pPr>
          <w:r w:rsidRPr="00586B01">
            <w:t>The changes of hormone concentrations in fed and fasted fed young and aged mice</w:t>
          </w:r>
          <w:r w:rsidRPr="00586B01">
            <w:tab/>
          </w:r>
          <w:r w:rsidRPr="00586B01">
            <w:fldChar w:fldCharType="begin"/>
          </w:r>
          <w:r w:rsidRPr="00586B01">
            <w:instrText xml:space="preserve"> PAGEREF _Toc383723928 \h </w:instrText>
          </w:r>
          <w:r w:rsidRPr="00586B01">
            <w:fldChar w:fldCharType="separate"/>
          </w:r>
          <w:r w:rsidR="0091638B">
            <w:t>159</w:t>
          </w:r>
          <w:r w:rsidRPr="00586B01">
            <w:fldChar w:fldCharType="end"/>
          </w:r>
        </w:p>
        <w:p w14:paraId="2651DCC0"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7.1 Introduction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_Toc383723929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160</w:t>
          </w:r>
          <w:r w:rsidRPr="00586B01">
            <w:rPr>
              <w:rFonts w:ascii="Arial" w:hAnsi="Arial" w:cs="Arial"/>
              <w:noProof/>
              <w:sz w:val="24"/>
              <w:szCs w:val="24"/>
            </w:rPr>
            <w:fldChar w:fldCharType="end"/>
          </w:r>
        </w:p>
        <w:p w14:paraId="2D8E7363"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7.2 Results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_Toc383723930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163</w:t>
          </w:r>
          <w:r w:rsidRPr="00586B01">
            <w:rPr>
              <w:rFonts w:ascii="Arial" w:hAnsi="Arial" w:cs="Arial"/>
              <w:noProof/>
              <w:sz w:val="24"/>
              <w:szCs w:val="24"/>
            </w:rPr>
            <w:fldChar w:fldCharType="end"/>
          </w:r>
        </w:p>
        <w:p w14:paraId="4CED7B4D"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7.2.1 Serum concentrations of ghrelin, leptin, insulin, GIP and GLP1 in fed or overnight fasted fed young 17-week-old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_Toc383723931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163</w:t>
          </w:r>
          <w:r w:rsidRPr="00586B01">
            <w:rPr>
              <w:rFonts w:ascii="Arial" w:hAnsi="Arial" w:cs="Arial"/>
              <w:noProof/>
              <w:sz w:val="24"/>
              <w:szCs w:val="24"/>
            </w:rPr>
            <w:fldChar w:fldCharType="end"/>
          </w:r>
        </w:p>
        <w:p w14:paraId="4DA006BF"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7.2.2 Serum concentrations of ghrelin, leptin, insulin, GIP and GLP1 in fed or overnight fasted fed aged 20-month-old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_Toc383723932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168</w:t>
          </w:r>
          <w:r w:rsidRPr="00586B01">
            <w:rPr>
              <w:rFonts w:ascii="Arial" w:hAnsi="Arial" w:cs="Arial"/>
              <w:noProof/>
              <w:sz w:val="24"/>
              <w:szCs w:val="24"/>
            </w:rPr>
            <w:fldChar w:fldCharType="end"/>
          </w:r>
        </w:p>
        <w:p w14:paraId="0F2FBC0F"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7.2.3 Dynamics of serum cortisol in young and aged male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_Toc383723933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173</w:t>
          </w:r>
          <w:r w:rsidRPr="00586B01">
            <w:rPr>
              <w:rFonts w:ascii="Arial" w:hAnsi="Arial" w:cs="Arial"/>
              <w:noProof/>
              <w:sz w:val="24"/>
              <w:szCs w:val="24"/>
            </w:rPr>
            <w:fldChar w:fldCharType="end"/>
          </w:r>
        </w:p>
        <w:p w14:paraId="354E49CA"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7.3 Discussion</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_Toc383723934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175</w:t>
          </w:r>
          <w:r w:rsidRPr="00586B01">
            <w:rPr>
              <w:rFonts w:ascii="Arial" w:hAnsi="Arial" w:cs="Arial"/>
              <w:noProof/>
              <w:sz w:val="24"/>
              <w:szCs w:val="24"/>
            </w:rPr>
            <w:fldChar w:fldCharType="end"/>
          </w:r>
        </w:p>
        <w:p w14:paraId="1771A905"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7.3.1 The concentrations of ghrelin, leptin, insulin, GIP and GLP1 differ during fasted and fed states in young and aged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_Toc383723935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175</w:t>
          </w:r>
          <w:r w:rsidRPr="00586B01">
            <w:rPr>
              <w:rFonts w:ascii="Arial" w:hAnsi="Arial" w:cs="Arial"/>
              <w:noProof/>
              <w:sz w:val="24"/>
              <w:szCs w:val="24"/>
            </w:rPr>
            <w:fldChar w:fldCharType="end"/>
          </w:r>
        </w:p>
        <w:p w14:paraId="7E6DE819"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t>7.3.2 The associations between altered concentrations of candidate metabolic hormones and bone’s adaptive response to loading in young and aged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_Toc383723936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179</w:t>
          </w:r>
          <w:r w:rsidRPr="00586B01">
            <w:rPr>
              <w:rFonts w:ascii="Arial" w:hAnsi="Arial" w:cs="Arial"/>
              <w:noProof/>
              <w:sz w:val="24"/>
              <w:szCs w:val="24"/>
            </w:rPr>
            <w:fldChar w:fldCharType="end"/>
          </w:r>
        </w:p>
        <w:p w14:paraId="596E0BA1" w14:textId="77777777" w:rsidR="00586B01" w:rsidRPr="00586B01" w:rsidRDefault="00586B01" w:rsidP="00586B01">
          <w:pPr>
            <w:pStyle w:val="TOC3"/>
            <w:tabs>
              <w:tab w:val="right" w:leader="dot" w:pos="9622"/>
            </w:tabs>
            <w:spacing w:line="360" w:lineRule="auto"/>
            <w:jc w:val="both"/>
            <w:rPr>
              <w:rFonts w:ascii="Arial" w:eastAsiaTheme="minorEastAsia" w:hAnsi="Arial" w:cs="Arial"/>
              <w:i w:val="0"/>
              <w:noProof/>
              <w:sz w:val="24"/>
              <w:szCs w:val="24"/>
              <w:lang w:eastAsia="ja-JP"/>
            </w:rPr>
          </w:pPr>
          <w:r w:rsidRPr="00586B01">
            <w:rPr>
              <w:rFonts w:ascii="Arial" w:hAnsi="Arial" w:cs="Arial"/>
              <w:noProof/>
              <w:sz w:val="24"/>
              <w:szCs w:val="24"/>
            </w:rPr>
            <w:lastRenderedPageBreak/>
            <w:t>7.3.3 The effect of repeated blood sampling on the systemic cortisol concentrations in young and aged mice</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_Toc383723937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184</w:t>
          </w:r>
          <w:r w:rsidRPr="00586B01">
            <w:rPr>
              <w:rFonts w:ascii="Arial" w:hAnsi="Arial" w:cs="Arial"/>
              <w:noProof/>
              <w:sz w:val="24"/>
              <w:szCs w:val="24"/>
            </w:rPr>
            <w:fldChar w:fldCharType="end"/>
          </w:r>
        </w:p>
        <w:p w14:paraId="6DC105C3"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7.4 Conclusions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_Toc383723938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187</w:t>
          </w:r>
          <w:r w:rsidRPr="00586B01">
            <w:rPr>
              <w:rFonts w:ascii="Arial" w:hAnsi="Arial" w:cs="Arial"/>
              <w:noProof/>
              <w:sz w:val="24"/>
              <w:szCs w:val="24"/>
            </w:rPr>
            <w:fldChar w:fldCharType="end"/>
          </w:r>
        </w:p>
        <w:p w14:paraId="210707B9" w14:textId="77777777" w:rsidR="00586B01" w:rsidRPr="00586B01" w:rsidRDefault="00586B01" w:rsidP="00586B01">
          <w:pPr>
            <w:pStyle w:val="TOC1"/>
            <w:spacing w:line="360" w:lineRule="auto"/>
            <w:rPr>
              <w:rFonts w:eastAsiaTheme="minorEastAsia"/>
              <w:b w:val="0"/>
              <w:color w:val="auto"/>
              <w:lang w:eastAsia="ja-JP"/>
            </w:rPr>
          </w:pPr>
          <w:r w:rsidRPr="00586B01">
            <w:t>General discussion</w:t>
          </w:r>
          <w:r w:rsidRPr="00586B01">
            <w:tab/>
          </w:r>
          <w:r w:rsidRPr="00586B01">
            <w:fldChar w:fldCharType="begin"/>
          </w:r>
          <w:r w:rsidRPr="00586B01">
            <w:instrText xml:space="preserve"> PAGEREF _Toc383723939 \h </w:instrText>
          </w:r>
          <w:r w:rsidRPr="00586B01">
            <w:fldChar w:fldCharType="separate"/>
          </w:r>
          <w:r w:rsidR="0091638B">
            <w:t>188</w:t>
          </w:r>
          <w:r w:rsidRPr="00586B01">
            <w:fldChar w:fldCharType="end"/>
          </w:r>
        </w:p>
        <w:p w14:paraId="25BFFDAE"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8.1 The effect of timing of food ingestion on bone’s response to mechanical loading</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_Toc383723940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189</w:t>
          </w:r>
          <w:r w:rsidRPr="00586B01">
            <w:rPr>
              <w:rFonts w:ascii="Arial" w:hAnsi="Arial" w:cs="Arial"/>
              <w:noProof/>
              <w:sz w:val="24"/>
              <w:szCs w:val="24"/>
            </w:rPr>
            <w:fldChar w:fldCharType="end"/>
          </w:r>
        </w:p>
        <w:p w14:paraId="5173BBE6"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8.2 Future directions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_Toc383723941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194</w:t>
          </w:r>
          <w:r w:rsidRPr="00586B01">
            <w:rPr>
              <w:rFonts w:ascii="Arial" w:hAnsi="Arial" w:cs="Arial"/>
              <w:noProof/>
              <w:sz w:val="24"/>
              <w:szCs w:val="24"/>
            </w:rPr>
            <w:fldChar w:fldCharType="end"/>
          </w:r>
        </w:p>
        <w:p w14:paraId="5FFC4F87" w14:textId="77777777" w:rsidR="00586B01" w:rsidRPr="00586B01" w:rsidRDefault="00586B01" w:rsidP="00586B01">
          <w:pPr>
            <w:pStyle w:val="TOC2"/>
            <w:spacing w:line="360" w:lineRule="auto"/>
            <w:rPr>
              <w:rFonts w:ascii="Arial" w:eastAsiaTheme="minorEastAsia" w:hAnsi="Arial" w:cs="Arial"/>
              <w:noProof/>
              <w:sz w:val="24"/>
              <w:szCs w:val="24"/>
              <w:lang w:eastAsia="ja-JP"/>
            </w:rPr>
          </w:pPr>
          <w:r w:rsidRPr="00586B01">
            <w:rPr>
              <w:rFonts w:ascii="Arial" w:hAnsi="Arial" w:cs="Arial"/>
              <w:noProof/>
              <w:sz w:val="24"/>
              <w:szCs w:val="24"/>
            </w:rPr>
            <w:t>8.3 Conclusions and implications</w:t>
          </w:r>
          <w:r w:rsidRPr="00586B01">
            <w:rPr>
              <w:rFonts w:ascii="Arial" w:hAnsi="Arial" w:cs="Arial"/>
              <w:noProof/>
              <w:sz w:val="24"/>
              <w:szCs w:val="24"/>
            </w:rPr>
            <w:tab/>
          </w:r>
          <w:r w:rsidRPr="00586B01">
            <w:rPr>
              <w:rFonts w:ascii="Arial" w:hAnsi="Arial" w:cs="Arial"/>
              <w:noProof/>
              <w:sz w:val="24"/>
              <w:szCs w:val="24"/>
            </w:rPr>
            <w:fldChar w:fldCharType="begin"/>
          </w:r>
          <w:r w:rsidRPr="00586B01">
            <w:rPr>
              <w:rFonts w:ascii="Arial" w:hAnsi="Arial" w:cs="Arial"/>
              <w:noProof/>
              <w:sz w:val="24"/>
              <w:szCs w:val="24"/>
            </w:rPr>
            <w:instrText xml:space="preserve"> PAGEREF _Toc383723942 \h </w:instrText>
          </w:r>
          <w:r w:rsidRPr="00586B01">
            <w:rPr>
              <w:rFonts w:ascii="Arial" w:hAnsi="Arial" w:cs="Arial"/>
              <w:noProof/>
              <w:sz w:val="24"/>
              <w:szCs w:val="24"/>
            </w:rPr>
          </w:r>
          <w:r w:rsidRPr="00586B01">
            <w:rPr>
              <w:rFonts w:ascii="Arial" w:hAnsi="Arial" w:cs="Arial"/>
              <w:noProof/>
              <w:sz w:val="24"/>
              <w:szCs w:val="24"/>
            </w:rPr>
            <w:fldChar w:fldCharType="separate"/>
          </w:r>
          <w:r w:rsidR="0091638B">
            <w:rPr>
              <w:rFonts w:ascii="Arial" w:hAnsi="Arial" w:cs="Arial"/>
              <w:noProof/>
              <w:sz w:val="24"/>
              <w:szCs w:val="24"/>
            </w:rPr>
            <w:t>196</w:t>
          </w:r>
          <w:r w:rsidRPr="00586B01">
            <w:rPr>
              <w:rFonts w:ascii="Arial" w:hAnsi="Arial" w:cs="Arial"/>
              <w:noProof/>
              <w:sz w:val="24"/>
              <w:szCs w:val="24"/>
            </w:rPr>
            <w:fldChar w:fldCharType="end"/>
          </w:r>
        </w:p>
        <w:p w14:paraId="6D83DA3D" w14:textId="77777777" w:rsidR="00586B01" w:rsidRPr="00586B01" w:rsidRDefault="00586B01" w:rsidP="00586B01">
          <w:pPr>
            <w:pStyle w:val="TOC1"/>
            <w:spacing w:line="360" w:lineRule="auto"/>
            <w:rPr>
              <w:rFonts w:eastAsiaTheme="minorEastAsia"/>
              <w:b w:val="0"/>
              <w:color w:val="auto"/>
              <w:lang w:eastAsia="ja-JP"/>
            </w:rPr>
          </w:pPr>
          <w:r w:rsidRPr="00586B01">
            <w:t>Bibliography</w:t>
          </w:r>
          <w:r w:rsidRPr="00586B01">
            <w:tab/>
          </w:r>
          <w:r w:rsidRPr="00586B01">
            <w:fldChar w:fldCharType="begin"/>
          </w:r>
          <w:r w:rsidRPr="00586B01">
            <w:instrText xml:space="preserve"> PAGEREF _Toc383723943 \h </w:instrText>
          </w:r>
          <w:r w:rsidRPr="00586B01">
            <w:fldChar w:fldCharType="separate"/>
          </w:r>
          <w:r w:rsidR="0091638B">
            <w:t>198</w:t>
          </w:r>
          <w:r w:rsidRPr="00586B01">
            <w:fldChar w:fldCharType="end"/>
          </w:r>
        </w:p>
        <w:p w14:paraId="76583B16" w14:textId="77777777" w:rsidR="00586B01" w:rsidRPr="00586B01" w:rsidRDefault="00586B01" w:rsidP="00586B01">
          <w:pPr>
            <w:pStyle w:val="TOC1"/>
            <w:spacing w:line="360" w:lineRule="auto"/>
            <w:rPr>
              <w:rFonts w:eastAsiaTheme="minorEastAsia"/>
              <w:b w:val="0"/>
              <w:color w:val="auto"/>
              <w:lang w:eastAsia="ja-JP"/>
            </w:rPr>
          </w:pPr>
          <w:r w:rsidRPr="00586B01">
            <w:t>Appendices</w:t>
          </w:r>
          <w:r w:rsidRPr="00586B01">
            <w:tab/>
          </w:r>
          <w:r w:rsidRPr="00586B01">
            <w:fldChar w:fldCharType="begin"/>
          </w:r>
          <w:r w:rsidRPr="00586B01">
            <w:instrText xml:space="preserve"> PAGEREF _Toc383723944 \h </w:instrText>
          </w:r>
          <w:r w:rsidRPr="00586B01">
            <w:fldChar w:fldCharType="separate"/>
          </w:r>
          <w:r w:rsidR="0091638B">
            <w:t>246</w:t>
          </w:r>
          <w:r w:rsidRPr="00586B01">
            <w:fldChar w:fldCharType="end"/>
          </w:r>
        </w:p>
        <w:p w14:paraId="31DFAE9C" w14:textId="77777777" w:rsidR="005C6AC1" w:rsidRDefault="005C6AC1" w:rsidP="00586B01">
          <w:pPr>
            <w:pStyle w:val="TOC2"/>
            <w:spacing w:line="360" w:lineRule="auto"/>
            <w:rPr>
              <w:rFonts w:ascii="Arial" w:hAnsi="Arial" w:cs="Arial"/>
              <w:noProof/>
              <w:sz w:val="24"/>
              <w:szCs w:val="24"/>
            </w:rPr>
          </w:pPr>
          <w:r>
            <w:rPr>
              <w:rFonts w:ascii="Arial" w:hAnsi="Arial" w:cs="Arial"/>
              <w:noProof/>
              <w:sz w:val="24"/>
              <w:szCs w:val="24"/>
            </w:rPr>
            <w:t xml:space="preserve">Appendix 1- Teklad Global 18% Protein rodent diet nutrient data </w:t>
          </w:r>
          <w:r w:rsidRPr="00586B01">
            <w:rPr>
              <w:rFonts w:ascii="Arial" w:hAnsi="Arial" w:cs="Arial"/>
              <w:noProof/>
              <w:sz w:val="24"/>
              <w:szCs w:val="24"/>
            </w:rPr>
            <w:tab/>
          </w:r>
          <w:r>
            <w:rPr>
              <w:rFonts w:ascii="Arial" w:hAnsi="Arial" w:cs="Arial"/>
              <w:noProof/>
              <w:sz w:val="24"/>
              <w:szCs w:val="24"/>
            </w:rPr>
            <w:t>247</w:t>
          </w:r>
        </w:p>
        <w:p w14:paraId="6D3A54A3" w14:textId="77777777" w:rsidR="00586B01" w:rsidRPr="00586B01" w:rsidRDefault="005C6AC1" w:rsidP="00586B01">
          <w:pPr>
            <w:pStyle w:val="TOC2"/>
            <w:spacing w:line="360" w:lineRule="auto"/>
            <w:rPr>
              <w:rFonts w:ascii="Arial" w:eastAsiaTheme="minorEastAsia" w:hAnsi="Arial" w:cs="Arial"/>
              <w:noProof/>
              <w:sz w:val="24"/>
              <w:szCs w:val="24"/>
              <w:lang w:eastAsia="ja-JP"/>
            </w:rPr>
          </w:pPr>
          <w:r>
            <w:rPr>
              <w:rFonts w:ascii="Arial" w:hAnsi="Arial" w:cs="Arial"/>
              <w:noProof/>
              <w:sz w:val="24"/>
              <w:szCs w:val="24"/>
            </w:rPr>
            <w:t>Appendix 2</w:t>
          </w:r>
          <w:r w:rsidR="00586B01" w:rsidRPr="00586B01">
            <w:rPr>
              <w:rFonts w:ascii="Arial" w:hAnsi="Arial" w:cs="Arial"/>
              <w:noProof/>
              <w:sz w:val="24"/>
              <w:szCs w:val="24"/>
            </w:rPr>
            <w:t xml:space="preserve"> - Mouse/rat cortisol ELISA assay protocol</w:t>
          </w:r>
          <w:r w:rsidR="00586B01" w:rsidRPr="00586B01">
            <w:rPr>
              <w:rFonts w:ascii="Arial" w:hAnsi="Arial" w:cs="Arial"/>
              <w:noProof/>
              <w:sz w:val="24"/>
              <w:szCs w:val="24"/>
            </w:rPr>
            <w:tab/>
          </w:r>
          <w:r>
            <w:rPr>
              <w:rFonts w:ascii="Arial" w:hAnsi="Arial" w:cs="Arial"/>
              <w:noProof/>
              <w:sz w:val="24"/>
              <w:szCs w:val="24"/>
            </w:rPr>
            <w:t>250</w:t>
          </w:r>
        </w:p>
        <w:p w14:paraId="71CDD35E" w14:textId="77777777" w:rsidR="00586B01" w:rsidRPr="00586B01" w:rsidRDefault="005C6AC1" w:rsidP="00586B01">
          <w:pPr>
            <w:pStyle w:val="TOC2"/>
            <w:spacing w:line="360" w:lineRule="auto"/>
            <w:rPr>
              <w:rFonts w:ascii="Arial" w:eastAsiaTheme="minorEastAsia" w:hAnsi="Arial" w:cs="Arial"/>
              <w:noProof/>
              <w:sz w:val="24"/>
              <w:szCs w:val="24"/>
              <w:lang w:eastAsia="ja-JP"/>
            </w:rPr>
          </w:pPr>
          <w:r>
            <w:rPr>
              <w:rFonts w:ascii="Arial" w:hAnsi="Arial" w:cs="Arial"/>
              <w:noProof/>
              <w:sz w:val="24"/>
              <w:szCs w:val="24"/>
            </w:rPr>
            <w:t>Appendix 3</w:t>
          </w:r>
          <w:r w:rsidR="00586B01" w:rsidRPr="00586B01">
            <w:rPr>
              <w:rFonts w:ascii="Arial" w:hAnsi="Arial" w:cs="Arial"/>
              <w:noProof/>
              <w:sz w:val="24"/>
              <w:szCs w:val="24"/>
            </w:rPr>
            <w:t xml:space="preserve"> - Mouse Bio-Plex Pro multiplex m</w:t>
          </w:r>
          <w:r>
            <w:rPr>
              <w:rFonts w:ascii="Arial" w:hAnsi="Arial" w:cs="Arial"/>
              <w:noProof/>
              <w:sz w:val="24"/>
              <w:szCs w:val="24"/>
            </w:rPr>
            <w:t xml:space="preserve">etabolic hormone assay protocol </w:t>
          </w:r>
          <w:r w:rsidRPr="00586B01">
            <w:rPr>
              <w:rFonts w:ascii="Arial" w:hAnsi="Arial" w:cs="Arial"/>
              <w:noProof/>
              <w:sz w:val="24"/>
              <w:szCs w:val="24"/>
            </w:rPr>
            <w:tab/>
          </w:r>
          <w:r>
            <w:rPr>
              <w:rFonts w:ascii="Arial" w:hAnsi="Arial" w:cs="Arial"/>
              <w:noProof/>
              <w:sz w:val="24"/>
              <w:szCs w:val="24"/>
            </w:rPr>
            <w:t>251</w:t>
          </w:r>
        </w:p>
        <w:p w14:paraId="0032BB8F" w14:textId="77777777" w:rsidR="005C6AC1" w:rsidRDefault="000427E5" w:rsidP="00586B01">
          <w:pPr>
            <w:spacing w:line="360" w:lineRule="auto"/>
            <w:jc w:val="both"/>
            <w:rPr>
              <w:rFonts w:ascii="Arial" w:hAnsi="Arial" w:cs="Arial"/>
            </w:rPr>
          </w:pPr>
          <w:r w:rsidRPr="00586B01">
            <w:rPr>
              <w:rFonts w:ascii="Arial" w:hAnsi="Arial" w:cs="Arial"/>
              <w:b/>
              <w:bCs/>
              <w:noProof/>
            </w:rPr>
            <w:fldChar w:fldCharType="end"/>
          </w:r>
        </w:p>
      </w:sdtContent>
    </w:sdt>
    <w:p w14:paraId="3551FA8C" w14:textId="77777777" w:rsidR="005C6AC1" w:rsidRPr="005C6AC1" w:rsidRDefault="005C6AC1" w:rsidP="005C6AC1">
      <w:pPr>
        <w:rPr>
          <w:rFonts w:ascii="Arial" w:hAnsi="Arial" w:cs="Arial"/>
        </w:rPr>
      </w:pPr>
    </w:p>
    <w:p w14:paraId="25059D09" w14:textId="77777777" w:rsidR="005C6AC1" w:rsidRPr="005C6AC1" w:rsidRDefault="005C6AC1" w:rsidP="005C6AC1">
      <w:pPr>
        <w:rPr>
          <w:rFonts w:ascii="Arial" w:hAnsi="Arial" w:cs="Arial"/>
        </w:rPr>
      </w:pPr>
    </w:p>
    <w:p w14:paraId="636631C4" w14:textId="77777777" w:rsidR="005C6AC1" w:rsidRPr="005C6AC1" w:rsidRDefault="005C6AC1" w:rsidP="005C6AC1">
      <w:pPr>
        <w:rPr>
          <w:rFonts w:ascii="Arial" w:hAnsi="Arial" w:cs="Arial"/>
        </w:rPr>
      </w:pPr>
    </w:p>
    <w:p w14:paraId="629021B0" w14:textId="77777777" w:rsidR="005C6AC1" w:rsidRPr="005C6AC1" w:rsidRDefault="005C6AC1" w:rsidP="005C6AC1">
      <w:pPr>
        <w:rPr>
          <w:rFonts w:ascii="Arial" w:hAnsi="Arial" w:cs="Arial"/>
        </w:rPr>
      </w:pPr>
    </w:p>
    <w:p w14:paraId="4E6955F2" w14:textId="77777777" w:rsidR="005C6AC1" w:rsidRPr="005C6AC1" w:rsidRDefault="005C6AC1" w:rsidP="005C6AC1">
      <w:pPr>
        <w:rPr>
          <w:rFonts w:ascii="Arial" w:hAnsi="Arial" w:cs="Arial"/>
        </w:rPr>
      </w:pPr>
    </w:p>
    <w:p w14:paraId="3A130C2A" w14:textId="77777777" w:rsidR="005C6AC1" w:rsidRPr="005C6AC1" w:rsidRDefault="005C6AC1" w:rsidP="005C6AC1">
      <w:pPr>
        <w:rPr>
          <w:rFonts w:ascii="Arial" w:hAnsi="Arial" w:cs="Arial"/>
        </w:rPr>
      </w:pPr>
    </w:p>
    <w:p w14:paraId="07C68CA4" w14:textId="77777777" w:rsidR="005C6AC1" w:rsidRPr="005C6AC1" w:rsidRDefault="005C6AC1" w:rsidP="005C6AC1">
      <w:pPr>
        <w:rPr>
          <w:rFonts w:ascii="Arial" w:hAnsi="Arial" w:cs="Arial"/>
        </w:rPr>
      </w:pPr>
    </w:p>
    <w:p w14:paraId="670E19D6" w14:textId="77777777" w:rsidR="005C6AC1" w:rsidRPr="005C6AC1" w:rsidRDefault="005C6AC1" w:rsidP="005C6AC1">
      <w:pPr>
        <w:rPr>
          <w:rFonts w:ascii="Arial" w:hAnsi="Arial" w:cs="Arial"/>
        </w:rPr>
      </w:pPr>
    </w:p>
    <w:p w14:paraId="230211AB" w14:textId="77777777" w:rsidR="005C6AC1" w:rsidRDefault="005C6AC1" w:rsidP="005C6AC1">
      <w:pPr>
        <w:rPr>
          <w:rFonts w:ascii="Arial" w:hAnsi="Arial" w:cs="Arial"/>
        </w:rPr>
      </w:pPr>
    </w:p>
    <w:p w14:paraId="216C8851" w14:textId="77777777" w:rsidR="005C6AC1" w:rsidRDefault="005C6AC1" w:rsidP="005C6AC1">
      <w:pPr>
        <w:rPr>
          <w:rFonts w:ascii="Arial" w:hAnsi="Arial" w:cs="Arial"/>
        </w:rPr>
      </w:pPr>
    </w:p>
    <w:p w14:paraId="5BB651EF" w14:textId="77777777" w:rsidR="004850AF" w:rsidRPr="005C6AC1" w:rsidRDefault="004850AF" w:rsidP="005C6AC1">
      <w:pPr>
        <w:rPr>
          <w:rFonts w:ascii="Arial" w:hAnsi="Arial" w:cs="Arial"/>
        </w:rPr>
        <w:sectPr w:rsidR="004850AF" w:rsidRPr="005C6AC1" w:rsidSect="00E771EA">
          <w:pgSz w:w="11900" w:h="16840"/>
          <w:pgMar w:top="1134" w:right="1134" w:bottom="1134" w:left="1134" w:header="709" w:footer="709" w:gutter="0"/>
          <w:pgNumType w:start="1" w:chapStyle="1"/>
          <w:cols w:space="708"/>
          <w:titlePg/>
          <w:docGrid w:linePitch="360"/>
        </w:sectPr>
      </w:pPr>
    </w:p>
    <w:p w14:paraId="7C7214BD" w14:textId="77777777" w:rsidR="00586B01" w:rsidRPr="00006A4E" w:rsidRDefault="00586B01" w:rsidP="00D40E59">
      <w:pPr>
        <w:pStyle w:val="Heading2"/>
      </w:pPr>
      <w:bookmarkStart w:id="3" w:name="_Toc383723838"/>
      <w:r w:rsidRPr="00006A4E">
        <w:lastRenderedPageBreak/>
        <w:t>List of figures</w:t>
      </w:r>
      <w:bookmarkEnd w:id="3"/>
    </w:p>
    <w:p w14:paraId="3F928B79" w14:textId="77777777" w:rsidR="00277A87" w:rsidRPr="00277A87" w:rsidRDefault="00277A87" w:rsidP="00277A87"/>
    <w:p w14:paraId="73FD81B0" w14:textId="77777777" w:rsidR="007726CF" w:rsidRPr="00C24E0A" w:rsidRDefault="00EC5E23"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rPr>
        <w:fldChar w:fldCharType="begin"/>
      </w:r>
      <w:r w:rsidRPr="00C24E0A">
        <w:rPr>
          <w:rFonts w:ascii="Arial" w:hAnsi="Arial" w:cs="Arial"/>
        </w:rPr>
        <w:instrText xml:space="preserve"> TOC \c "Figure" </w:instrText>
      </w:r>
      <w:r w:rsidRPr="00C24E0A">
        <w:rPr>
          <w:rFonts w:ascii="Arial" w:hAnsi="Arial" w:cs="Arial"/>
        </w:rPr>
        <w:fldChar w:fldCharType="separate"/>
      </w:r>
      <w:r w:rsidR="007726CF" w:rsidRPr="00C24E0A">
        <w:rPr>
          <w:rFonts w:ascii="Arial" w:hAnsi="Arial" w:cs="Arial"/>
          <w:b/>
          <w:noProof/>
        </w:rPr>
        <w:t>Figure 1</w:t>
      </w:r>
      <w:r w:rsidR="007726CF" w:rsidRPr="00C24E0A">
        <w:rPr>
          <w:rFonts w:ascii="Arial" w:hAnsi="Arial" w:cs="Arial"/>
          <w:noProof/>
        </w:rPr>
        <w:t xml:space="preserve"> Bone and energy metabolism feedback loop</w:t>
      </w:r>
      <w:r w:rsidR="007726CF" w:rsidRPr="00C24E0A">
        <w:rPr>
          <w:rFonts w:ascii="Arial" w:hAnsi="Arial" w:cs="Arial"/>
          <w:noProof/>
        </w:rPr>
        <w:tab/>
      </w:r>
      <w:r w:rsidR="007726CF" w:rsidRPr="00C24E0A">
        <w:rPr>
          <w:rFonts w:ascii="Arial" w:hAnsi="Arial" w:cs="Arial"/>
          <w:noProof/>
        </w:rPr>
        <w:fldChar w:fldCharType="begin"/>
      </w:r>
      <w:r w:rsidR="007726CF" w:rsidRPr="00C24E0A">
        <w:rPr>
          <w:rFonts w:ascii="Arial" w:hAnsi="Arial" w:cs="Arial"/>
          <w:noProof/>
        </w:rPr>
        <w:instrText xml:space="preserve"> PAGEREF _Toc383544592 \h </w:instrText>
      </w:r>
      <w:r w:rsidR="007726CF" w:rsidRPr="00C24E0A">
        <w:rPr>
          <w:rFonts w:ascii="Arial" w:hAnsi="Arial" w:cs="Arial"/>
          <w:noProof/>
        </w:rPr>
      </w:r>
      <w:r w:rsidR="007726CF" w:rsidRPr="00C24E0A">
        <w:rPr>
          <w:rFonts w:ascii="Arial" w:hAnsi="Arial" w:cs="Arial"/>
          <w:noProof/>
        </w:rPr>
        <w:fldChar w:fldCharType="separate"/>
      </w:r>
      <w:r w:rsidR="0091638B">
        <w:rPr>
          <w:rFonts w:ascii="Arial" w:hAnsi="Arial" w:cs="Arial"/>
          <w:noProof/>
        </w:rPr>
        <w:t>4</w:t>
      </w:r>
      <w:r w:rsidR="007726CF" w:rsidRPr="00C24E0A">
        <w:rPr>
          <w:rFonts w:ascii="Arial" w:hAnsi="Arial" w:cs="Arial"/>
          <w:noProof/>
        </w:rPr>
        <w:fldChar w:fldCharType="end"/>
      </w:r>
    </w:p>
    <w:p w14:paraId="5F6529E2"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w:t>
      </w:r>
      <w:r w:rsidRPr="00C24E0A">
        <w:rPr>
          <w:rFonts w:ascii="Arial" w:hAnsi="Arial" w:cs="Arial"/>
          <w:noProof/>
        </w:rPr>
        <w:t xml:space="preserve"> The effects of bone-derived multifunctional hormone osteocalcin</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_Toc383544593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5</w:t>
      </w:r>
      <w:r w:rsidRPr="00C24E0A">
        <w:rPr>
          <w:rFonts w:ascii="Arial" w:hAnsi="Arial" w:cs="Arial"/>
          <w:noProof/>
        </w:rPr>
        <w:fldChar w:fldCharType="end"/>
      </w:r>
    </w:p>
    <w:p w14:paraId="4704A123"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 xml:space="preserve">Figure 3 </w:t>
      </w:r>
      <w:r w:rsidRPr="00C24E0A">
        <w:rPr>
          <w:rFonts w:ascii="Arial" w:hAnsi="Arial" w:cs="Arial"/>
          <w:noProof/>
        </w:rPr>
        <w:t>3D reconstructed images of a mouse tibia micro-computed tomography (</w:t>
      </w:r>
      <w:r w:rsidRPr="00C24E0A">
        <w:rPr>
          <w:rFonts w:ascii="Arial" w:hAnsi="Arial" w:cs="Arial"/>
          <w:b/>
          <w:noProof/>
        </w:rPr>
        <w:sym w:font="Symbol" w:char="F06D"/>
      </w:r>
      <w:r w:rsidRPr="00C24E0A">
        <w:rPr>
          <w:rFonts w:ascii="Arial" w:hAnsi="Arial" w:cs="Arial"/>
          <w:noProof/>
        </w:rPr>
        <w:t>CT) scan demonstrating cortical and trabecular bone compartments</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_Toc383544594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6</w:t>
      </w:r>
      <w:r w:rsidRPr="00C24E0A">
        <w:rPr>
          <w:rFonts w:ascii="Arial" w:hAnsi="Arial" w:cs="Arial"/>
          <w:noProof/>
        </w:rPr>
        <w:fldChar w:fldCharType="end"/>
      </w:r>
    </w:p>
    <w:p w14:paraId="17A693FC"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4</w:t>
      </w:r>
      <w:r w:rsidRPr="00C24E0A">
        <w:rPr>
          <w:rFonts w:ascii="Arial" w:hAnsi="Arial" w:cs="Arial"/>
          <w:noProof/>
        </w:rPr>
        <w:t xml:space="preserve"> Schematic representation of bone microarchitecture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_Toc383544595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7</w:t>
      </w:r>
      <w:r w:rsidRPr="00C24E0A">
        <w:rPr>
          <w:rFonts w:ascii="Arial" w:hAnsi="Arial" w:cs="Arial"/>
          <w:noProof/>
        </w:rPr>
        <w:fldChar w:fldCharType="end"/>
      </w:r>
    </w:p>
    <w:p w14:paraId="6C87DCF9"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5</w:t>
      </w:r>
      <w:r w:rsidRPr="00C24E0A">
        <w:rPr>
          <w:rFonts w:ascii="Arial" w:hAnsi="Arial" w:cs="Arial"/>
          <w:noProof/>
        </w:rPr>
        <w:t xml:space="preserve"> Schematic representation of the primary osteons</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_Toc383544596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8</w:t>
      </w:r>
      <w:r w:rsidRPr="00C24E0A">
        <w:rPr>
          <w:rFonts w:ascii="Arial" w:hAnsi="Arial" w:cs="Arial"/>
          <w:noProof/>
        </w:rPr>
        <w:fldChar w:fldCharType="end"/>
      </w:r>
    </w:p>
    <w:p w14:paraId="33351FAA"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 xml:space="preserve">Figure 6 </w:t>
      </w:r>
      <w:r w:rsidRPr="00C24E0A">
        <w:rPr>
          <w:rFonts w:ascii="Arial" w:hAnsi="Arial" w:cs="Arial"/>
          <w:noProof/>
        </w:rPr>
        <w:t>Schematic representation of bone remodelling</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_Toc383544597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10</w:t>
      </w:r>
      <w:r w:rsidRPr="00C24E0A">
        <w:rPr>
          <w:rFonts w:ascii="Arial" w:hAnsi="Arial" w:cs="Arial"/>
          <w:noProof/>
        </w:rPr>
        <w:fldChar w:fldCharType="end"/>
      </w:r>
    </w:p>
    <w:p w14:paraId="180C831E"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 xml:space="preserve">Figure 7 </w:t>
      </w:r>
      <w:r w:rsidRPr="00C24E0A">
        <w:rPr>
          <w:rFonts w:ascii="Arial" w:hAnsi="Arial" w:cs="Arial"/>
          <w:noProof/>
        </w:rPr>
        <w:t>Age-specific and sex-specific incidences of radiographic vertebral, hip and dorsal forearm fractures</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_Toc383544598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14</w:t>
      </w:r>
      <w:r w:rsidRPr="00C24E0A">
        <w:rPr>
          <w:rFonts w:ascii="Arial" w:hAnsi="Arial" w:cs="Arial"/>
          <w:noProof/>
        </w:rPr>
        <w:fldChar w:fldCharType="end"/>
      </w:r>
    </w:p>
    <w:p w14:paraId="330EDEE1"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8</w:t>
      </w:r>
      <w:r w:rsidRPr="00C24E0A">
        <w:rPr>
          <w:rFonts w:ascii="Arial" w:hAnsi="Arial" w:cs="Arial"/>
          <w:noProof/>
        </w:rPr>
        <w:t xml:space="preserve"> Scanning electron micrographs (SEMs) of the trabecular bone of the third lumbar (L3) vertebrae of healthy adult 30 years old (left) and osteoporotic 71 years old (right) females</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_Toc383544599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15</w:t>
      </w:r>
      <w:r w:rsidRPr="00C24E0A">
        <w:rPr>
          <w:rFonts w:ascii="Arial" w:hAnsi="Arial" w:cs="Arial"/>
          <w:noProof/>
        </w:rPr>
        <w:fldChar w:fldCharType="end"/>
      </w:r>
    </w:p>
    <w:p w14:paraId="5C89346E"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9</w:t>
      </w:r>
      <w:r w:rsidRPr="00C24E0A">
        <w:rPr>
          <w:rFonts w:ascii="Arial" w:hAnsi="Arial" w:cs="Arial"/>
          <w:noProof/>
        </w:rPr>
        <w:t xml:space="preserve"> Schematic representation of signalling pathways activated by mechanical stimuli in osteoblastic cells</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_Toc383544600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21</w:t>
      </w:r>
      <w:r w:rsidRPr="00C24E0A">
        <w:rPr>
          <w:rFonts w:ascii="Arial" w:hAnsi="Arial" w:cs="Arial"/>
          <w:noProof/>
        </w:rPr>
        <w:fldChar w:fldCharType="end"/>
      </w:r>
    </w:p>
    <w:p w14:paraId="16AD3FDF"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10</w:t>
      </w:r>
      <w:r w:rsidRPr="00C24E0A">
        <w:rPr>
          <w:rFonts w:ascii="Arial" w:hAnsi="Arial" w:cs="Arial"/>
          <w:noProof/>
        </w:rPr>
        <w:t xml:space="preserve"> Cephalic responses triggered by neural signals from the brain before the food intake in rats</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_Toc383544601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24</w:t>
      </w:r>
      <w:r w:rsidRPr="00C24E0A">
        <w:rPr>
          <w:rFonts w:ascii="Arial" w:hAnsi="Arial" w:cs="Arial"/>
          <w:noProof/>
        </w:rPr>
        <w:fldChar w:fldCharType="end"/>
      </w:r>
    </w:p>
    <w:p w14:paraId="0F7814AC"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11</w:t>
      </w:r>
      <w:r w:rsidRPr="00C24E0A">
        <w:rPr>
          <w:rFonts w:ascii="Arial" w:hAnsi="Arial" w:cs="Arial"/>
          <w:noProof/>
        </w:rPr>
        <w:t xml:space="preserve"> Schematic representation of the </w:t>
      </w:r>
      <w:r w:rsidRPr="00C24E0A">
        <w:rPr>
          <w:rFonts w:ascii="Arial" w:hAnsi="Arial" w:cs="Arial"/>
          <w:i/>
          <w:noProof/>
        </w:rPr>
        <w:t xml:space="preserve">in vivo </w:t>
      </w:r>
      <w:r w:rsidRPr="00C24E0A">
        <w:rPr>
          <w:rFonts w:ascii="Arial" w:hAnsi="Arial" w:cs="Arial"/>
          <w:noProof/>
        </w:rPr>
        <w:t>mechanical loading experimental design with fluorescence label</w:t>
      </w:r>
      <w:r w:rsidR="006133D7" w:rsidRPr="00C24E0A">
        <w:rPr>
          <w:rFonts w:ascii="Arial" w:hAnsi="Arial" w:cs="Arial"/>
          <w:noProof/>
        </w:rPr>
        <w:t>ing</w:t>
      </w:r>
      <w:r w:rsidRPr="00C24E0A">
        <w:rPr>
          <w:rFonts w:ascii="Arial" w:hAnsi="Arial" w:cs="Arial"/>
          <w:noProof/>
        </w:rPr>
        <w:t xml:space="preserve"> schedule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_Toc383544602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39</w:t>
      </w:r>
      <w:r w:rsidRPr="00C24E0A">
        <w:rPr>
          <w:rFonts w:ascii="Arial" w:hAnsi="Arial" w:cs="Arial"/>
          <w:noProof/>
        </w:rPr>
        <w:fldChar w:fldCharType="end"/>
      </w:r>
    </w:p>
    <w:p w14:paraId="0CBDC8FA"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12</w:t>
      </w:r>
      <w:r w:rsidRPr="00C24E0A">
        <w:rPr>
          <w:rFonts w:ascii="Arial" w:hAnsi="Arial" w:cs="Arial"/>
          <w:noProof/>
        </w:rPr>
        <w:t xml:space="preserve"> Schematic diagram representing the placement of mouse right hind limb into the loading caps to apply non-invasive axial loading (A) under isofluorane-induced anaesthesia using ElectroForce 5500 linear motor materials testing machine, Bose Co., USA</w:t>
      </w:r>
      <w:r w:rsidR="00006A4E" w:rsidRPr="00C24E0A">
        <w:rPr>
          <w:rFonts w:ascii="Arial" w:hAnsi="Arial" w:cs="Arial"/>
          <w:noProof/>
        </w:rPr>
        <w:t xml:space="preserve"> (B</w:t>
      </w:r>
      <w:r w:rsidRPr="00C24E0A">
        <w:rPr>
          <w:rFonts w:ascii="Arial" w:hAnsi="Arial" w:cs="Arial"/>
          <w:noProof/>
        </w:rPr>
        <w:t>)</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_Toc383544603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40</w:t>
      </w:r>
      <w:r w:rsidRPr="00C24E0A">
        <w:rPr>
          <w:rFonts w:ascii="Arial" w:hAnsi="Arial" w:cs="Arial"/>
          <w:noProof/>
        </w:rPr>
        <w:fldChar w:fldCharType="end"/>
      </w:r>
    </w:p>
    <w:p w14:paraId="67D3E507"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13</w:t>
      </w:r>
      <w:r w:rsidRPr="00C24E0A">
        <w:rPr>
          <w:rFonts w:ascii="Arial" w:hAnsi="Arial" w:cs="Arial"/>
          <w:noProof/>
        </w:rPr>
        <w:t xml:space="preserve"> The</w:t>
      </w:r>
      <w:r w:rsidRPr="00C24E0A">
        <w:rPr>
          <w:rFonts w:ascii="Arial" w:eastAsiaTheme="minorHAnsi" w:hAnsi="Arial" w:cs="Arial"/>
          <w:noProof/>
        </w:rPr>
        <w:t xml:space="preserve"> main components and operating principle of desktop micro-computed tomography (</w:t>
      </w:r>
      <w:r w:rsidRPr="00C24E0A">
        <w:rPr>
          <w:rFonts w:ascii="Arial" w:hAnsi="Arial" w:cs="Arial"/>
          <w:noProof/>
        </w:rPr>
        <w:sym w:font="Symbol" w:char="F06D"/>
      </w:r>
      <w:r w:rsidRPr="00C24E0A">
        <w:rPr>
          <w:rFonts w:ascii="Arial" w:hAnsi="Arial" w:cs="Arial"/>
          <w:noProof/>
        </w:rPr>
        <w:t>CT) scanner</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_Toc383544604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44</w:t>
      </w:r>
      <w:r w:rsidRPr="00C24E0A">
        <w:rPr>
          <w:rFonts w:ascii="Arial" w:hAnsi="Arial" w:cs="Arial"/>
          <w:noProof/>
        </w:rPr>
        <w:fldChar w:fldCharType="end"/>
      </w:r>
    </w:p>
    <w:p w14:paraId="47061EF3"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14</w:t>
      </w:r>
      <w:r w:rsidRPr="00C24E0A">
        <w:rPr>
          <w:rFonts w:ascii="Arial" w:hAnsi="Arial" w:cs="Arial"/>
          <w:noProof/>
        </w:rPr>
        <w:t xml:space="preserve"> </w:t>
      </w:r>
      <w:r w:rsidRPr="00C24E0A">
        <w:rPr>
          <w:rFonts w:ascii="Arial" w:eastAsiaTheme="minorHAnsi" w:hAnsi="Arial" w:cs="Arial"/>
          <w:noProof/>
        </w:rPr>
        <w:t xml:space="preserve">Selection of the tibial trabecular (A) and cortical bone (B) 1mm-long ROIs for </w:t>
      </w:r>
      <w:r w:rsidRPr="00C24E0A">
        <w:rPr>
          <w:rFonts w:ascii="Arial" w:hAnsi="Arial" w:cs="Arial"/>
          <w:noProof/>
        </w:rPr>
        <w:t xml:space="preserve">3D analysis using </w:t>
      </w:r>
      <w:r w:rsidRPr="00C24E0A">
        <w:rPr>
          <w:rFonts w:ascii="Arial" w:eastAsiaTheme="minorHAnsi" w:hAnsi="Arial" w:cs="Arial"/>
          <w:noProof/>
        </w:rPr>
        <w:t>SkyScan Ct.An software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_Toc383544605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45</w:t>
      </w:r>
      <w:r w:rsidRPr="00C24E0A">
        <w:rPr>
          <w:rFonts w:ascii="Arial" w:hAnsi="Arial" w:cs="Arial"/>
          <w:noProof/>
        </w:rPr>
        <w:fldChar w:fldCharType="end"/>
      </w:r>
    </w:p>
    <w:p w14:paraId="50DE2F36"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15</w:t>
      </w:r>
      <w:r w:rsidRPr="00C24E0A">
        <w:rPr>
          <w:rFonts w:ascii="Arial" w:hAnsi="Arial" w:cs="Arial"/>
          <w:noProof/>
        </w:rPr>
        <w:t xml:space="preserve"> </w:t>
      </w:r>
      <w:r w:rsidRPr="00C24E0A">
        <w:rPr>
          <w:rFonts w:ascii="Arial" w:eastAsiaTheme="minorHAnsi" w:hAnsi="Arial" w:cs="Arial"/>
          <w:noProof/>
        </w:rPr>
        <w:t>Representative images of the trabecular (A), cortical ‘crude’ (B) and ‘doughnut’ (C) regions of interests drawn to analyse trabecular and cortical bones respectively</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_Toc383544606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47</w:t>
      </w:r>
      <w:r w:rsidRPr="00C24E0A">
        <w:rPr>
          <w:rFonts w:ascii="Arial" w:hAnsi="Arial" w:cs="Arial"/>
          <w:noProof/>
        </w:rPr>
        <w:fldChar w:fldCharType="end"/>
      </w:r>
    </w:p>
    <w:p w14:paraId="76C609C6"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16</w:t>
      </w:r>
      <w:r w:rsidRPr="00C24E0A">
        <w:rPr>
          <w:rFonts w:ascii="Arial" w:eastAsiaTheme="minorHAnsi" w:hAnsi="Arial" w:cs="Arial"/>
          <w:noProof/>
        </w:rPr>
        <w:t xml:space="preserve"> Measurement of bone formation parameters from fluorochrome labels on a mouse tibia transverse section</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_Toc383544607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52</w:t>
      </w:r>
      <w:r w:rsidRPr="00C24E0A">
        <w:rPr>
          <w:rFonts w:ascii="Arial" w:hAnsi="Arial" w:cs="Arial"/>
          <w:noProof/>
        </w:rPr>
        <w:fldChar w:fldCharType="end"/>
      </w:r>
    </w:p>
    <w:p w14:paraId="2671E4FF"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17</w:t>
      </w:r>
      <w:r w:rsidRPr="00C24E0A">
        <w:rPr>
          <w:rFonts w:ascii="Arial" w:hAnsi="Arial" w:cs="Arial"/>
          <w:noProof/>
        </w:rPr>
        <w:t xml:space="preserve"> </w:t>
      </w:r>
      <w:r w:rsidRPr="00C24E0A">
        <w:rPr>
          <w:rFonts w:ascii="Arial" w:eastAsiaTheme="minorHAnsi" w:hAnsi="Arial" w:cs="Arial"/>
          <w:noProof/>
        </w:rPr>
        <w:t xml:space="preserve">Rodent tube restrainer used to access mouse tail </w:t>
      </w:r>
      <w:r w:rsidR="003328B9" w:rsidRPr="00C24E0A">
        <w:rPr>
          <w:rFonts w:ascii="Arial" w:eastAsiaTheme="minorHAnsi" w:hAnsi="Arial" w:cs="Arial"/>
          <w:noProof/>
        </w:rPr>
        <w:t>vein for blood sampling</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_Toc383544608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54</w:t>
      </w:r>
      <w:r w:rsidRPr="00C24E0A">
        <w:rPr>
          <w:rFonts w:ascii="Arial" w:hAnsi="Arial" w:cs="Arial"/>
          <w:noProof/>
        </w:rPr>
        <w:fldChar w:fldCharType="end"/>
      </w:r>
    </w:p>
    <w:p w14:paraId="7A6ACC0C"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18</w:t>
      </w:r>
      <w:r w:rsidRPr="00C24E0A">
        <w:rPr>
          <w:rFonts w:ascii="Arial" w:hAnsi="Arial" w:cs="Arial"/>
          <w:noProof/>
        </w:rPr>
        <w:t xml:space="preserve"> </w:t>
      </w:r>
      <w:r w:rsidRPr="00C24E0A">
        <w:rPr>
          <w:rFonts w:ascii="Arial" w:eastAsiaTheme="minorHAnsi" w:hAnsi="Arial" w:cs="Arial"/>
          <w:noProof/>
        </w:rPr>
        <w:t>Overview of the cortisol solid phase competitive ELISA</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_Toc383544609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56</w:t>
      </w:r>
      <w:r w:rsidRPr="00C24E0A">
        <w:rPr>
          <w:rFonts w:ascii="Arial" w:hAnsi="Arial" w:cs="Arial"/>
          <w:noProof/>
        </w:rPr>
        <w:fldChar w:fldCharType="end"/>
      </w:r>
    </w:p>
    <w:p w14:paraId="6E22D826"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lastRenderedPageBreak/>
        <w:t>Figure 19</w:t>
      </w:r>
      <w:r w:rsidRPr="00C24E0A">
        <w:rPr>
          <w:rFonts w:ascii="Arial" w:hAnsi="Arial" w:cs="Arial"/>
          <w:noProof/>
        </w:rPr>
        <w:t xml:space="preserve"> Schematic representation of Bio-Plex sandwich immunoassay principle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_Toc383544610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58</w:t>
      </w:r>
      <w:r w:rsidRPr="00C24E0A">
        <w:rPr>
          <w:rFonts w:ascii="Arial" w:hAnsi="Arial" w:cs="Arial"/>
          <w:noProof/>
        </w:rPr>
        <w:fldChar w:fldCharType="end"/>
      </w:r>
    </w:p>
    <w:p w14:paraId="49CB2A4E"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20</w:t>
      </w:r>
      <w:r w:rsidRPr="00C24E0A">
        <w:rPr>
          <w:rFonts w:ascii="Arial" w:hAnsi="Arial" w:cs="Arial"/>
          <w:noProof/>
        </w:rPr>
        <w:t xml:space="preserve"> Body weight</w:t>
      </w:r>
      <w:r w:rsidR="00C24E0A">
        <w:rPr>
          <w:rFonts w:ascii="Arial" w:hAnsi="Arial" w:cs="Arial"/>
          <w:noProof/>
        </w:rPr>
        <w:t>s</w:t>
      </w:r>
      <w:r w:rsidRPr="00C24E0A">
        <w:rPr>
          <w:rFonts w:ascii="Arial" w:hAnsi="Arial" w:cs="Arial"/>
          <w:noProof/>
        </w:rPr>
        <w:t xml:space="preserve"> (A), food intake (B) and faecal output (C) of fed or overnight fasted young male C57BL/6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_Toc383544611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66</w:t>
      </w:r>
      <w:r w:rsidRPr="00C24E0A">
        <w:rPr>
          <w:rFonts w:ascii="Arial" w:hAnsi="Arial" w:cs="Arial"/>
          <w:noProof/>
        </w:rPr>
        <w:fldChar w:fldCharType="end"/>
      </w:r>
    </w:p>
    <w:p w14:paraId="1222DFF6"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21</w:t>
      </w:r>
      <w:r w:rsidRPr="00C24E0A">
        <w:rPr>
          <w:rFonts w:ascii="Arial" w:hAnsi="Arial" w:cs="Arial"/>
          <w:noProof/>
        </w:rPr>
        <w:t xml:space="preserve"> Tibial length</w:t>
      </w:r>
      <w:r w:rsidR="00F545A3">
        <w:rPr>
          <w:rFonts w:ascii="Arial" w:hAnsi="Arial" w:cs="Arial"/>
          <w:noProof/>
        </w:rPr>
        <w:t>s</w:t>
      </w:r>
      <w:r w:rsidRPr="00C24E0A">
        <w:rPr>
          <w:rFonts w:ascii="Arial" w:hAnsi="Arial" w:cs="Arial"/>
          <w:noProof/>
        </w:rPr>
        <w:t xml:space="preserve"> of ad-lib fed or</w:t>
      </w:r>
      <w:r w:rsidR="006133D7" w:rsidRPr="00C24E0A">
        <w:rPr>
          <w:rFonts w:ascii="Arial" w:hAnsi="Arial" w:cs="Arial"/>
          <w:noProof/>
        </w:rPr>
        <w:t xml:space="preserve"> overnight fasted young male C57</w:t>
      </w:r>
      <w:r w:rsidRPr="00C24E0A">
        <w:rPr>
          <w:rFonts w:ascii="Arial" w:hAnsi="Arial" w:cs="Arial"/>
          <w:noProof/>
        </w:rPr>
        <w:t>BL/6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_Toc383544612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68</w:t>
      </w:r>
      <w:r w:rsidRPr="00C24E0A">
        <w:rPr>
          <w:rFonts w:ascii="Arial" w:hAnsi="Arial" w:cs="Arial"/>
          <w:noProof/>
        </w:rPr>
        <w:fldChar w:fldCharType="end"/>
      </w:r>
    </w:p>
    <w:p w14:paraId="5EF689E0"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22</w:t>
      </w:r>
      <w:r w:rsidRPr="00C24E0A">
        <w:rPr>
          <w:rFonts w:ascii="Arial" w:hAnsi="Arial" w:cs="Arial"/>
          <w:noProof/>
        </w:rPr>
        <w:t xml:space="preserve"> Cortical bone mass and architecture measured at the mid-shaft region of the </w:t>
      </w:r>
      <w:r w:rsidRPr="00C24E0A">
        <w:rPr>
          <w:rFonts w:ascii="Arial" w:eastAsiaTheme="minorHAnsi" w:hAnsi="Arial" w:cs="Arial"/>
          <w:noProof/>
          <w:lang w:val="en-US"/>
        </w:rPr>
        <w:t xml:space="preserve">left non-loaded (control) and </w:t>
      </w:r>
      <w:r w:rsidRPr="00C24E0A">
        <w:rPr>
          <w:rFonts w:ascii="Arial" w:hAnsi="Arial" w:cs="Arial"/>
          <w:noProof/>
        </w:rPr>
        <w:t xml:space="preserve">right </w:t>
      </w:r>
      <w:r w:rsidRPr="00C24E0A">
        <w:rPr>
          <w:rFonts w:ascii="Arial" w:eastAsiaTheme="minorHAnsi" w:hAnsi="Arial" w:cs="Arial"/>
          <w:noProof/>
          <w:lang w:val="en-US"/>
        </w:rPr>
        <w:t>loaded tibiae with 20 cycles of loading regimen of 19-week-old fed (n=7) or overnight fasted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_Toc383544613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69</w:t>
      </w:r>
      <w:r w:rsidRPr="00C24E0A">
        <w:rPr>
          <w:rFonts w:ascii="Arial" w:hAnsi="Arial" w:cs="Arial"/>
          <w:noProof/>
        </w:rPr>
        <w:fldChar w:fldCharType="end"/>
      </w:r>
    </w:p>
    <w:p w14:paraId="33144858"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23</w:t>
      </w:r>
      <w:r w:rsidRPr="00C24E0A">
        <w:rPr>
          <w:rFonts w:ascii="Arial" w:hAnsi="Arial" w:cs="Arial"/>
          <w:noProof/>
          <w:lang w:val="en-US"/>
        </w:rPr>
        <w:t xml:space="preserve"> </w:t>
      </w:r>
      <w:r w:rsidRPr="00C24E0A">
        <w:rPr>
          <w:rFonts w:ascii="Arial" w:hAnsi="Arial" w:cs="Arial"/>
          <w:noProof/>
        </w:rPr>
        <w:t xml:space="preserve">Trabecular bone mass and architecture measured at the proximal region of the </w:t>
      </w:r>
      <w:r w:rsidRPr="00C24E0A">
        <w:rPr>
          <w:rFonts w:ascii="Arial" w:eastAsiaTheme="minorHAnsi" w:hAnsi="Arial" w:cs="Arial"/>
          <w:noProof/>
          <w:lang w:val="en-US"/>
        </w:rPr>
        <w:t xml:space="preserve">left non-loaded (control) and </w:t>
      </w:r>
      <w:r w:rsidRPr="00C24E0A">
        <w:rPr>
          <w:rFonts w:ascii="Arial" w:hAnsi="Arial" w:cs="Arial"/>
          <w:noProof/>
        </w:rPr>
        <w:t xml:space="preserve">right </w:t>
      </w:r>
      <w:r w:rsidRPr="00C24E0A">
        <w:rPr>
          <w:rFonts w:ascii="Arial" w:eastAsiaTheme="minorHAnsi" w:hAnsi="Arial" w:cs="Arial"/>
          <w:noProof/>
          <w:lang w:val="en-US"/>
        </w:rPr>
        <w:t>loaded tibiae with 20 cycles of loading regimen of 19-week-old fed (n=7) or overnight fasted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_Toc383544614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71</w:t>
      </w:r>
      <w:r w:rsidRPr="00C24E0A">
        <w:rPr>
          <w:rFonts w:ascii="Arial" w:hAnsi="Arial" w:cs="Arial"/>
          <w:noProof/>
        </w:rPr>
        <w:fldChar w:fldCharType="end"/>
      </w:r>
    </w:p>
    <w:p w14:paraId="2C281603"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24</w:t>
      </w:r>
      <w:r w:rsidRPr="00C24E0A">
        <w:rPr>
          <w:rFonts w:ascii="Arial" w:hAnsi="Arial" w:cs="Arial"/>
          <w:noProof/>
        </w:rPr>
        <w:t xml:space="preserve"> Cortical bone mass and architecture measured at the mid-shaft region of the </w:t>
      </w:r>
      <w:r w:rsidRPr="00C24E0A">
        <w:rPr>
          <w:rFonts w:ascii="Arial" w:eastAsiaTheme="minorHAnsi" w:hAnsi="Arial" w:cs="Arial"/>
          <w:noProof/>
          <w:lang w:val="en-US"/>
        </w:rPr>
        <w:t xml:space="preserve">left non-loaded (control) and </w:t>
      </w:r>
      <w:r w:rsidRPr="00C24E0A">
        <w:rPr>
          <w:rFonts w:ascii="Arial" w:hAnsi="Arial" w:cs="Arial"/>
          <w:noProof/>
        </w:rPr>
        <w:t xml:space="preserve">right </w:t>
      </w:r>
      <w:r w:rsidRPr="00C24E0A">
        <w:rPr>
          <w:rFonts w:ascii="Arial" w:eastAsiaTheme="minorHAnsi" w:hAnsi="Arial" w:cs="Arial"/>
          <w:noProof/>
          <w:lang w:val="en-US"/>
        </w:rPr>
        <w:t>loaded tibiae with 40 cycles of loading regimen of 19-week-old fed (n=7) or overnight fasted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_Toc383544615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73</w:t>
      </w:r>
      <w:r w:rsidRPr="00C24E0A">
        <w:rPr>
          <w:rFonts w:ascii="Arial" w:hAnsi="Arial" w:cs="Arial"/>
          <w:noProof/>
        </w:rPr>
        <w:fldChar w:fldCharType="end"/>
      </w:r>
    </w:p>
    <w:p w14:paraId="18E133DB"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25</w:t>
      </w:r>
      <w:r w:rsidRPr="00C24E0A">
        <w:rPr>
          <w:rFonts w:ascii="Arial" w:hAnsi="Arial" w:cs="Arial"/>
          <w:noProof/>
        </w:rPr>
        <w:t xml:space="preserve"> Trabecular bone mass and architecture measured at the proximal region of the </w:t>
      </w:r>
      <w:r w:rsidRPr="00C24E0A">
        <w:rPr>
          <w:rFonts w:ascii="Arial" w:eastAsiaTheme="minorHAnsi" w:hAnsi="Arial" w:cs="Arial"/>
          <w:noProof/>
          <w:lang w:val="en-US"/>
        </w:rPr>
        <w:t xml:space="preserve">left non-loaded (control) and </w:t>
      </w:r>
      <w:r w:rsidRPr="00C24E0A">
        <w:rPr>
          <w:rFonts w:ascii="Arial" w:hAnsi="Arial" w:cs="Arial"/>
          <w:noProof/>
        </w:rPr>
        <w:t xml:space="preserve">right </w:t>
      </w:r>
      <w:r w:rsidRPr="00C24E0A">
        <w:rPr>
          <w:rFonts w:ascii="Arial" w:eastAsiaTheme="minorHAnsi" w:hAnsi="Arial" w:cs="Arial"/>
          <w:noProof/>
          <w:lang w:val="en-US"/>
        </w:rPr>
        <w:t>loaded tibiae with 40 cycles of loading regimen of 19-week-old fed (n=7) or overnight fasted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_Toc383544616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75</w:t>
      </w:r>
      <w:r w:rsidRPr="00C24E0A">
        <w:rPr>
          <w:rFonts w:ascii="Arial" w:hAnsi="Arial" w:cs="Arial"/>
          <w:noProof/>
        </w:rPr>
        <w:fldChar w:fldCharType="end"/>
      </w:r>
    </w:p>
    <w:p w14:paraId="128F05F8"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26</w:t>
      </w:r>
      <w:r w:rsidRPr="00C24E0A">
        <w:rPr>
          <w:rFonts w:ascii="Arial" w:hAnsi="Arial" w:cs="Arial"/>
          <w:noProof/>
        </w:rPr>
        <w:t xml:space="preserve"> Interactions between energy metabolism, adipose tissue and bone homeostasis revealed through the use of genetically modified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_Toc383544617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82</w:t>
      </w:r>
      <w:r w:rsidRPr="00C24E0A">
        <w:rPr>
          <w:rFonts w:ascii="Arial" w:hAnsi="Arial" w:cs="Arial"/>
          <w:noProof/>
        </w:rPr>
        <w:fldChar w:fldCharType="end"/>
      </w:r>
    </w:p>
    <w:p w14:paraId="13E4B16B"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27</w:t>
      </w:r>
      <w:r w:rsidRPr="00C24E0A">
        <w:rPr>
          <w:rFonts w:ascii="Arial" w:hAnsi="Arial" w:cs="Arial"/>
          <w:noProof/>
        </w:rPr>
        <w:t xml:space="preserve"> The whole bone response to mechanical loading</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_Toc383544618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88</w:t>
      </w:r>
      <w:r w:rsidRPr="00C24E0A">
        <w:rPr>
          <w:rFonts w:ascii="Arial" w:hAnsi="Arial" w:cs="Arial"/>
          <w:noProof/>
        </w:rPr>
        <w:fldChar w:fldCharType="end"/>
      </w:r>
    </w:p>
    <w:p w14:paraId="477723CC"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28</w:t>
      </w:r>
      <w:r w:rsidRPr="00C24E0A">
        <w:rPr>
          <w:rFonts w:ascii="Arial" w:hAnsi="Arial" w:cs="Arial"/>
          <w:noProof/>
        </w:rPr>
        <w:t xml:space="preserve"> Cortical bone respose to mechancal loading at the mid-shaft of the tibia</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_Toc383544619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90</w:t>
      </w:r>
      <w:r w:rsidRPr="00C24E0A">
        <w:rPr>
          <w:rFonts w:ascii="Arial" w:hAnsi="Arial" w:cs="Arial"/>
          <w:noProof/>
        </w:rPr>
        <w:fldChar w:fldCharType="end"/>
      </w:r>
    </w:p>
    <w:p w14:paraId="40A51F5A"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29</w:t>
      </w:r>
      <w:r w:rsidRPr="00C24E0A">
        <w:rPr>
          <w:rFonts w:ascii="Arial" w:hAnsi="Arial" w:cs="Arial"/>
          <w:noProof/>
        </w:rPr>
        <w:t xml:space="preserve"> Cortical bone response to mechanical loading</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_Toc383544620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92</w:t>
      </w:r>
      <w:r w:rsidRPr="00C24E0A">
        <w:rPr>
          <w:rFonts w:ascii="Arial" w:hAnsi="Arial" w:cs="Arial"/>
          <w:noProof/>
        </w:rPr>
        <w:fldChar w:fldCharType="end"/>
      </w:r>
    </w:p>
    <w:p w14:paraId="19B09C29"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30</w:t>
      </w:r>
      <w:r w:rsidRPr="00C24E0A">
        <w:rPr>
          <w:rFonts w:ascii="Arial" w:hAnsi="Arial" w:cs="Arial"/>
          <w:noProof/>
        </w:rPr>
        <w:t xml:space="preserve"> Cortical bone mass and architecture measured at the mid-shaft region of the left non-loaded (control) and right loaded tibiae with maximal loading regimen of 19-week-old fed (n=7) or overnight fasted 2-hour fed (n=6)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_Toc383544621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93</w:t>
      </w:r>
      <w:r w:rsidRPr="00C24E0A">
        <w:rPr>
          <w:rFonts w:ascii="Arial" w:hAnsi="Arial" w:cs="Arial"/>
          <w:noProof/>
        </w:rPr>
        <w:fldChar w:fldCharType="end"/>
      </w:r>
    </w:p>
    <w:p w14:paraId="276389EB"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31</w:t>
      </w:r>
      <w:r w:rsidRPr="00C24E0A">
        <w:rPr>
          <w:rFonts w:ascii="Arial" w:hAnsi="Arial" w:cs="Arial"/>
          <w:noProof/>
        </w:rPr>
        <w:t xml:space="preserve"> </w:t>
      </w:r>
      <w:r w:rsidRPr="00C24E0A">
        <w:rPr>
          <w:rFonts w:ascii="Arial" w:hAnsi="Arial" w:cs="Arial"/>
          <w:noProof/>
          <w:lang w:val="en-US"/>
        </w:rPr>
        <w:t xml:space="preserve">Transverse cortical bone confocal microscope images from the mid-shaft of left </w:t>
      </w:r>
      <w:r w:rsidR="00672CD7" w:rsidRPr="00C24E0A">
        <w:rPr>
          <w:rFonts w:ascii="Arial" w:hAnsi="Arial" w:cs="Arial"/>
          <w:noProof/>
          <w:lang w:val="en-US"/>
        </w:rPr>
        <w:t xml:space="preserve">non-loaded </w:t>
      </w:r>
      <w:r w:rsidR="00C24E0A">
        <w:rPr>
          <w:rFonts w:ascii="Arial" w:hAnsi="Arial" w:cs="Arial"/>
          <w:noProof/>
          <w:lang w:val="en-US"/>
        </w:rPr>
        <w:t>(</w:t>
      </w:r>
      <w:r w:rsidRPr="00C24E0A">
        <w:rPr>
          <w:rFonts w:ascii="Arial" w:hAnsi="Arial" w:cs="Arial"/>
          <w:noProof/>
          <w:lang w:val="en-US"/>
        </w:rPr>
        <w:t>control</w:t>
      </w:r>
      <w:r w:rsidR="00C24E0A">
        <w:rPr>
          <w:rFonts w:ascii="Arial" w:hAnsi="Arial" w:cs="Arial"/>
          <w:noProof/>
          <w:lang w:val="en-US"/>
        </w:rPr>
        <w:t>)</w:t>
      </w:r>
      <w:r w:rsidRPr="00C24E0A">
        <w:rPr>
          <w:rFonts w:ascii="Arial" w:hAnsi="Arial" w:cs="Arial"/>
          <w:noProof/>
          <w:lang w:val="en-US"/>
        </w:rPr>
        <w:t xml:space="preserve"> and right loaded tibiae of 19-week-old fed (top) or fed for 2 hours following overnight fasting (bottom) male mice showing green double calcein labels</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_Toc383544622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95</w:t>
      </w:r>
      <w:r w:rsidRPr="00C24E0A">
        <w:rPr>
          <w:rFonts w:ascii="Arial" w:hAnsi="Arial" w:cs="Arial"/>
          <w:noProof/>
        </w:rPr>
        <w:fldChar w:fldCharType="end"/>
      </w:r>
    </w:p>
    <w:p w14:paraId="30AEB89D"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 xml:space="preserve">Figure 32 </w:t>
      </w:r>
      <w:r w:rsidRPr="00C24E0A">
        <w:rPr>
          <w:rFonts w:ascii="Arial" w:hAnsi="Arial" w:cs="Arial"/>
          <w:noProof/>
        </w:rPr>
        <w:t xml:space="preserve">Change of loaded tibial bone formation parameters compared with the non-loaded </w:t>
      </w:r>
      <w:r w:rsidR="00672CD7" w:rsidRPr="00C24E0A">
        <w:rPr>
          <w:rFonts w:ascii="Arial" w:hAnsi="Arial" w:cs="Arial"/>
          <w:noProof/>
        </w:rPr>
        <w:t>(</w:t>
      </w:r>
      <w:r w:rsidRPr="00C24E0A">
        <w:rPr>
          <w:rFonts w:ascii="Arial" w:hAnsi="Arial" w:cs="Arial"/>
          <w:noProof/>
        </w:rPr>
        <w:t>control</w:t>
      </w:r>
      <w:r w:rsidR="00672CD7" w:rsidRPr="00C24E0A">
        <w:rPr>
          <w:rFonts w:ascii="Arial" w:hAnsi="Arial" w:cs="Arial"/>
          <w:noProof/>
        </w:rPr>
        <w:t>)</w:t>
      </w:r>
      <w:r w:rsidRPr="00C24E0A">
        <w:rPr>
          <w:rFonts w:ascii="Arial" w:hAnsi="Arial" w:cs="Arial"/>
          <w:noProof/>
        </w:rPr>
        <w:t xml:space="preserve"> tibiae of 19-week-old fed (n=6) or overnight fasted 2-hour fed (n=5)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_Toc383544623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97</w:t>
      </w:r>
      <w:r w:rsidRPr="00C24E0A">
        <w:rPr>
          <w:rFonts w:ascii="Arial" w:hAnsi="Arial" w:cs="Arial"/>
          <w:noProof/>
        </w:rPr>
        <w:fldChar w:fldCharType="end"/>
      </w:r>
    </w:p>
    <w:p w14:paraId="39ED3A60"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33</w:t>
      </w:r>
      <w:r w:rsidRPr="00C24E0A">
        <w:rPr>
          <w:rFonts w:ascii="Arial" w:hAnsi="Arial" w:cs="Arial"/>
          <w:noProof/>
        </w:rPr>
        <w:t xml:space="preserve"> Trabecular bone response to mechanical loading</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_Toc383544624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99</w:t>
      </w:r>
      <w:r w:rsidRPr="00C24E0A">
        <w:rPr>
          <w:rFonts w:ascii="Arial" w:hAnsi="Arial" w:cs="Arial"/>
          <w:noProof/>
        </w:rPr>
        <w:fldChar w:fldCharType="end"/>
      </w:r>
    </w:p>
    <w:p w14:paraId="5CE53875"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34</w:t>
      </w:r>
      <w:r w:rsidRPr="00C24E0A">
        <w:rPr>
          <w:rFonts w:ascii="Arial" w:hAnsi="Arial" w:cs="Arial"/>
          <w:noProof/>
        </w:rPr>
        <w:t xml:space="preserve"> Trabecular bone mass and architecture measured at the proximal region of the </w:t>
      </w:r>
      <w:r w:rsidRPr="00C24E0A">
        <w:rPr>
          <w:rFonts w:ascii="Arial" w:eastAsiaTheme="minorHAnsi" w:hAnsi="Arial" w:cs="Arial"/>
          <w:noProof/>
          <w:lang w:val="en-US"/>
        </w:rPr>
        <w:t xml:space="preserve">left non-loaded (control) and </w:t>
      </w:r>
      <w:r w:rsidRPr="00C24E0A">
        <w:rPr>
          <w:rFonts w:ascii="Arial" w:hAnsi="Arial" w:cs="Arial"/>
          <w:noProof/>
        </w:rPr>
        <w:t xml:space="preserve">right </w:t>
      </w:r>
      <w:r w:rsidRPr="00C24E0A">
        <w:rPr>
          <w:rFonts w:ascii="Arial" w:eastAsiaTheme="minorHAnsi" w:hAnsi="Arial" w:cs="Arial"/>
          <w:noProof/>
          <w:lang w:val="en-US"/>
        </w:rPr>
        <w:t>loaded tibiae with maximal loading regimen of 19-week-old fed (n=7) or overnight fasted 2-hour fed (n=6)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_Toc383544625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100</w:t>
      </w:r>
      <w:r w:rsidRPr="00C24E0A">
        <w:rPr>
          <w:rFonts w:ascii="Arial" w:hAnsi="Arial" w:cs="Arial"/>
          <w:noProof/>
        </w:rPr>
        <w:fldChar w:fldCharType="end"/>
      </w:r>
    </w:p>
    <w:p w14:paraId="60B3DA8F"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lastRenderedPageBreak/>
        <w:t>Figure 35</w:t>
      </w:r>
      <w:r w:rsidRPr="00C24E0A">
        <w:rPr>
          <w:rFonts w:ascii="Arial" w:hAnsi="Arial" w:cs="Arial"/>
          <w:noProof/>
        </w:rPr>
        <w:t xml:space="preserve"> Cortical bone mass and architecture measured at the mid-shaft region of the left non-loaded (control) and right loaded tibiae with maximal loading regimen of 19-week-old fed (n=7) or overnight fasted 1-hour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_Toc383544626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103</w:t>
      </w:r>
      <w:r w:rsidRPr="00C24E0A">
        <w:rPr>
          <w:rFonts w:ascii="Arial" w:hAnsi="Arial" w:cs="Arial"/>
          <w:noProof/>
        </w:rPr>
        <w:fldChar w:fldCharType="end"/>
      </w:r>
    </w:p>
    <w:p w14:paraId="6ED49C07"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36</w:t>
      </w:r>
      <w:r w:rsidRPr="00C24E0A">
        <w:rPr>
          <w:rFonts w:ascii="Arial" w:hAnsi="Arial" w:cs="Arial"/>
          <w:noProof/>
        </w:rPr>
        <w:t xml:space="preserve"> Trabecular bone mass and architecture measured at the proximal region of the </w:t>
      </w:r>
      <w:r w:rsidRPr="00C24E0A">
        <w:rPr>
          <w:rFonts w:ascii="Arial" w:eastAsiaTheme="minorHAnsi" w:hAnsi="Arial" w:cs="Arial"/>
          <w:noProof/>
          <w:lang w:val="en-US"/>
        </w:rPr>
        <w:t xml:space="preserve">left non-loaded (control) and </w:t>
      </w:r>
      <w:r w:rsidRPr="00C24E0A">
        <w:rPr>
          <w:rFonts w:ascii="Arial" w:hAnsi="Arial" w:cs="Arial"/>
          <w:noProof/>
        </w:rPr>
        <w:t xml:space="preserve">right </w:t>
      </w:r>
      <w:r w:rsidRPr="00C24E0A">
        <w:rPr>
          <w:rFonts w:ascii="Arial" w:eastAsiaTheme="minorHAnsi" w:hAnsi="Arial" w:cs="Arial"/>
          <w:noProof/>
          <w:lang w:val="en-US"/>
        </w:rPr>
        <w:t>loaded tibiae with maximal loading regimen of 19-week-old fed (n=7) or overnight fasted 1-hour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_Toc383544627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105</w:t>
      </w:r>
      <w:r w:rsidRPr="00C24E0A">
        <w:rPr>
          <w:rFonts w:ascii="Arial" w:hAnsi="Arial" w:cs="Arial"/>
          <w:noProof/>
        </w:rPr>
        <w:fldChar w:fldCharType="end"/>
      </w:r>
    </w:p>
    <w:p w14:paraId="6D72B0F3"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37</w:t>
      </w:r>
      <w:r w:rsidRPr="00C24E0A">
        <w:rPr>
          <w:rFonts w:ascii="Arial" w:hAnsi="Arial" w:cs="Arial"/>
          <w:noProof/>
        </w:rPr>
        <w:t xml:space="preserve"> Cortical bone mass and architecture measured at the mid-shaft region of the left non-loaded (control) and right loaded tibiae with maximal loading regimen of 19-week-old fed (n=6) or overnight fasted 3-hour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_Toc383544628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108</w:t>
      </w:r>
      <w:r w:rsidRPr="00C24E0A">
        <w:rPr>
          <w:rFonts w:ascii="Arial" w:hAnsi="Arial" w:cs="Arial"/>
          <w:noProof/>
        </w:rPr>
        <w:fldChar w:fldCharType="end"/>
      </w:r>
    </w:p>
    <w:p w14:paraId="63FB5695"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38</w:t>
      </w:r>
      <w:r w:rsidRPr="00C24E0A">
        <w:rPr>
          <w:rFonts w:ascii="Arial" w:hAnsi="Arial" w:cs="Arial"/>
          <w:noProof/>
        </w:rPr>
        <w:t xml:space="preserve"> Trabecular bone mass and architecture measured at the proximal region of the </w:t>
      </w:r>
      <w:r w:rsidRPr="00C24E0A">
        <w:rPr>
          <w:rFonts w:ascii="Arial" w:eastAsiaTheme="minorHAnsi" w:hAnsi="Arial" w:cs="Arial"/>
          <w:noProof/>
          <w:lang w:val="en-US"/>
        </w:rPr>
        <w:t xml:space="preserve">left non-loaded (control) and </w:t>
      </w:r>
      <w:r w:rsidRPr="00C24E0A">
        <w:rPr>
          <w:rFonts w:ascii="Arial" w:hAnsi="Arial" w:cs="Arial"/>
          <w:noProof/>
        </w:rPr>
        <w:t xml:space="preserve">right </w:t>
      </w:r>
      <w:r w:rsidRPr="00C24E0A">
        <w:rPr>
          <w:rFonts w:ascii="Arial" w:eastAsiaTheme="minorHAnsi" w:hAnsi="Arial" w:cs="Arial"/>
          <w:noProof/>
          <w:lang w:val="en-US"/>
        </w:rPr>
        <w:t>loaded tibiae with maximal loading regimen of 19-week-old fed (n=6) or overnight fasted 3-hour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_Toc383544629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110</w:t>
      </w:r>
      <w:r w:rsidRPr="00C24E0A">
        <w:rPr>
          <w:rFonts w:ascii="Arial" w:hAnsi="Arial" w:cs="Arial"/>
          <w:noProof/>
        </w:rPr>
        <w:fldChar w:fldCharType="end"/>
      </w:r>
    </w:p>
    <w:p w14:paraId="3C357928"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39</w:t>
      </w:r>
      <w:r w:rsidRPr="00C24E0A">
        <w:rPr>
          <w:rFonts w:ascii="Arial" w:hAnsi="Arial" w:cs="Arial"/>
          <w:noProof/>
        </w:rPr>
        <w:t xml:space="preserve"> Load-magnitude related increase in cortical bone formation along tibial diaphysis in female 12-week-old C57BL/J6 mice (n=4 at each load magnitude)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_Toc383544630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120</w:t>
      </w:r>
      <w:r w:rsidRPr="00C24E0A">
        <w:rPr>
          <w:rFonts w:ascii="Arial" w:hAnsi="Arial" w:cs="Arial"/>
          <w:noProof/>
        </w:rPr>
        <w:fldChar w:fldCharType="end"/>
      </w:r>
    </w:p>
    <w:p w14:paraId="6A75C401"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40</w:t>
      </w:r>
      <w:r w:rsidRPr="00C24E0A">
        <w:rPr>
          <w:rFonts w:ascii="Arial" w:hAnsi="Arial" w:cs="Arial"/>
          <w:noProof/>
        </w:rPr>
        <w:t xml:space="preserve"> The effect of sub-threshold mechanical loading with a peak force of 8N on cortical Ct.Ar (A), Tt.Ar (B), Ma.Ar (C) and Ct.Th (D) at the tibial mid-shaft </w:t>
      </w:r>
      <w:r w:rsidRPr="00C24E0A">
        <w:rPr>
          <w:rFonts w:ascii="Arial" w:eastAsiaTheme="minorHAnsi" w:hAnsi="Arial" w:cs="Arial"/>
          <w:noProof/>
          <w:lang w:val="en-US"/>
        </w:rPr>
        <w:t>of 19-week-old fed (n=7) or overnight fasted 2- hour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_Toc383544631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124</w:t>
      </w:r>
      <w:r w:rsidRPr="00C24E0A">
        <w:rPr>
          <w:rFonts w:ascii="Arial" w:hAnsi="Arial" w:cs="Arial"/>
          <w:noProof/>
        </w:rPr>
        <w:fldChar w:fldCharType="end"/>
      </w:r>
    </w:p>
    <w:p w14:paraId="42ED3759"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41</w:t>
      </w:r>
      <w:r w:rsidRPr="00C24E0A">
        <w:rPr>
          <w:rFonts w:ascii="Arial" w:hAnsi="Arial" w:cs="Arial"/>
          <w:noProof/>
        </w:rPr>
        <w:t xml:space="preserve"> The effect of sub-threshold mechanical loading with a peak force o</w:t>
      </w:r>
      <w:r w:rsidR="00C44811">
        <w:rPr>
          <w:rFonts w:ascii="Arial" w:hAnsi="Arial" w:cs="Arial"/>
          <w:noProof/>
        </w:rPr>
        <w:t>f 8N on trabecular BV/TV (A), Tb.N (B), Tb.Pf (C) and Tb</w:t>
      </w:r>
      <w:r w:rsidRPr="00C24E0A">
        <w:rPr>
          <w:rFonts w:ascii="Arial" w:hAnsi="Arial" w:cs="Arial"/>
          <w:noProof/>
        </w:rPr>
        <w:t xml:space="preserve">.Th (D) in the proximal tibia </w:t>
      </w:r>
      <w:r w:rsidRPr="00C24E0A">
        <w:rPr>
          <w:rFonts w:ascii="Arial" w:eastAsiaTheme="minorHAnsi" w:hAnsi="Arial" w:cs="Arial"/>
          <w:noProof/>
          <w:lang w:val="en-US"/>
        </w:rPr>
        <w:t>of 19-week-old fed (n=7) or overnight fasted 2-hour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_Toc383544632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126</w:t>
      </w:r>
      <w:r w:rsidRPr="00C24E0A">
        <w:rPr>
          <w:rFonts w:ascii="Arial" w:hAnsi="Arial" w:cs="Arial"/>
          <w:noProof/>
        </w:rPr>
        <w:fldChar w:fldCharType="end"/>
      </w:r>
    </w:p>
    <w:p w14:paraId="21713B22"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42</w:t>
      </w:r>
      <w:r w:rsidRPr="00C24E0A">
        <w:rPr>
          <w:rFonts w:ascii="Arial" w:hAnsi="Arial" w:cs="Arial"/>
          <w:noProof/>
        </w:rPr>
        <w:t xml:space="preserve"> The effect of submaximal mechanical loading with a peak force of 11N on cortical Ct.Ar (A), Tt.Ar (B), Ma.Ar (C) and Ct.Th (D) at the tibial mid-shaft </w:t>
      </w:r>
      <w:r w:rsidRPr="00C24E0A">
        <w:rPr>
          <w:rFonts w:ascii="Arial" w:eastAsiaTheme="minorHAnsi" w:hAnsi="Arial" w:cs="Arial"/>
          <w:noProof/>
          <w:lang w:val="en-US"/>
        </w:rPr>
        <w:t>of 19-week-old fed (n=6) or overnight fasted 2-hour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_Toc383544633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128</w:t>
      </w:r>
      <w:r w:rsidRPr="00C24E0A">
        <w:rPr>
          <w:rFonts w:ascii="Arial" w:hAnsi="Arial" w:cs="Arial"/>
          <w:noProof/>
        </w:rPr>
        <w:fldChar w:fldCharType="end"/>
      </w:r>
    </w:p>
    <w:p w14:paraId="0FF64D1D"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43</w:t>
      </w:r>
      <w:r w:rsidRPr="00C24E0A">
        <w:rPr>
          <w:rFonts w:ascii="Arial" w:hAnsi="Arial" w:cs="Arial"/>
          <w:noProof/>
        </w:rPr>
        <w:t xml:space="preserve"> The effect of submaximal mechanical loading with a peak force of</w:t>
      </w:r>
      <w:r w:rsidR="00C44811">
        <w:rPr>
          <w:rFonts w:ascii="Arial" w:hAnsi="Arial" w:cs="Arial"/>
          <w:noProof/>
        </w:rPr>
        <w:t xml:space="preserve"> 11N on trabecular BV/TV (A), Tb.N (B), Tb.Pf (C) and Tb</w:t>
      </w:r>
      <w:r w:rsidRPr="00C24E0A">
        <w:rPr>
          <w:rFonts w:ascii="Arial" w:hAnsi="Arial" w:cs="Arial"/>
          <w:noProof/>
        </w:rPr>
        <w:t xml:space="preserve">.Th (D) in the proximal tibia </w:t>
      </w:r>
      <w:r w:rsidRPr="00C24E0A">
        <w:rPr>
          <w:rFonts w:ascii="Arial" w:eastAsiaTheme="minorHAnsi" w:hAnsi="Arial" w:cs="Arial"/>
          <w:noProof/>
          <w:lang w:val="en-US"/>
        </w:rPr>
        <w:t>of 19-week-old fed (n=6) or overnight fasted 2-hour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_Toc383544634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130</w:t>
      </w:r>
      <w:r w:rsidRPr="00C24E0A">
        <w:rPr>
          <w:rFonts w:ascii="Arial" w:hAnsi="Arial" w:cs="Arial"/>
          <w:noProof/>
        </w:rPr>
        <w:fldChar w:fldCharType="end"/>
      </w:r>
    </w:p>
    <w:p w14:paraId="76F90921"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44</w:t>
      </w:r>
      <w:r w:rsidR="00764827" w:rsidRPr="00C24E0A">
        <w:rPr>
          <w:rFonts w:ascii="Arial" w:hAnsi="Arial" w:cs="Arial"/>
          <w:noProof/>
        </w:rPr>
        <w:t xml:space="preserve"> Body weights </w:t>
      </w:r>
      <w:r w:rsidRPr="00C24E0A">
        <w:rPr>
          <w:rFonts w:ascii="Arial" w:hAnsi="Arial" w:cs="Arial"/>
          <w:noProof/>
        </w:rPr>
        <w:t>of fed or overnight fasted fed aged male C57BL/6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_Toc383544635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141</w:t>
      </w:r>
      <w:r w:rsidRPr="00C24E0A">
        <w:rPr>
          <w:rFonts w:ascii="Arial" w:hAnsi="Arial" w:cs="Arial"/>
          <w:noProof/>
        </w:rPr>
        <w:fldChar w:fldCharType="end"/>
      </w:r>
    </w:p>
    <w:p w14:paraId="4AE02EA6"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45</w:t>
      </w:r>
      <w:r w:rsidRPr="00C24E0A">
        <w:rPr>
          <w:rFonts w:ascii="Arial" w:hAnsi="Arial" w:cs="Arial"/>
          <w:noProof/>
        </w:rPr>
        <w:t xml:space="preserve"> Tibial length</w:t>
      </w:r>
      <w:r w:rsidR="00F545A3">
        <w:rPr>
          <w:rFonts w:ascii="Arial" w:hAnsi="Arial" w:cs="Arial"/>
          <w:noProof/>
        </w:rPr>
        <w:t>s</w:t>
      </w:r>
      <w:r w:rsidRPr="00C24E0A">
        <w:rPr>
          <w:rFonts w:ascii="Arial" w:hAnsi="Arial" w:cs="Arial"/>
          <w:noProof/>
        </w:rPr>
        <w:t xml:space="preserve"> of ad-lib fed or ov</w:t>
      </w:r>
      <w:r w:rsidR="00C44811">
        <w:rPr>
          <w:rFonts w:ascii="Arial" w:hAnsi="Arial" w:cs="Arial"/>
          <w:noProof/>
        </w:rPr>
        <w:t>ernight fasted fed aged male C57</w:t>
      </w:r>
      <w:r w:rsidRPr="00C24E0A">
        <w:rPr>
          <w:rFonts w:ascii="Arial" w:hAnsi="Arial" w:cs="Arial"/>
          <w:noProof/>
        </w:rPr>
        <w:t>BL/6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_Toc383544636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143</w:t>
      </w:r>
      <w:r w:rsidRPr="00C24E0A">
        <w:rPr>
          <w:rFonts w:ascii="Arial" w:hAnsi="Arial" w:cs="Arial"/>
          <w:noProof/>
        </w:rPr>
        <w:fldChar w:fldCharType="end"/>
      </w:r>
    </w:p>
    <w:p w14:paraId="156A734B"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46</w:t>
      </w:r>
      <w:r w:rsidRPr="00C24E0A">
        <w:rPr>
          <w:rFonts w:ascii="Arial" w:hAnsi="Arial" w:cs="Arial"/>
          <w:noProof/>
        </w:rPr>
        <w:t xml:space="preserve"> Cortical bone response to mechanical loading in aged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_Toc383544637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144</w:t>
      </w:r>
      <w:r w:rsidRPr="00C24E0A">
        <w:rPr>
          <w:rFonts w:ascii="Arial" w:hAnsi="Arial" w:cs="Arial"/>
          <w:noProof/>
        </w:rPr>
        <w:fldChar w:fldCharType="end"/>
      </w:r>
    </w:p>
    <w:p w14:paraId="2FD5C7AF"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47</w:t>
      </w:r>
      <w:r w:rsidRPr="00C24E0A">
        <w:rPr>
          <w:rFonts w:ascii="Arial" w:hAnsi="Arial" w:cs="Arial"/>
          <w:noProof/>
        </w:rPr>
        <w:t xml:space="preserve"> Cortical bone mass and architecture  measured at the mid-shaft region of the left non-loaded (control) and right loaded tibiae with maximal loading regimen of </w:t>
      </w:r>
      <w:r w:rsidRPr="00C24E0A">
        <w:rPr>
          <w:rFonts w:ascii="Arial" w:eastAsiaTheme="minorHAnsi" w:hAnsi="Arial" w:cs="Arial"/>
          <w:noProof/>
          <w:lang w:val="en-US"/>
        </w:rPr>
        <w:t>20-month-old fed (n=8) or overnight fasted 2-hour fed (n=8)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_Toc383544638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146</w:t>
      </w:r>
      <w:r w:rsidRPr="00C24E0A">
        <w:rPr>
          <w:rFonts w:ascii="Arial" w:hAnsi="Arial" w:cs="Arial"/>
          <w:noProof/>
        </w:rPr>
        <w:fldChar w:fldCharType="end"/>
      </w:r>
    </w:p>
    <w:p w14:paraId="375A4A55"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48</w:t>
      </w:r>
      <w:r w:rsidRPr="00C24E0A">
        <w:rPr>
          <w:rFonts w:ascii="Arial" w:hAnsi="Arial" w:cs="Arial"/>
          <w:noProof/>
        </w:rPr>
        <w:t xml:space="preserve"> Trabecular bone response to mechanical loading in aged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_Toc383544639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147</w:t>
      </w:r>
      <w:r w:rsidRPr="00C24E0A">
        <w:rPr>
          <w:rFonts w:ascii="Arial" w:hAnsi="Arial" w:cs="Arial"/>
          <w:noProof/>
        </w:rPr>
        <w:fldChar w:fldCharType="end"/>
      </w:r>
    </w:p>
    <w:p w14:paraId="1DE27CD7"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lastRenderedPageBreak/>
        <w:t>Figure 49</w:t>
      </w:r>
      <w:r w:rsidRPr="00C24E0A">
        <w:rPr>
          <w:rFonts w:ascii="Arial" w:hAnsi="Arial" w:cs="Arial"/>
          <w:noProof/>
        </w:rPr>
        <w:t xml:space="preserve"> Trabecular bone mass and architecture measured at the proximal region of the </w:t>
      </w:r>
      <w:r w:rsidRPr="00C24E0A">
        <w:rPr>
          <w:rFonts w:ascii="Arial" w:eastAsiaTheme="minorHAnsi" w:hAnsi="Arial" w:cs="Arial"/>
          <w:noProof/>
          <w:lang w:val="en-US"/>
        </w:rPr>
        <w:t xml:space="preserve">left non-loaded (control) and </w:t>
      </w:r>
      <w:r w:rsidRPr="00C24E0A">
        <w:rPr>
          <w:rFonts w:ascii="Arial" w:hAnsi="Arial" w:cs="Arial"/>
          <w:noProof/>
        </w:rPr>
        <w:t xml:space="preserve">right </w:t>
      </w:r>
      <w:r w:rsidRPr="00C24E0A">
        <w:rPr>
          <w:rFonts w:ascii="Arial" w:eastAsiaTheme="minorHAnsi" w:hAnsi="Arial" w:cs="Arial"/>
          <w:noProof/>
          <w:lang w:val="en-US"/>
        </w:rPr>
        <w:t>loaded tibiae with maximal loading regimen of 20-month-old fed (n=8) or overnight fasted 2-hour fed (n=8)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_Toc383544640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150</w:t>
      </w:r>
      <w:r w:rsidRPr="00C24E0A">
        <w:rPr>
          <w:rFonts w:ascii="Arial" w:hAnsi="Arial" w:cs="Arial"/>
          <w:noProof/>
        </w:rPr>
        <w:fldChar w:fldCharType="end"/>
      </w:r>
    </w:p>
    <w:p w14:paraId="14DC1568"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50</w:t>
      </w:r>
      <w:r w:rsidRPr="00C24E0A">
        <w:rPr>
          <w:rFonts w:ascii="Arial" w:hAnsi="Arial" w:cs="Arial"/>
          <w:noProof/>
        </w:rPr>
        <w:t xml:space="preserve"> Changes in</w:t>
      </w:r>
      <w:r w:rsidRPr="00C24E0A">
        <w:rPr>
          <w:rFonts w:ascii="Arial" w:hAnsi="Arial" w:cs="Arial"/>
          <w:i/>
          <w:noProof/>
        </w:rPr>
        <w:t xml:space="preserve"> </w:t>
      </w:r>
      <w:r w:rsidRPr="00C24E0A">
        <w:rPr>
          <w:rFonts w:ascii="Arial" w:hAnsi="Arial" w:cs="Arial"/>
          <w:noProof/>
        </w:rPr>
        <w:t>ghrelin serum concentrations in</w:t>
      </w:r>
      <w:r w:rsidRPr="00C24E0A">
        <w:rPr>
          <w:rFonts w:ascii="Arial" w:hAnsi="Arial" w:cs="Arial"/>
          <w:i/>
          <w:noProof/>
        </w:rPr>
        <w:t xml:space="preserve"> </w:t>
      </w:r>
      <w:r w:rsidRPr="00C24E0A">
        <w:rPr>
          <w:rFonts w:ascii="Arial" w:hAnsi="Arial" w:cs="Arial"/>
          <w:noProof/>
        </w:rPr>
        <w:t>young</w:t>
      </w:r>
      <w:r w:rsidRPr="00C24E0A">
        <w:rPr>
          <w:rFonts w:ascii="Arial" w:hAnsi="Arial" w:cs="Arial"/>
          <w:i/>
          <w:noProof/>
        </w:rPr>
        <w:t xml:space="preserve"> </w:t>
      </w:r>
      <w:r w:rsidRPr="00C24E0A">
        <w:rPr>
          <w:rFonts w:ascii="Arial" w:eastAsiaTheme="minorHAnsi" w:hAnsi="Arial" w:cs="Arial"/>
          <w:noProof/>
          <w:lang w:val="en-US"/>
        </w:rPr>
        <w:t>17-week-old fed (n=6) or overnight fasted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_Toc383544641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166</w:t>
      </w:r>
      <w:r w:rsidRPr="00C24E0A">
        <w:rPr>
          <w:rFonts w:ascii="Arial" w:hAnsi="Arial" w:cs="Arial"/>
          <w:noProof/>
        </w:rPr>
        <w:fldChar w:fldCharType="end"/>
      </w:r>
    </w:p>
    <w:p w14:paraId="5A2DED54"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51</w:t>
      </w:r>
      <w:r w:rsidRPr="00C24E0A">
        <w:rPr>
          <w:rFonts w:ascii="Arial" w:eastAsiaTheme="minorHAnsi" w:hAnsi="Arial" w:cs="Arial"/>
          <w:noProof/>
          <w:lang w:val="en-US"/>
        </w:rPr>
        <w:t xml:space="preserve"> </w:t>
      </w:r>
      <w:r w:rsidRPr="00C24E0A">
        <w:rPr>
          <w:rFonts w:ascii="Arial" w:hAnsi="Arial" w:cs="Arial"/>
          <w:noProof/>
        </w:rPr>
        <w:t>Changes in</w:t>
      </w:r>
      <w:r w:rsidRPr="00C24E0A">
        <w:rPr>
          <w:rFonts w:ascii="Arial" w:hAnsi="Arial" w:cs="Arial"/>
          <w:i/>
          <w:noProof/>
        </w:rPr>
        <w:t xml:space="preserve"> </w:t>
      </w:r>
      <w:r w:rsidRPr="00C24E0A">
        <w:rPr>
          <w:rFonts w:ascii="Arial" w:hAnsi="Arial" w:cs="Arial"/>
          <w:noProof/>
        </w:rPr>
        <w:t xml:space="preserve">leptin serum concentrations in young </w:t>
      </w:r>
      <w:r w:rsidRPr="00C24E0A">
        <w:rPr>
          <w:rFonts w:ascii="Arial" w:eastAsiaTheme="minorHAnsi" w:hAnsi="Arial" w:cs="Arial"/>
          <w:noProof/>
          <w:lang w:val="en-US"/>
        </w:rPr>
        <w:t>17-week-old fed (n=6) or overnight fasted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_Toc383544642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166</w:t>
      </w:r>
      <w:r w:rsidRPr="00C24E0A">
        <w:rPr>
          <w:rFonts w:ascii="Arial" w:hAnsi="Arial" w:cs="Arial"/>
          <w:noProof/>
        </w:rPr>
        <w:fldChar w:fldCharType="end"/>
      </w:r>
    </w:p>
    <w:p w14:paraId="2EF69259"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52</w:t>
      </w:r>
      <w:r w:rsidRPr="00C24E0A">
        <w:rPr>
          <w:rFonts w:ascii="Arial" w:hAnsi="Arial" w:cs="Arial"/>
          <w:noProof/>
        </w:rPr>
        <w:t xml:space="preserve"> Changes in insulin serum concentrations in</w:t>
      </w:r>
      <w:r w:rsidRPr="00C24E0A">
        <w:rPr>
          <w:rFonts w:ascii="Arial" w:hAnsi="Arial" w:cs="Arial"/>
          <w:i/>
          <w:noProof/>
        </w:rPr>
        <w:t xml:space="preserve"> </w:t>
      </w:r>
      <w:r w:rsidRPr="00C24E0A">
        <w:rPr>
          <w:rFonts w:ascii="Arial" w:hAnsi="Arial" w:cs="Arial"/>
          <w:noProof/>
        </w:rPr>
        <w:t>young</w:t>
      </w:r>
      <w:r w:rsidRPr="00C24E0A">
        <w:rPr>
          <w:rFonts w:ascii="Arial" w:hAnsi="Arial" w:cs="Arial"/>
          <w:i/>
          <w:noProof/>
        </w:rPr>
        <w:t xml:space="preserve"> </w:t>
      </w:r>
      <w:r w:rsidRPr="00C24E0A">
        <w:rPr>
          <w:rFonts w:ascii="Arial" w:eastAsiaTheme="minorHAnsi" w:hAnsi="Arial" w:cs="Arial"/>
          <w:noProof/>
          <w:lang w:val="en-US"/>
        </w:rPr>
        <w:t>17-week-old fed (n=6) or overnight fasted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_Toc383544643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167</w:t>
      </w:r>
      <w:r w:rsidRPr="00C24E0A">
        <w:rPr>
          <w:rFonts w:ascii="Arial" w:hAnsi="Arial" w:cs="Arial"/>
          <w:noProof/>
        </w:rPr>
        <w:fldChar w:fldCharType="end"/>
      </w:r>
    </w:p>
    <w:p w14:paraId="44592A36"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53</w:t>
      </w:r>
      <w:r w:rsidRPr="00C24E0A">
        <w:rPr>
          <w:rFonts w:ascii="Arial" w:hAnsi="Arial" w:cs="Arial"/>
          <w:noProof/>
        </w:rPr>
        <w:t xml:space="preserve"> Changes in</w:t>
      </w:r>
      <w:r w:rsidRPr="00C24E0A">
        <w:rPr>
          <w:rFonts w:ascii="Arial" w:hAnsi="Arial" w:cs="Arial"/>
          <w:i/>
          <w:noProof/>
        </w:rPr>
        <w:t xml:space="preserve"> </w:t>
      </w:r>
      <w:r w:rsidRPr="00C24E0A">
        <w:rPr>
          <w:rFonts w:ascii="Arial" w:hAnsi="Arial" w:cs="Arial"/>
          <w:noProof/>
        </w:rPr>
        <w:t>GIP serum concentrations in</w:t>
      </w:r>
      <w:r w:rsidRPr="00C24E0A">
        <w:rPr>
          <w:rFonts w:ascii="Arial" w:hAnsi="Arial" w:cs="Arial"/>
          <w:i/>
          <w:noProof/>
        </w:rPr>
        <w:t xml:space="preserve"> </w:t>
      </w:r>
      <w:r w:rsidRPr="00C24E0A">
        <w:rPr>
          <w:rFonts w:ascii="Arial" w:hAnsi="Arial" w:cs="Arial"/>
          <w:noProof/>
        </w:rPr>
        <w:t>young</w:t>
      </w:r>
      <w:r w:rsidRPr="00C24E0A">
        <w:rPr>
          <w:rFonts w:ascii="Arial" w:hAnsi="Arial" w:cs="Arial"/>
          <w:i/>
          <w:noProof/>
        </w:rPr>
        <w:t xml:space="preserve"> </w:t>
      </w:r>
      <w:r w:rsidRPr="00C24E0A">
        <w:rPr>
          <w:rFonts w:ascii="Arial" w:eastAsiaTheme="minorHAnsi" w:hAnsi="Arial" w:cs="Arial"/>
          <w:noProof/>
          <w:lang w:val="en-US"/>
        </w:rPr>
        <w:t>17-week-old fed (n=6) or overnight fasted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_Toc383544644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167</w:t>
      </w:r>
      <w:r w:rsidRPr="00C24E0A">
        <w:rPr>
          <w:rFonts w:ascii="Arial" w:hAnsi="Arial" w:cs="Arial"/>
          <w:noProof/>
        </w:rPr>
        <w:fldChar w:fldCharType="end"/>
      </w:r>
    </w:p>
    <w:p w14:paraId="2BB53734"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54</w:t>
      </w:r>
      <w:r w:rsidRPr="00C24E0A">
        <w:rPr>
          <w:rFonts w:ascii="Arial" w:hAnsi="Arial" w:cs="Arial"/>
          <w:noProof/>
        </w:rPr>
        <w:t xml:space="preserve"> Changes in</w:t>
      </w:r>
      <w:r w:rsidRPr="00C24E0A">
        <w:rPr>
          <w:rFonts w:ascii="Arial" w:hAnsi="Arial" w:cs="Arial"/>
          <w:i/>
          <w:noProof/>
        </w:rPr>
        <w:t xml:space="preserve"> </w:t>
      </w:r>
      <w:r w:rsidRPr="00C24E0A">
        <w:rPr>
          <w:rFonts w:ascii="Arial" w:hAnsi="Arial" w:cs="Arial"/>
          <w:noProof/>
        </w:rPr>
        <w:t>GLP1 serum concentrations in</w:t>
      </w:r>
      <w:r w:rsidRPr="00C24E0A">
        <w:rPr>
          <w:rFonts w:ascii="Arial" w:hAnsi="Arial" w:cs="Arial"/>
          <w:i/>
          <w:noProof/>
        </w:rPr>
        <w:t xml:space="preserve"> </w:t>
      </w:r>
      <w:r w:rsidRPr="00C24E0A">
        <w:rPr>
          <w:rFonts w:ascii="Arial" w:hAnsi="Arial" w:cs="Arial"/>
          <w:noProof/>
        </w:rPr>
        <w:t>young</w:t>
      </w:r>
      <w:r w:rsidRPr="00C24E0A">
        <w:rPr>
          <w:rFonts w:ascii="Arial" w:hAnsi="Arial" w:cs="Arial"/>
          <w:i/>
          <w:noProof/>
        </w:rPr>
        <w:t xml:space="preserve"> </w:t>
      </w:r>
      <w:r w:rsidRPr="00C24E0A">
        <w:rPr>
          <w:rFonts w:ascii="Arial" w:eastAsiaTheme="minorHAnsi" w:hAnsi="Arial" w:cs="Arial"/>
          <w:noProof/>
          <w:lang w:val="en-US"/>
        </w:rPr>
        <w:t>17-week-old fed (n=6) or overnight fasted fed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_Toc383544645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168</w:t>
      </w:r>
      <w:r w:rsidRPr="00C24E0A">
        <w:rPr>
          <w:rFonts w:ascii="Arial" w:hAnsi="Arial" w:cs="Arial"/>
          <w:noProof/>
        </w:rPr>
        <w:fldChar w:fldCharType="end"/>
      </w:r>
    </w:p>
    <w:p w14:paraId="62139AB5"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55</w:t>
      </w:r>
      <w:r w:rsidRPr="00C24E0A">
        <w:rPr>
          <w:rFonts w:ascii="Arial" w:hAnsi="Arial" w:cs="Arial"/>
          <w:noProof/>
        </w:rPr>
        <w:t xml:space="preserve"> Changes in</w:t>
      </w:r>
      <w:r w:rsidRPr="00C24E0A">
        <w:rPr>
          <w:rFonts w:ascii="Arial" w:hAnsi="Arial" w:cs="Arial"/>
          <w:i/>
          <w:noProof/>
        </w:rPr>
        <w:t xml:space="preserve"> </w:t>
      </w:r>
      <w:r w:rsidRPr="00C24E0A">
        <w:rPr>
          <w:rFonts w:ascii="Arial" w:hAnsi="Arial" w:cs="Arial"/>
          <w:noProof/>
        </w:rPr>
        <w:t>ghrelin serum concentrations in</w:t>
      </w:r>
      <w:r w:rsidRPr="00C24E0A">
        <w:rPr>
          <w:rFonts w:ascii="Arial" w:hAnsi="Arial" w:cs="Arial"/>
          <w:i/>
          <w:noProof/>
        </w:rPr>
        <w:t xml:space="preserve"> </w:t>
      </w:r>
      <w:r w:rsidRPr="00C24E0A">
        <w:rPr>
          <w:rFonts w:ascii="Arial" w:hAnsi="Arial" w:cs="Arial"/>
          <w:noProof/>
        </w:rPr>
        <w:t>aged</w:t>
      </w:r>
      <w:r w:rsidRPr="00C24E0A">
        <w:rPr>
          <w:rFonts w:ascii="Arial" w:hAnsi="Arial" w:cs="Arial"/>
          <w:i/>
          <w:noProof/>
        </w:rPr>
        <w:t xml:space="preserve"> </w:t>
      </w:r>
      <w:r w:rsidRPr="00C24E0A">
        <w:rPr>
          <w:rFonts w:ascii="Arial" w:eastAsiaTheme="minorHAnsi" w:hAnsi="Arial" w:cs="Arial"/>
          <w:noProof/>
          <w:lang w:val="en-US"/>
        </w:rPr>
        <w:t>20-month-old fed (n=6)</w:t>
      </w:r>
      <w:r w:rsidR="00070F82">
        <w:rPr>
          <w:rFonts w:ascii="Arial" w:eastAsiaTheme="minorHAnsi" w:hAnsi="Arial" w:cs="Arial"/>
          <w:noProof/>
          <w:lang w:val="en-US"/>
        </w:rPr>
        <w:t xml:space="preserve"> or overnight fasted fed</w:t>
      </w:r>
      <w:r w:rsidRPr="00C24E0A">
        <w:rPr>
          <w:rFonts w:ascii="Arial" w:eastAsiaTheme="minorHAnsi" w:hAnsi="Arial" w:cs="Arial"/>
          <w:noProof/>
          <w:lang w:val="en-US"/>
        </w:rPr>
        <w:t xml:space="preserve">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_Toc383544646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171</w:t>
      </w:r>
      <w:r w:rsidRPr="00C24E0A">
        <w:rPr>
          <w:rFonts w:ascii="Arial" w:hAnsi="Arial" w:cs="Arial"/>
          <w:noProof/>
        </w:rPr>
        <w:fldChar w:fldCharType="end"/>
      </w:r>
    </w:p>
    <w:p w14:paraId="25230346"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 xml:space="preserve">Figure 56 </w:t>
      </w:r>
      <w:r w:rsidRPr="00C24E0A">
        <w:rPr>
          <w:rFonts w:ascii="Arial" w:hAnsi="Arial" w:cs="Arial"/>
          <w:noProof/>
        </w:rPr>
        <w:t>Changes leptin serum concentrations in</w:t>
      </w:r>
      <w:r w:rsidRPr="00C24E0A">
        <w:rPr>
          <w:rFonts w:ascii="Arial" w:hAnsi="Arial" w:cs="Arial"/>
          <w:i/>
          <w:noProof/>
        </w:rPr>
        <w:t xml:space="preserve"> </w:t>
      </w:r>
      <w:r w:rsidRPr="00C24E0A">
        <w:rPr>
          <w:rFonts w:ascii="Arial" w:hAnsi="Arial" w:cs="Arial"/>
          <w:noProof/>
        </w:rPr>
        <w:t>aged</w:t>
      </w:r>
      <w:r w:rsidRPr="00C24E0A">
        <w:rPr>
          <w:rFonts w:ascii="Arial" w:hAnsi="Arial" w:cs="Arial"/>
          <w:i/>
          <w:noProof/>
        </w:rPr>
        <w:t xml:space="preserve"> </w:t>
      </w:r>
      <w:r w:rsidRPr="00C24E0A">
        <w:rPr>
          <w:rFonts w:ascii="Arial" w:eastAsiaTheme="minorHAnsi" w:hAnsi="Arial" w:cs="Arial"/>
          <w:noProof/>
          <w:lang w:val="en-US"/>
        </w:rPr>
        <w:t>20-month-old fed (n=6)</w:t>
      </w:r>
      <w:r w:rsidR="00070F82">
        <w:rPr>
          <w:rFonts w:ascii="Arial" w:eastAsiaTheme="minorHAnsi" w:hAnsi="Arial" w:cs="Arial"/>
          <w:noProof/>
          <w:lang w:val="en-US"/>
        </w:rPr>
        <w:t xml:space="preserve"> or overnight fasted fed</w:t>
      </w:r>
      <w:r w:rsidRPr="00C24E0A">
        <w:rPr>
          <w:rFonts w:ascii="Arial" w:eastAsiaTheme="minorHAnsi" w:hAnsi="Arial" w:cs="Arial"/>
          <w:noProof/>
          <w:lang w:val="en-US"/>
        </w:rPr>
        <w:t xml:space="preserve"> (n=7)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_Toc383544647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171</w:t>
      </w:r>
      <w:r w:rsidRPr="00C24E0A">
        <w:rPr>
          <w:rFonts w:ascii="Arial" w:hAnsi="Arial" w:cs="Arial"/>
          <w:noProof/>
        </w:rPr>
        <w:fldChar w:fldCharType="end"/>
      </w:r>
    </w:p>
    <w:p w14:paraId="4B414F06"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 xml:space="preserve">Figure 57 </w:t>
      </w:r>
      <w:r w:rsidRPr="00C24E0A">
        <w:rPr>
          <w:rFonts w:ascii="Arial" w:hAnsi="Arial" w:cs="Arial"/>
          <w:noProof/>
        </w:rPr>
        <w:t>Changes in</w:t>
      </w:r>
      <w:r w:rsidRPr="00C24E0A">
        <w:rPr>
          <w:rFonts w:ascii="Arial" w:hAnsi="Arial" w:cs="Arial"/>
          <w:i/>
          <w:noProof/>
        </w:rPr>
        <w:t xml:space="preserve"> </w:t>
      </w:r>
      <w:r w:rsidRPr="00C24E0A">
        <w:rPr>
          <w:rFonts w:ascii="Arial" w:hAnsi="Arial" w:cs="Arial"/>
          <w:noProof/>
        </w:rPr>
        <w:t>insulin serum concentrations in</w:t>
      </w:r>
      <w:r w:rsidRPr="00C24E0A">
        <w:rPr>
          <w:rFonts w:ascii="Arial" w:hAnsi="Arial" w:cs="Arial"/>
          <w:i/>
          <w:noProof/>
        </w:rPr>
        <w:t xml:space="preserve"> </w:t>
      </w:r>
      <w:r w:rsidRPr="00C24E0A">
        <w:rPr>
          <w:rFonts w:ascii="Arial" w:hAnsi="Arial" w:cs="Arial"/>
          <w:noProof/>
        </w:rPr>
        <w:t>aged</w:t>
      </w:r>
      <w:r w:rsidRPr="00C24E0A">
        <w:rPr>
          <w:rFonts w:ascii="Arial" w:hAnsi="Arial" w:cs="Arial"/>
          <w:i/>
          <w:noProof/>
        </w:rPr>
        <w:t xml:space="preserve"> </w:t>
      </w:r>
      <w:r w:rsidRPr="00C24E0A">
        <w:rPr>
          <w:rFonts w:ascii="Arial" w:eastAsiaTheme="minorHAnsi" w:hAnsi="Arial" w:cs="Arial"/>
          <w:noProof/>
          <w:lang w:val="en-US"/>
        </w:rPr>
        <w:t xml:space="preserve">20-month-old fed (n=6) </w:t>
      </w:r>
      <w:r w:rsidR="00070F82">
        <w:rPr>
          <w:rFonts w:ascii="Arial" w:eastAsiaTheme="minorHAnsi" w:hAnsi="Arial" w:cs="Arial"/>
          <w:noProof/>
          <w:lang w:val="en-US"/>
        </w:rPr>
        <w:t xml:space="preserve">or overnight fasted fed </w:t>
      </w:r>
      <w:r w:rsidRPr="00C24E0A">
        <w:rPr>
          <w:rFonts w:ascii="Arial" w:eastAsiaTheme="minorHAnsi" w:hAnsi="Arial" w:cs="Arial"/>
          <w:noProof/>
          <w:lang w:val="en-US"/>
        </w:rPr>
        <w:t>(n=7)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_Toc383544648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172</w:t>
      </w:r>
      <w:r w:rsidRPr="00C24E0A">
        <w:rPr>
          <w:rFonts w:ascii="Arial" w:hAnsi="Arial" w:cs="Arial"/>
          <w:noProof/>
        </w:rPr>
        <w:fldChar w:fldCharType="end"/>
      </w:r>
    </w:p>
    <w:p w14:paraId="238174AB"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58</w:t>
      </w:r>
      <w:r w:rsidRPr="00C24E0A">
        <w:rPr>
          <w:rFonts w:ascii="Arial" w:hAnsi="Arial" w:cs="Arial"/>
          <w:noProof/>
        </w:rPr>
        <w:t xml:space="preserve"> Changes in</w:t>
      </w:r>
      <w:r w:rsidRPr="00C24E0A">
        <w:rPr>
          <w:rFonts w:ascii="Arial" w:hAnsi="Arial" w:cs="Arial"/>
          <w:i/>
          <w:noProof/>
        </w:rPr>
        <w:t xml:space="preserve"> </w:t>
      </w:r>
      <w:r w:rsidRPr="00C24E0A">
        <w:rPr>
          <w:rFonts w:ascii="Arial" w:hAnsi="Arial" w:cs="Arial"/>
          <w:noProof/>
        </w:rPr>
        <w:t>GIP serum concentrations in aged</w:t>
      </w:r>
      <w:r w:rsidRPr="00C24E0A">
        <w:rPr>
          <w:rFonts w:ascii="Arial" w:hAnsi="Arial" w:cs="Arial"/>
          <w:i/>
          <w:noProof/>
        </w:rPr>
        <w:t xml:space="preserve"> </w:t>
      </w:r>
      <w:r w:rsidRPr="00C24E0A">
        <w:rPr>
          <w:rFonts w:ascii="Arial" w:eastAsiaTheme="minorHAnsi" w:hAnsi="Arial" w:cs="Arial"/>
          <w:noProof/>
          <w:lang w:val="en-US"/>
        </w:rPr>
        <w:t xml:space="preserve">20-month-old fed (n=6) </w:t>
      </w:r>
      <w:r w:rsidR="00070F82">
        <w:rPr>
          <w:rFonts w:ascii="Arial" w:eastAsiaTheme="minorHAnsi" w:hAnsi="Arial" w:cs="Arial"/>
          <w:noProof/>
          <w:lang w:val="en-US"/>
        </w:rPr>
        <w:t xml:space="preserve">or overnight fasted fed </w:t>
      </w:r>
      <w:r w:rsidRPr="00C24E0A">
        <w:rPr>
          <w:rFonts w:ascii="Arial" w:eastAsiaTheme="minorHAnsi" w:hAnsi="Arial" w:cs="Arial"/>
          <w:noProof/>
          <w:lang w:val="en-US"/>
        </w:rPr>
        <w:t>(n=7)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_Toc383544649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172</w:t>
      </w:r>
      <w:r w:rsidRPr="00C24E0A">
        <w:rPr>
          <w:rFonts w:ascii="Arial" w:hAnsi="Arial" w:cs="Arial"/>
          <w:noProof/>
        </w:rPr>
        <w:fldChar w:fldCharType="end"/>
      </w:r>
    </w:p>
    <w:p w14:paraId="386595A5"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59</w:t>
      </w:r>
      <w:r w:rsidRPr="00C24E0A">
        <w:rPr>
          <w:rFonts w:ascii="Arial" w:hAnsi="Arial" w:cs="Arial"/>
          <w:noProof/>
        </w:rPr>
        <w:t xml:space="preserve"> Changes in</w:t>
      </w:r>
      <w:r w:rsidRPr="00C24E0A">
        <w:rPr>
          <w:rFonts w:ascii="Arial" w:hAnsi="Arial" w:cs="Arial"/>
          <w:i/>
          <w:noProof/>
        </w:rPr>
        <w:t xml:space="preserve"> </w:t>
      </w:r>
      <w:r w:rsidRPr="00C24E0A">
        <w:rPr>
          <w:rFonts w:ascii="Arial" w:hAnsi="Arial" w:cs="Arial"/>
          <w:noProof/>
        </w:rPr>
        <w:t>GLP1</w:t>
      </w:r>
      <w:r w:rsidRPr="00C24E0A">
        <w:rPr>
          <w:rFonts w:ascii="Arial" w:hAnsi="Arial" w:cs="Arial"/>
          <w:i/>
          <w:noProof/>
        </w:rPr>
        <w:t xml:space="preserve"> </w:t>
      </w:r>
      <w:r w:rsidRPr="00C24E0A">
        <w:rPr>
          <w:rFonts w:ascii="Arial" w:hAnsi="Arial" w:cs="Arial"/>
          <w:noProof/>
        </w:rPr>
        <w:t>serum concentrations in aged</w:t>
      </w:r>
      <w:r w:rsidRPr="00C24E0A">
        <w:rPr>
          <w:rFonts w:ascii="Arial" w:hAnsi="Arial" w:cs="Arial"/>
          <w:i/>
          <w:noProof/>
        </w:rPr>
        <w:t xml:space="preserve"> </w:t>
      </w:r>
      <w:r w:rsidRPr="00C24E0A">
        <w:rPr>
          <w:rFonts w:ascii="Arial" w:eastAsiaTheme="minorHAnsi" w:hAnsi="Arial" w:cs="Arial"/>
          <w:noProof/>
          <w:lang w:val="en-US"/>
        </w:rPr>
        <w:t>20-month-old fed (n=6) or overnight fasted fe</w:t>
      </w:r>
      <w:r w:rsidR="00070F82">
        <w:rPr>
          <w:rFonts w:ascii="Arial" w:eastAsiaTheme="minorHAnsi" w:hAnsi="Arial" w:cs="Arial"/>
          <w:noProof/>
          <w:lang w:val="en-US"/>
        </w:rPr>
        <w:t xml:space="preserve">d </w:t>
      </w:r>
      <w:r w:rsidRPr="00C24E0A">
        <w:rPr>
          <w:rFonts w:ascii="Arial" w:eastAsiaTheme="minorHAnsi" w:hAnsi="Arial" w:cs="Arial"/>
          <w:noProof/>
          <w:lang w:val="en-US"/>
        </w:rPr>
        <w:t>(n=7) male mice</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_Toc383544650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173</w:t>
      </w:r>
      <w:r w:rsidRPr="00C24E0A">
        <w:rPr>
          <w:rFonts w:ascii="Arial" w:hAnsi="Arial" w:cs="Arial"/>
          <w:noProof/>
        </w:rPr>
        <w:fldChar w:fldCharType="end"/>
      </w:r>
    </w:p>
    <w:p w14:paraId="2C2AA665"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 xml:space="preserve">Figure 60 </w:t>
      </w:r>
      <w:r w:rsidRPr="00C24E0A">
        <w:rPr>
          <w:rFonts w:ascii="Arial" w:hAnsi="Arial" w:cs="Arial"/>
          <w:noProof/>
        </w:rPr>
        <w:t>Concentrations of serum cortisol in young adult (n=5) and aged male C57BL/6 mice (n=7) at different times during a single day</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_Toc383544651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174</w:t>
      </w:r>
      <w:r w:rsidRPr="00C24E0A">
        <w:rPr>
          <w:rFonts w:ascii="Arial" w:hAnsi="Arial" w:cs="Arial"/>
          <w:noProof/>
        </w:rPr>
        <w:fldChar w:fldCharType="end"/>
      </w:r>
    </w:p>
    <w:p w14:paraId="7B3E4728" w14:textId="77777777" w:rsidR="007726CF" w:rsidRPr="00C24E0A" w:rsidRDefault="007726CF" w:rsidP="00C24E0A">
      <w:pPr>
        <w:pStyle w:val="TableofFigures"/>
        <w:tabs>
          <w:tab w:val="right" w:leader="dot" w:pos="9622"/>
        </w:tabs>
        <w:spacing w:line="360" w:lineRule="auto"/>
        <w:jc w:val="both"/>
        <w:rPr>
          <w:rFonts w:ascii="Arial" w:eastAsiaTheme="minorEastAsia" w:hAnsi="Arial" w:cs="Arial"/>
          <w:noProof/>
          <w:lang w:eastAsia="ja-JP"/>
        </w:rPr>
      </w:pPr>
      <w:r w:rsidRPr="00C24E0A">
        <w:rPr>
          <w:rFonts w:ascii="Arial" w:hAnsi="Arial" w:cs="Arial"/>
          <w:b/>
          <w:noProof/>
        </w:rPr>
        <w:t>Figure 61</w:t>
      </w:r>
      <w:r w:rsidRPr="00C24E0A">
        <w:rPr>
          <w:rFonts w:ascii="Arial" w:hAnsi="Arial" w:cs="Arial"/>
          <w:noProof/>
          <w:shd w:val="clear" w:color="auto" w:fill="F9F9F9"/>
        </w:rPr>
        <w:t xml:space="preserve"> </w:t>
      </w:r>
      <w:r w:rsidRPr="00C24E0A">
        <w:rPr>
          <w:rFonts w:ascii="Arial" w:hAnsi="Arial" w:cs="Arial"/>
          <w:noProof/>
        </w:rPr>
        <w:t>Relationship between ghrelin, leptin and GH-IGF axis in regulation of bone metabolism</w:t>
      </w:r>
      <w:r w:rsidRPr="00C24E0A">
        <w:rPr>
          <w:rFonts w:ascii="Arial" w:hAnsi="Arial" w:cs="Arial"/>
          <w:noProof/>
        </w:rPr>
        <w:tab/>
      </w:r>
      <w:r w:rsidRPr="00C24E0A">
        <w:rPr>
          <w:rFonts w:ascii="Arial" w:hAnsi="Arial" w:cs="Arial"/>
          <w:noProof/>
        </w:rPr>
        <w:fldChar w:fldCharType="begin"/>
      </w:r>
      <w:r w:rsidRPr="00C24E0A">
        <w:rPr>
          <w:rFonts w:ascii="Arial" w:hAnsi="Arial" w:cs="Arial"/>
          <w:noProof/>
        </w:rPr>
        <w:instrText xml:space="preserve"> PAGEREF _Toc383544652 \h </w:instrText>
      </w:r>
      <w:r w:rsidRPr="00C24E0A">
        <w:rPr>
          <w:rFonts w:ascii="Arial" w:hAnsi="Arial" w:cs="Arial"/>
          <w:noProof/>
        </w:rPr>
      </w:r>
      <w:r w:rsidRPr="00C24E0A">
        <w:rPr>
          <w:rFonts w:ascii="Arial" w:hAnsi="Arial" w:cs="Arial"/>
          <w:noProof/>
        </w:rPr>
        <w:fldChar w:fldCharType="separate"/>
      </w:r>
      <w:r w:rsidR="0091638B">
        <w:rPr>
          <w:rFonts w:ascii="Arial" w:hAnsi="Arial" w:cs="Arial"/>
          <w:noProof/>
        </w:rPr>
        <w:t>177</w:t>
      </w:r>
      <w:r w:rsidRPr="00C24E0A">
        <w:rPr>
          <w:rFonts w:ascii="Arial" w:hAnsi="Arial" w:cs="Arial"/>
          <w:noProof/>
        </w:rPr>
        <w:fldChar w:fldCharType="end"/>
      </w:r>
    </w:p>
    <w:p w14:paraId="1F3CBAE6" w14:textId="77777777" w:rsidR="0054375B" w:rsidRPr="00C24E0A" w:rsidRDefault="00EC5E23" w:rsidP="00C24E0A">
      <w:pPr>
        <w:spacing w:line="360" w:lineRule="auto"/>
        <w:jc w:val="both"/>
        <w:rPr>
          <w:rFonts w:ascii="Arial" w:hAnsi="Arial" w:cs="Arial"/>
        </w:rPr>
      </w:pPr>
      <w:r w:rsidRPr="00C24E0A">
        <w:rPr>
          <w:rFonts w:ascii="Arial" w:hAnsi="Arial" w:cs="Arial"/>
        </w:rPr>
        <w:fldChar w:fldCharType="end"/>
      </w:r>
    </w:p>
    <w:p w14:paraId="77DADCA6" w14:textId="77777777" w:rsidR="0054375B" w:rsidRPr="007726CF" w:rsidRDefault="0054375B" w:rsidP="007726CF">
      <w:pPr>
        <w:spacing w:line="360" w:lineRule="auto"/>
        <w:jc w:val="both"/>
        <w:rPr>
          <w:rFonts w:ascii="Arial" w:hAnsi="Arial" w:cs="Arial"/>
        </w:rPr>
      </w:pPr>
    </w:p>
    <w:p w14:paraId="224FB701" w14:textId="77777777" w:rsidR="0054375B" w:rsidRPr="007726CF" w:rsidRDefault="0054375B" w:rsidP="007726CF">
      <w:pPr>
        <w:spacing w:line="360" w:lineRule="auto"/>
        <w:jc w:val="both"/>
        <w:rPr>
          <w:rFonts w:ascii="Arial" w:hAnsi="Arial" w:cs="Arial"/>
        </w:rPr>
      </w:pPr>
    </w:p>
    <w:p w14:paraId="672C6E03" w14:textId="77777777" w:rsidR="0054375B" w:rsidRDefault="0054375B" w:rsidP="007C3FD6">
      <w:pPr>
        <w:spacing w:line="360" w:lineRule="auto"/>
        <w:jc w:val="both"/>
        <w:rPr>
          <w:rFonts w:ascii="Arial" w:hAnsi="Arial" w:cs="Arial"/>
        </w:rPr>
      </w:pPr>
    </w:p>
    <w:p w14:paraId="2E856253" w14:textId="77777777" w:rsidR="001C7A31" w:rsidRDefault="001C7A31" w:rsidP="007C3FD6">
      <w:pPr>
        <w:spacing w:line="360" w:lineRule="auto"/>
        <w:jc w:val="both"/>
        <w:rPr>
          <w:rFonts w:ascii="Arial" w:hAnsi="Arial" w:cs="Arial"/>
        </w:rPr>
      </w:pPr>
    </w:p>
    <w:p w14:paraId="4E19DFF2" w14:textId="77777777" w:rsidR="001C7A31" w:rsidRDefault="001C7A31" w:rsidP="007C3FD6">
      <w:pPr>
        <w:spacing w:line="360" w:lineRule="auto"/>
        <w:jc w:val="both"/>
        <w:rPr>
          <w:rFonts w:ascii="Arial" w:hAnsi="Arial" w:cs="Arial"/>
        </w:rPr>
      </w:pPr>
    </w:p>
    <w:p w14:paraId="51B11FEE" w14:textId="77777777" w:rsidR="001C7A31" w:rsidRDefault="001C7A31" w:rsidP="007C3FD6">
      <w:pPr>
        <w:spacing w:line="360" w:lineRule="auto"/>
        <w:jc w:val="both"/>
        <w:rPr>
          <w:rFonts w:ascii="Arial" w:hAnsi="Arial" w:cs="Arial"/>
        </w:rPr>
      </w:pPr>
    </w:p>
    <w:p w14:paraId="1322BF36" w14:textId="77777777" w:rsidR="001E5D0E" w:rsidRDefault="001E5D0E" w:rsidP="007C3FD6">
      <w:pPr>
        <w:spacing w:line="360" w:lineRule="auto"/>
        <w:jc w:val="both"/>
        <w:rPr>
          <w:rFonts w:ascii="Arial" w:hAnsi="Arial" w:cs="Arial"/>
        </w:rPr>
      </w:pPr>
    </w:p>
    <w:p w14:paraId="370E349D" w14:textId="77777777" w:rsidR="0008605F" w:rsidRDefault="00812B23" w:rsidP="00D40E59">
      <w:pPr>
        <w:pStyle w:val="Heading2"/>
      </w:pPr>
      <w:bookmarkStart w:id="4" w:name="_Toc383723839"/>
      <w:r w:rsidRPr="005341FB">
        <w:lastRenderedPageBreak/>
        <w:t>List of tables</w:t>
      </w:r>
      <w:bookmarkEnd w:id="4"/>
    </w:p>
    <w:p w14:paraId="37053524" w14:textId="77777777" w:rsidR="00A23078" w:rsidRPr="001F31D9" w:rsidRDefault="00A23078" w:rsidP="001F31D9">
      <w:pPr>
        <w:spacing w:line="360" w:lineRule="auto"/>
        <w:jc w:val="both"/>
        <w:rPr>
          <w:rFonts w:ascii="Arial" w:hAnsi="Arial" w:cs="Arial"/>
        </w:rPr>
      </w:pPr>
    </w:p>
    <w:p w14:paraId="5DD47234" w14:textId="77777777" w:rsidR="00764827" w:rsidRPr="00764827" w:rsidRDefault="00812B23" w:rsidP="00430D5F">
      <w:pPr>
        <w:pStyle w:val="TableofFigures"/>
        <w:tabs>
          <w:tab w:val="right" w:leader="dot" w:pos="9622"/>
        </w:tabs>
        <w:spacing w:line="360" w:lineRule="auto"/>
        <w:jc w:val="both"/>
        <w:rPr>
          <w:rFonts w:ascii="Arial" w:eastAsiaTheme="minorEastAsia" w:hAnsi="Arial" w:cs="Arial"/>
          <w:noProof/>
          <w:lang w:eastAsia="ja-JP"/>
        </w:rPr>
      </w:pPr>
      <w:r w:rsidRPr="00764827">
        <w:rPr>
          <w:rFonts w:ascii="Arial" w:hAnsi="Arial" w:cs="Arial"/>
          <w:b/>
          <w:bCs/>
        </w:rPr>
        <w:fldChar w:fldCharType="begin"/>
      </w:r>
      <w:r w:rsidRPr="00764827">
        <w:rPr>
          <w:rFonts w:ascii="Arial" w:hAnsi="Arial" w:cs="Arial"/>
          <w:b/>
          <w:bCs/>
        </w:rPr>
        <w:instrText xml:space="preserve"> TOC \c "Table" </w:instrText>
      </w:r>
      <w:r w:rsidRPr="00764827">
        <w:rPr>
          <w:rFonts w:ascii="Arial" w:hAnsi="Arial" w:cs="Arial"/>
          <w:b/>
          <w:bCs/>
        </w:rPr>
        <w:fldChar w:fldCharType="separate"/>
      </w:r>
      <w:r w:rsidR="00764827" w:rsidRPr="00764827">
        <w:rPr>
          <w:rFonts w:ascii="Arial" w:hAnsi="Arial" w:cs="Arial"/>
          <w:b/>
          <w:noProof/>
        </w:rPr>
        <w:t>Table 1</w:t>
      </w:r>
      <w:r w:rsidR="00764827" w:rsidRPr="00764827">
        <w:rPr>
          <w:rFonts w:ascii="Arial" w:hAnsi="Arial" w:cs="Arial"/>
          <w:noProof/>
        </w:rPr>
        <w:t xml:space="preserve"> Summary of the main findings of the effect of macronutrients and fibre on postprandial release of satiety-related gastrointestinal peptides in humans</w:t>
      </w:r>
      <w:r w:rsidR="00764827" w:rsidRPr="00764827">
        <w:rPr>
          <w:rFonts w:ascii="Arial" w:hAnsi="Arial" w:cs="Arial"/>
          <w:noProof/>
        </w:rPr>
        <w:tab/>
      </w:r>
      <w:r w:rsidR="00764827" w:rsidRPr="00764827">
        <w:rPr>
          <w:rFonts w:ascii="Arial" w:hAnsi="Arial" w:cs="Arial"/>
          <w:noProof/>
        </w:rPr>
        <w:fldChar w:fldCharType="begin"/>
      </w:r>
      <w:r w:rsidR="00764827" w:rsidRPr="00764827">
        <w:rPr>
          <w:rFonts w:ascii="Arial" w:hAnsi="Arial" w:cs="Arial"/>
          <w:noProof/>
        </w:rPr>
        <w:instrText xml:space="preserve"> PAGEREF _Toc383545827 \h </w:instrText>
      </w:r>
      <w:r w:rsidR="00764827" w:rsidRPr="00764827">
        <w:rPr>
          <w:rFonts w:ascii="Arial" w:hAnsi="Arial" w:cs="Arial"/>
          <w:noProof/>
        </w:rPr>
      </w:r>
      <w:r w:rsidR="00764827" w:rsidRPr="00764827">
        <w:rPr>
          <w:rFonts w:ascii="Arial" w:hAnsi="Arial" w:cs="Arial"/>
          <w:noProof/>
        </w:rPr>
        <w:fldChar w:fldCharType="separate"/>
      </w:r>
      <w:r w:rsidR="0091638B">
        <w:rPr>
          <w:rFonts w:ascii="Arial" w:hAnsi="Arial" w:cs="Arial"/>
          <w:noProof/>
        </w:rPr>
        <w:t>29</w:t>
      </w:r>
      <w:r w:rsidR="00764827" w:rsidRPr="00764827">
        <w:rPr>
          <w:rFonts w:ascii="Arial" w:hAnsi="Arial" w:cs="Arial"/>
          <w:noProof/>
        </w:rPr>
        <w:fldChar w:fldCharType="end"/>
      </w:r>
    </w:p>
    <w:p w14:paraId="3A2E23B6" w14:textId="77777777" w:rsidR="00764827" w:rsidRPr="00764827" w:rsidRDefault="00764827" w:rsidP="00430D5F">
      <w:pPr>
        <w:pStyle w:val="TableofFigures"/>
        <w:tabs>
          <w:tab w:val="right" w:leader="dot" w:pos="9622"/>
        </w:tabs>
        <w:spacing w:line="360" w:lineRule="auto"/>
        <w:jc w:val="both"/>
        <w:rPr>
          <w:rFonts w:ascii="Arial" w:eastAsiaTheme="minorEastAsia" w:hAnsi="Arial" w:cs="Arial"/>
          <w:noProof/>
          <w:lang w:eastAsia="ja-JP"/>
        </w:rPr>
      </w:pPr>
      <w:r w:rsidRPr="00764827">
        <w:rPr>
          <w:rFonts w:ascii="Arial" w:hAnsi="Arial" w:cs="Arial"/>
          <w:b/>
          <w:noProof/>
        </w:rPr>
        <w:t>Table 2</w:t>
      </w:r>
      <w:r w:rsidRPr="00764827">
        <w:rPr>
          <w:rFonts w:ascii="Arial" w:hAnsi="Arial" w:cs="Arial"/>
          <w:noProof/>
        </w:rPr>
        <w:t xml:space="preserve"> Quantitative results of </w:t>
      </w:r>
      <w:r w:rsidRPr="00764827">
        <w:rPr>
          <w:rFonts w:ascii="Arial" w:hAnsi="Arial" w:cs="Arial"/>
          <w:noProof/>
        </w:rPr>
        <w:sym w:font="Symbol" w:char="F06D"/>
      </w:r>
      <w:r w:rsidRPr="00764827">
        <w:rPr>
          <w:rFonts w:ascii="Arial" w:hAnsi="Arial" w:cs="Arial"/>
          <w:noProof/>
        </w:rPr>
        <w:t>CT analysis of tibial cortical and trabecular bone parameters after maximal mechanical loading of fed or fed for 2 h</w:t>
      </w:r>
      <w:r w:rsidR="005B3C75">
        <w:rPr>
          <w:rFonts w:ascii="Arial" w:hAnsi="Arial" w:cs="Arial"/>
          <w:noProof/>
        </w:rPr>
        <w:t>ours following overnight fast</w:t>
      </w:r>
      <w:r w:rsidRPr="00764827">
        <w:rPr>
          <w:rFonts w:ascii="Arial" w:hAnsi="Arial" w:cs="Arial"/>
          <w:noProof/>
        </w:rPr>
        <w:t xml:space="preserve"> young male mice</w:t>
      </w:r>
      <w:r w:rsidRPr="00764827">
        <w:rPr>
          <w:rFonts w:ascii="Arial" w:hAnsi="Arial" w:cs="Arial"/>
          <w:noProof/>
        </w:rPr>
        <w:tab/>
      </w:r>
      <w:r w:rsidRPr="00764827">
        <w:rPr>
          <w:rFonts w:ascii="Arial" w:hAnsi="Arial" w:cs="Arial"/>
          <w:noProof/>
        </w:rPr>
        <w:fldChar w:fldCharType="begin"/>
      </w:r>
      <w:r w:rsidRPr="00764827">
        <w:rPr>
          <w:rFonts w:ascii="Arial" w:hAnsi="Arial" w:cs="Arial"/>
          <w:noProof/>
        </w:rPr>
        <w:instrText xml:space="preserve"> PAGEREF _Toc383545828 \h </w:instrText>
      </w:r>
      <w:r w:rsidRPr="00764827">
        <w:rPr>
          <w:rFonts w:ascii="Arial" w:hAnsi="Arial" w:cs="Arial"/>
          <w:noProof/>
        </w:rPr>
      </w:r>
      <w:r w:rsidRPr="00764827">
        <w:rPr>
          <w:rFonts w:ascii="Arial" w:hAnsi="Arial" w:cs="Arial"/>
          <w:noProof/>
        </w:rPr>
        <w:fldChar w:fldCharType="separate"/>
      </w:r>
      <w:r w:rsidR="0091638B">
        <w:rPr>
          <w:rFonts w:ascii="Arial" w:hAnsi="Arial" w:cs="Arial"/>
          <w:noProof/>
        </w:rPr>
        <w:t>91</w:t>
      </w:r>
      <w:r w:rsidRPr="00764827">
        <w:rPr>
          <w:rFonts w:ascii="Arial" w:hAnsi="Arial" w:cs="Arial"/>
          <w:noProof/>
        </w:rPr>
        <w:fldChar w:fldCharType="end"/>
      </w:r>
    </w:p>
    <w:p w14:paraId="171CC966" w14:textId="77777777" w:rsidR="00764827" w:rsidRPr="00764827" w:rsidRDefault="00BE30E8" w:rsidP="00430D5F">
      <w:pPr>
        <w:pStyle w:val="TableofFigures"/>
        <w:tabs>
          <w:tab w:val="right" w:leader="dot" w:pos="9622"/>
        </w:tabs>
        <w:spacing w:line="360" w:lineRule="auto"/>
        <w:jc w:val="both"/>
        <w:rPr>
          <w:rFonts w:ascii="Arial" w:eastAsiaTheme="minorEastAsia" w:hAnsi="Arial" w:cs="Arial"/>
          <w:noProof/>
          <w:lang w:eastAsia="ja-JP"/>
        </w:rPr>
      </w:pPr>
      <w:r>
        <w:rPr>
          <w:rFonts w:ascii="Arial" w:hAnsi="Arial" w:cs="Arial"/>
          <w:b/>
          <w:noProof/>
        </w:rPr>
        <w:t xml:space="preserve">Table </w:t>
      </w:r>
      <w:r w:rsidR="00764827" w:rsidRPr="00764827">
        <w:rPr>
          <w:rFonts w:ascii="Arial" w:hAnsi="Arial" w:cs="Arial"/>
          <w:b/>
          <w:noProof/>
        </w:rPr>
        <w:t>3</w:t>
      </w:r>
      <w:r w:rsidR="00764827" w:rsidRPr="00764827">
        <w:rPr>
          <w:rFonts w:ascii="Arial" w:hAnsi="Arial" w:cs="Arial"/>
          <w:noProof/>
        </w:rPr>
        <w:t xml:space="preserve"> Quantitative results of tibial endocortical and periosteal dynamic histomorphometry of fed or fed for 2 h</w:t>
      </w:r>
      <w:r w:rsidR="005B3C75">
        <w:rPr>
          <w:rFonts w:ascii="Arial" w:hAnsi="Arial" w:cs="Arial"/>
          <w:noProof/>
        </w:rPr>
        <w:t>ours following overnight fast</w:t>
      </w:r>
      <w:r w:rsidR="00764827" w:rsidRPr="00764827">
        <w:rPr>
          <w:rFonts w:ascii="Arial" w:hAnsi="Arial" w:cs="Arial"/>
          <w:noProof/>
        </w:rPr>
        <w:t xml:space="preserve"> young male mice</w:t>
      </w:r>
      <w:r w:rsidR="00764827" w:rsidRPr="00764827">
        <w:rPr>
          <w:rFonts w:ascii="Arial" w:hAnsi="Arial" w:cs="Arial"/>
          <w:noProof/>
        </w:rPr>
        <w:tab/>
      </w:r>
      <w:r w:rsidR="00764827" w:rsidRPr="00764827">
        <w:rPr>
          <w:rFonts w:ascii="Arial" w:hAnsi="Arial" w:cs="Arial"/>
          <w:noProof/>
        </w:rPr>
        <w:fldChar w:fldCharType="begin"/>
      </w:r>
      <w:r w:rsidR="00764827" w:rsidRPr="00764827">
        <w:rPr>
          <w:rFonts w:ascii="Arial" w:hAnsi="Arial" w:cs="Arial"/>
          <w:noProof/>
        </w:rPr>
        <w:instrText xml:space="preserve"> PAGEREF _Toc383545829 \h </w:instrText>
      </w:r>
      <w:r w:rsidR="00764827" w:rsidRPr="00764827">
        <w:rPr>
          <w:rFonts w:ascii="Arial" w:hAnsi="Arial" w:cs="Arial"/>
          <w:noProof/>
        </w:rPr>
      </w:r>
      <w:r w:rsidR="00764827" w:rsidRPr="00764827">
        <w:rPr>
          <w:rFonts w:ascii="Arial" w:hAnsi="Arial" w:cs="Arial"/>
          <w:noProof/>
        </w:rPr>
        <w:fldChar w:fldCharType="separate"/>
      </w:r>
      <w:r w:rsidR="0091638B">
        <w:rPr>
          <w:rFonts w:ascii="Arial" w:hAnsi="Arial" w:cs="Arial"/>
          <w:noProof/>
        </w:rPr>
        <w:t>96</w:t>
      </w:r>
      <w:r w:rsidR="00764827" w:rsidRPr="00764827">
        <w:rPr>
          <w:rFonts w:ascii="Arial" w:hAnsi="Arial" w:cs="Arial"/>
          <w:noProof/>
        </w:rPr>
        <w:fldChar w:fldCharType="end"/>
      </w:r>
    </w:p>
    <w:p w14:paraId="4666FE15" w14:textId="77777777" w:rsidR="00764827" w:rsidRPr="00764827" w:rsidRDefault="00764827" w:rsidP="00430D5F">
      <w:pPr>
        <w:pStyle w:val="TableofFigures"/>
        <w:tabs>
          <w:tab w:val="right" w:leader="dot" w:pos="9622"/>
        </w:tabs>
        <w:spacing w:line="360" w:lineRule="auto"/>
        <w:jc w:val="both"/>
        <w:rPr>
          <w:rFonts w:ascii="Arial" w:eastAsiaTheme="minorEastAsia" w:hAnsi="Arial" w:cs="Arial"/>
          <w:noProof/>
          <w:lang w:eastAsia="ja-JP"/>
        </w:rPr>
      </w:pPr>
      <w:r w:rsidRPr="00764827">
        <w:rPr>
          <w:rFonts w:ascii="Arial" w:hAnsi="Arial" w:cs="Arial"/>
          <w:b/>
          <w:noProof/>
        </w:rPr>
        <w:t>Table 4</w:t>
      </w:r>
      <w:r w:rsidRPr="00764827">
        <w:rPr>
          <w:rFonts w:ascii="Arial" w:hAnsi="Arial" w:cs="Arial"/>
          <w:noProof/>
        </w:rPr>
        <w:t xml:space="preserve"> Quantitative results of </w:t>
      </w:r>
      <w:r w:rsidRPr="00764827">
        <w:rPr>
          <w:rFonts w:ascii="Arial" w:hAnsi="Arial" w:cs="Arial"/>
          <w:noProof/>
        </w:rPr>
        <w:sym w:font="Symbol" w:char="F06D"/>
      </w:r>
      <w:r w:rsidRPr="00764827">
        <w:rPr>
          <w:rFonts w:ascii="Arial" w:hAnsi="Arial" w:cs="Arial"/>
          <w:noProof/>
        </w:rPr>
        <w:t xml:space="preserve">CT analysis of tibial cortical </w:t>
      </w:r>
      <w:r>
        <w:rPr>
          <w:rFonts w:ascii="Arial" w:hAnsi="Arial" w:cs="Arial"/>
          <w:noProof/>
        </w:rPr>
        <w:t xml:space="preserve">and trabecular </w:t>
      </w:r>
      <w:r w:rsidRPr="00764827">
        <w:rPr>
          <w:rFonts w:ascii="Arial" w:hAnsi="Arial" w:cs="Arial"/>
          <w:noProof/>
        </w:rPr>
        <w:t xml:space="preserve">bone parameters after maximal mechanical loading of fed or fed for 1 </w:t>
      </w:r>
      <w:r w:rsidR="005B3C75">
        <w:rPr>
          <w:rFonts w:ascii="Arial" w:hAnsi="Arial" w:cs="Arial"/>
          <w:noProof/>
        </w:rPr>
        <w:t>hour following overnight fast</w:t>
      </w:r>
      <w:r w:rsidRPr="00764827">
        <w:rPr>
          <w:rFonts w:ascii="Arial" w:hAnsi="Arial" w:cs="Arial"/>
          <w:noProof/>
        </w:rPr>
        <w:t xml:space="preserve"> young male mice</w:t>
      </w:r>
      <w:r w:rsidRPr="00764827">
        <w:rPr>
          <w:rFonts w:ascii="Arial" w:hAnsi="Arial" w:cs="Arial"/>
          <w:noProof/>
        </w:rPr>
        <w:tab/>
      </w:r>
      <w:r w:rsidRPr="00764827">
        <w:rPr>
          <w:rFonts w:ascii="Arial" w:hAnsi="Arial" w:cs="Arial"/>
          <w:noProof/>
        </w:rPr>
        <w:fldChar w:fldCharType="begin"/>
      </w:r>
      <w:r w:rsidRPr="00764827">
        <w:rPr>
          <w:rFonts w:ascii="Arial" w:hAnsi="Arial" w:cs="Arial"/>
          <w:noProof/>
        </w:rPr>
        <w:instrText xml:space="preserve"> PAGEREF _Toc383545830 \h </w:instrText>
      </w:r>
      <w:r w:rsidRPr="00764827">
        <w:rPr>
          <w:rFonts w:ascii="Arial" w:hAnsi="Arial" w:cs="Arial"/>
          <w:noProof/>
        </w:rPr>
      </w:r>
      <w:r w:rsidRPr="00764827">
        <w:rPr>
          <w:rFonts w:ascii="Arial" w:hAnsi="Arial" w:cs="Arial"/>
          <w:noProof/>
        </w:rPr>
        <w:fldChar w:fldCharType="separate"/>
      </w:r>
      <w:r w:rsidR="0091638B">
        <w:rPr>
          <w:rFonts w:ascii="Arial" w:hAnsi="Arial" w:cs="Arial"/>
          <w:noProof/>
        </w:rPr>
        <w:t>102</w:t>
      </w:r>
      <w:r w:rsidRPr="00764827">
        <w:rPr>
          <w:rFonts w:ascii="Arial" w:hAnsi="Arial" w:cs="Arial"/>
          <w:noProof/>
        </w:rPr>
        <w:fldChar w:fldCharType="end"/>
      </w:r>
    </w:p>
    <w:p w14:paraId="782E5606" w14:textId="77777777" w:rsidR="00764827" w:rsidRPr="00764827" w:rsidRDefault="00764827" w:rsidP="00430D5F">
      <w:pPr>
        <w:pStyle w:val="TableofFigures"/>
        <w:tabs>
          <w:tab w:val="right" w:leader="dot" w:pos="9622"/>
        </w:tabs>
        <w:spacing w:line="360" w:lineRule="auto"/>
        <w:jc w:val="both"/>
        <w:rPr>
          <w:rFonts w:ascii="Arial" w:eastAsiaTheme="minorEastAsia" w:hAnsi="Arial" w:cs="Arial"/>
          <w:noProof/>
          <w:lang w:eastAsia="ja-JP"/>
        </w:rPr>
      </w:pPr>
      <w:r w:rsidRPr="00764827">
        <w:rPr>
          <w:rFonts w:ascii="Arial" w:hAnsi="Arial" w:cs="Arial"/>
          <w:b/>
          <w:noProof/>
        </w:rPr>
        <w:t>Table 5</w:t>
      </w:r>
      <w:r w:rsidRPr="00764827">
        <w:rPr>
          <w:rFonts w:ascii="Arial" w:hAnsi="Arial" w:cs="Arial"/>
          <w:noProof/>
        </w:rPr>
        <w:t xml:space="preserve"> Quantitative results of </w:t>
      </w:r>
      <w:r w:rsidRPr="00764827">
        <w:rPr>
          <w:rFonts w:ascii="Arial" w:hAnsi="Arial" w:cs="Arial"/>
          <w:noProof/>
        </w:rPr>
        <w:sym w:font="Symbol" w:char="F06D"/>
      </w:r>
      <w:r w:rsidRPr="00764827">
        <w:rPr>
          <w:rFonts w:ascii="Arial" w:hAnsi="Arial" w:cs="Arial"/>
          <w:noProof/>
        </w:rPr>
        <w:t xml:space="preserve">CT analysis of tibial cortical </w:t>
      </w:r>
      <w:r>
        <w:rPr>
          <w:rFonts w:ascii="Arial" w:hAnsi="Arial" w:cs="Arial"/>
          <w:noProof/>
        </w:rPr>
        <w:t>and trabecular</w:t>
      </w:r>
      <w:r w:rsidRPr="00764827">
        <w:rPr>
          <w:rFonts w:ascii="Arial" w:hAnsi="Arial" w:cs="Arial"/>
          <w:noProof/>
        </w:rPr>
        <w:t xml:space="preserve"> bone parameters after maximal mechanical loading of fed or fed for 3 h</w:t>
      </w:r>
      <w:r w:rsidR="005B3C75">
        <w:rPr>
          <w:rFonts w:ascii="Arial" w:hAnsi="Arial" w:cs="Arial"/>
          <w:noProof/>
        </w:rPr>
        <w:t>ours following overnight fast</w:t>
      </w:r>
      <w:r w:rsidRPr="00764827">
        <w:rPr>
          <w:rFonts w:ascii="Arial" w:hAnsi="Arial" w:cs="Arial"/>
          <w:noProof/>
        </w:rPr>
        <w:t xml:space="preserve"> young male mice</w:t>
      </w:r>
      <w:r w:rsidRPr="00764827">
        <w:rPr>
          <w:rFonts w:ascii="Arial" w:hAnsi="Arial" w:cs="Arial"/>
          <w:noProof/>
        </w:rPr>
        <w:tab/>
      </w:r>
      <w:r w:rsidRPr="00764827">
        <w:rPr>
          <w:rFonts w:ascii="Arial" w:hAnsi="Arial" w:cs="Arial"/>
          <w:noProof/>
        </w:rPr>
        <w:fldChar w:fldCharType="begin"/>
      </w:r>
      <w:r w:rsidRPr="00764827">
        <w:rPr>
          <w:rFonts w:ascii="Arial" w:hAnsi="Arial" w:cs="Arial"/>
          <w:noProof/>
        </w:rPr>
        <w:instrText xml:space="preserve"> PAGEREF _Toc383545831 \h </w:instrText>
      </w:r>
      <w:r w:rsidRPr="00764827">
        <w:rPr>
          <w:rFonts w:ascii="Arial" w:hAnsi="Arial" w:cs="Arial"/>
          <w:noProof/>
        </w:rPr>
      </w:r>
      <w:r w:rsidRPr="00764827">
        <w:rPr>
          <w:rFonts w:ascii="Arial" w:hAnsi="Arial" w:cs="Arial"/>
          <w:noProof/>
        </w:rPr>
        <w:fldChar w:fldCharType="separate"/>
      </w:r>
      <w:r w:rsidR="0091638B">
        <w:rPr>
          <w:rFonts w:ascii="Arial" w:hAnsi="Arial" w:cs="Arial"/>
          <w:noProof/>
        </w:rPr>
        <w:t>107</w:t>
      </w:r>
      <w:r w:rsidRPr="00764827">
        <w:rPr>
          <w:rFonts w:ascii="Arial" w:hAnsi="Arial" w:cs="Arial"/>
          <w:noProof/>
        </w:rPr>
        <w:fldChar w:fldCharType="end"/>
      </w:r>
    </w:p>
    <w:p w14:paraId="24A721B0" w14:textId="77777777" w:rsidR="00764827" w:rsidRPr="00764827" w:rsidRDefault="00764827" w:rsidP="00430D5F">
      <w:pPr>
        <w:pStyle w:val="TableofFigures"/>
        <w:tabs>
          <w:tab w:val="right" w:leader="dot" w:pos="9622"/>
        </w:tabs>
        <w:spacing w:line="360" w:lineRule="auto"/>
        <w:jc w:val="both"/>
        <w:rPr>
          <w:rFonts w:ascii="Arial" w:eastAsiaTheme="minorEastAsia" w:hAnsi="Arial" w:cs="Arial"/>
          <w:noProof/>
          <w:lang w:eastAsia="ja-JP"/>
        </w:rPr>
      </w:pPr>
      <w:r w:rsidRPr="00764827">
        <w:rPr>
          <w:rFonts w:ascii="Arial" w:hAnsi="Arial" w:cs="Arial"/>
          <w:b/>
          <w:noProof/>
        </w:rPr>
        <w:t>Table 6</w:t>
      </w:r>
      <w:r w:rsidRPr="00764827">
        <w:rPr>
          <w:rFonts w:ascii="Arial" w:hAnsi="Arial" w:cs="Arial"/>
          <w:noProof/>
        </w:rPr>
        <w:t xml:space="preserve"> Serum concentrations of five hormones (ghrelin, leptin, insulin, GIP and GLP1) in fed or overnight (16-hour) fasted fed young male mice</w:t>
      </w:r>
      <w:r w:rsidRPr="00764827">
        <w:rPr>
          <w:rFonts w:ascii="Arial" w:hAnsi="Arial" w:cs="Arial"/>
          <w:noProof/>
        </w:rPr>
        <w:tab/>
      </w:r>
      <w:r w:rsidRPr="00764827">
        <w:rPr>
          <w:rFonts w:ascii="Arial" w:hAnsi="Arial" w:cs="Arial"/>
          <w:noProof/>
        </w:rPr>
        <w:fldChar w:fldCharType="begin"/>
      </w:r>
      <w:r w:rsidRPr="00764827">
        <w:rPr>
          <w:rFonts w:ascii="Arial" w:hAnsi="Arial" w:cs="Arial"/>
          <w:noProof/>
        </w:rPr>
        <w:instrText xml:space="preserve"> PAGEREF _Toc383545832 \h </w:instrText>
      </w:r>
      <w:r w:rsidRPr="00764827">
        <w:rPr>
          <w:rFonts w:ascii="Arial" w:hAnsi="Arial" w:cs="Arial"/>
          <w:noProof/>
        </w:rPr>
      </w:r>
      <w:r w:rsidRPr="00764827">
        <w:rPr>
          <w:rFonts w:ascii="Arial" w:hAnsi="Arial" w:cs="Arial"/>
          <w:noProof/>
        </w:rPr>
        <w:fldChar w:fldCharType="separate"/>
      </w:r>
      <w:r w:rsidR="0091638B">
        <w:rPr>
          <w:rFonts w:ascii="Arial" w:hAnsi="Arial" w:cs="Arial"/>
          <w:noProof/>
        </w:rPr>
        <w:t>165</w:t>
      </w:r>
      <w:r w:rsidRPr="00764827">
        <w:rPr>
          <w:rFonts w:ascii="Arial" w:hAnsi="Arial" w:cs="Arial"/>
          <w:noProof/>
        </w:rPr>
        <w:fldChar w:fldCharType="end"/>
      </w:r>
    </w:p>
    <w:p w14:paraId="3AC41A01" w14:textId="77777777" w:rsidR="00764827" w:rsidRPr="00764827" w:rsidRDefault="00764827" w:rsidP="00430D5F">
      <w:pPr>
        <w:pStyle w:val="TableofFigures"/>
        <w:tabs>
          <w:tab w:val="right" w:leader="dot" w:pos="9622"/>
        </w:tabs>
        <w:spacing w:line="360" w:lineRule="auto"/>
        <w:jc w:val="both"/>
        <w:rPr>
          <w:rFonts w:ascii="Arial" w:eastAsiaTheme="minorEastAsia" w:hAnsi="Arial" w:cs="Arial"/>
          <w:noProof/>
          <w:lang w:eastAsia="ja-JP"/>
        </w:rPr>
      </w:pPr>
      <w:r w:rsidRPr="00764827">
        <w:rPr>
          <w:rFonts w:ascii="Arial" w:hAnsi="Arial" w:cs="Arial"/>
          <w:b/>
          <w:noProof/>
        </w:rPr>
        <w:t>Table 7</w:t>
      </w:r>
      <w:r w:rsidRPr="00764827">
        <w:rPr>
          <w:rFonts w:ascii="Arial" w:hAnsi="Arial" w:cs="Arial"/>
          <w:noProof/>
        </w:rPr>
        <w:t xml:space="preserve"> Serum concentrations of five hormones (ghrelin, leptin, insulin, GIP and GLP1) in fed or overnight (16-hour) fasted fed aged male mice</w:t>
      </w:r>
      <w:r w:rsidRPr="00764827">
        <w:rPr>
          <w:rFonts w:ascii="Arial" w:hAnsi="Arial" w:cs="Arial"/>
          <w:noProof/>
        </w:rPr>
        <w:tab/>
      </w:r>
      <w:r w:rsidRPr="00764827">
        <w:rPr>
          <w:rFonts w:ascii="Arial" w:hAnsi="Arial" w:cs="Arial"/>
          <w:noProof/>
        </w:rPr>
        <w:fldChar w:fldCharType="begin"/>
      </w:r>
      <w:r w:rsidRPr="00764827">
        <w:rPr>
          <w:rFonts w:ascii="Arial" w:hAnsi="Arial" w:cs="Arial"/>
          <w:noProof/>
        </w:rPr>
        <w:instrText xml:space="preserve"> PAGEREF _Toc383545833 \h </w:instrText>
      </w:r>
      <w:r w:rsidRPr="00764827">
        <w:rPr>
          <w:rFonts w:ascii="Arial" w:hAnsi="Arial" w:cs="Arial"/>
          <w:noProof/>
        </w:rPr>
      </w:r>
      <w:r w:rsidRPr="00764827">
        <w:rPr>
          <w:rFonts w:ascii="Arial" w:hAnsi="Arial" w:cs="Arial"/>
          <w:noProof/>
        </w:rPr>
        <w:fldChar w:fldCharType="separate"/>
      </w:r>
      <w:r w:rsidR="0091638B">
        <w:rPr>
          <w:rFonts w:ascii="Arial" w:hAnsi="Arial" w:cs="Arial"/>
          <w:noProof/>
        </w:rPr>
        <w:t>170</w:t>
      </w:r>
      <w:r w:rsidRPr="00764827">
        <w:rPr>
          <w:rFonts w:ascii="Arial" w:hAnsi="Arial" w:cs="Arial"/>
          <w:noProof/>
        </w:rPr>
        <w:fldChar w:fldCharType="end"/>
      </w:r>
    </w:p>
    <w:p w14:paraId="102673A1" w14:textId="77777777" w:rsidR="00BF7227" w:rsidRPr="00844B83" w:rsidRDefault="00812B23" w:rsidP="00D40E59">
      <w:pPr>
        <w:pStyle w:val="Heading2"/>
      </w:pPr>
      <w:r w:rsidRPr="00764827">
        <w:rPr>
          <w:noProof w:val="0"/>
        </w:rPr>
        <w:fldChar w:fldCharType="end"/>
      </w:r>
    </w:p>
    <w:p w14:paraId="2E2EA41B" w14:textId="77777777" w:rsidR="00BF7227" w:rsidRDefault="00BF7227" w:rsidP="005C74D4">
      <w:pPr>
        <w:spacing w:line="360" w:lineRule="auto"/>
        <w:jc w:val="both"/>
        <w:rPr>
          <w:rFonts w:ascii="Arial" w:hAnsi="Arial" w:cs="Arial"/>
        </w:rPr>
      </w:pPr>
    </w:p>
    <w:p w14:paraId="4E5A77A0" w14:textId="77777777" w:rsidR="00BF7227" w:rsidRDefault="00BF7227" w:rsidP="00BF7227">
      <w:pPr>
        <w:spacing w:line="480" w:lineRule="auto"/>
        <w:jc w:val="both"/>
        <w:rPr>
          <w:rFonts w:ascii="Arial" w:hAnsi="Arial" w:cs="Arial"/>
        </w:rPr>
      </w:pPr>
    </w:p>
    <w:p w14:paraId="7FAC0A77" w14:textId="77777777" w:rsidR="00BF7227" w:rsidRDefault="00BF7227" w:rsidP="00BF7227">
      <w:pPr>
        <w:spacing w:line="480" w:lineRule="auto"/>
        <w:jc w:val="both"/>
        <w:rPr>
          <w:rFonts w:ascii="Arial" w:hAnsi="Arial" w:cs="Arial"/>
        </w:rPr>
      </w:pPr>
    </w:p>
    <w:p w14:paraId="061A732A" w14:textId="77777777" w:rsidR="00BF7227" w:rsidRDefault="00BF7227" w:rsidP="00BF7227">
      <w:pPr>
        <w:spacing w:line="480" w:lineRule="auto"/>
        <w:jc w:val="both"/>
        <w:rPr>
          <w:rFonts w:ascii="Arial" w:hAnsi="Arial" w:cs="Arial"/>
        </w:rPr>
      </w:pPr>
    </w:p>
    <w:p w14:paraId="3FC0D685" w14:textId="77777777" w:rsidR="00BF7227" w:rsidRDefault="00BF7227" w:rsidP="00BF7227">
      <w:pPr>
        <w:spacing w:line="480" w:lineRule="auto"/>
        <w:jc w:val="both"/>
        <w:rPr>
          <w:rFonts w:ascii="Arial" w:hAnsi="Arial" w:cs="Arial"/>
        </w:rPr>
      </w:pPr>
    </w:p>
    <w:p w14:paraId="63F271FF" w14:textId="77777777" w:rsidR="00BF7227" w:rsidRDefault="00BF7227" w:rsidP="00BF7227">
      <w:pPr>
        <w:spacing w:line="480" w:lineRule="auto"/>
        <w:jc w:val="both"/>
        <w:rPr>
          <w:rFonts w:ascii="Arial" w:hAnsi="Arial" w:cs="Arial"/>
        </w:rPr>
      </w:pPr>
    </w:p>
    <w:p w14:paraId="670C40FD" w14:textId="77777777" w:rsidR="00BF7227" w:rsidRDefault="00BF7227" w:rsidP="00BF7227">
      <w:pPr>
        <w:spacing w:line="480" w:lineRule="auto"/>
        <w:jc w:val="both"/>
        <w:rPr>
          <w:rFonts w:ascii="Arial" w:hAnsi="Arial" w:cs="Arial"/>
        </w:rPr>
      </w:pPr>
    </w:p>
    <w:p w14:paraId="5C2625B1" w14:textId="77777777" w:rsidR="00BF7227" w:rsidRDefault="00BF7227" w:rsidP="00BF7227">
      <w:pPr>
        <w:spacing w:line="480" w:lineRule="auto"/>
        <w:jc w:val="both"/>
        <w:rPr>
          <w:rFonts w:ascii="Arial" w:hAnsi="Arial" w:cs="Arial"/>
        </w:rPr>
      </w:pPr>
    </w:p>
    <w:p w14:paraId="3E80D3D6" w14:textId="77777777" w:rsidR="001E5D0E" w:rsidRDefault="001E5D0E" w:rsidP="00BF7227">
      <w:pPr>
        <w:spacing w:line="480" w:lineRule="auto"/>
        <w:jc w:val="both"/>
        <w:rPr>
          <w:rFonts w:ascii="Arial" w:hAnsi="Arial" w:cs="Arial"/>
        </w:rPr>
      </w:pPr>
    </w:p>
    <w:p w14:paraId="6F4B9F17" w14:textId="77777777" w:rsidR="001E5D0E" w:rsidRDefault="001E5D0E" w:rsidP="00BF7227">
      <w:pPr>
        <w:spacing w:line="480" w:lineRule="auto"/>
        <w:jc w:val="both"/>
        <w:rPr>
          <w:rFonts w:ascii="Arial" w:hAnsi="Arial" w:cs="Arial"/>
        </w:rPr>
      </w:pPr>
    </w:p>
    <w:p w14:paraId="43233A34" w14:textId="77777777" w:rsidR="00A23078" w:rsidRDefault="00A23078" w:rsidP="00D40E59">
      <w:pPr>
        <w:pStyle w:val="Heading2"/>
      </w:pPr>
      <w:bookmarkStart w:id="5" w:name="_Toc383723840"/>
      <w:r w:rsidRPr="00BF7227">
        <w:lastRenderedPageBreak/>
        <w:t xml:space="preserve">List of </w:t>
      </w:r>
      <w:r>
        <w:t>abbreviations</w:t>
      </w:r>
      <w:bookmarkEnd w:id="5"/>
    </w:p>
    <w:p w14:paraId="397CB8AE" w14:textId="77777777" w:rsidR="00A23078" w:rsidRPr="00AD384E" w:rsidRDefault="00A23078" w:rsidP="00A23078"/>
    <w:tbl>
      <w:tblPr>
        <w:tblStyle w:val="TableGrid"/>
        <w:tblW w:w="100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7226"/>
      </w:tblGrid>
      <w:tr w:rsidR="00A23078" w14:paraId="1A400A87" w14:textId="77777777" w:rsidTr="007726CF">
        <w:tc>
          <w:tcPr>
            <w:tcW w:w="2802" w:type="dxa"/>
          </w:tcPr>
          <w:p w14:paraId="00C5B23F" w14:textId="77777777" w:rsidR="00A23078" w:rsidRDefault="00A23078" w:rsidP="00A23078">
            <w:pPr>
              <w:spacing w:line="480" w:lineRule="auto"/>
            </w:pPr>
            <w:r>
              <w:rPr>
                <w:rFonts w:ascii="Arial" w:hAnsi="Arial" w:cs="Arial"/>
              </w:rPr>
              <w:t>3D</w:t>
            </w:r>
          </w:p>
        </w:tc>
        <w:tc>
          <w:tcPr>
            <w:tcW w:w="7226" w:type="dxa"/>
          </w:tcPr>
          <w:p w14:paraId="3B53D5DB" w14:textId="77777777" w:rsidR="00A23078" w:rsidRPr="007C0241" w:rsidRDefault="00A23078" w:rsidP="00A23078">
            <w:pPr>
              <w:spacing w:line="480" w:lineRule="auto"/>
              <w:ind w:left="-529" w:firstLine="529"/>
              <w:rPr>
                <w:rFonts w:ascii="Arial" w:hAnsi="Arial" w:cs="Arial"/>
              </w:rPr>
            </w:pPr>
            <w:proofErr w:type="gramStart"/>
            <w:r w:rsidRPr="00C24592">
              <w:rPr>
                <w:rFonts w:ascii="Arial" w:hAnsi="Arial" w:cs="Arial"/>
              </w:rPr>
              <w:t>three</w:t>
            </w:r>
            <w:proofErr w:type="gramEnd"/>
            <w:r w:rsidRPr="00C24592">
              <w:rPr>
                <w:rFonts w:ascii="Arial" w:hAnsi="Arial" w:cs="Arial"/>
              </w:rPr>
              <w:t>-dimensiona</w:t>
            </w:r>
            <w:r>
              <w:rPr>
                <w:rFonts w:ascii="Arial" w:hAnsi="Arial" w:cs="Arial"/>
              </w:rPr>
              <w:t>l</w:t>
            </w:r>
          </w:p>
        </w:tc>
      </w:tr>
      <w:tr w:rsidR="00A23078" w14:paraId="78D09DCB" w14:textId="77777777" w:rsidTr="007726CF">
        <w:tc>
          <w:tcPr>
            <w:tcW w:w="2802" w:type="dxa"/>
          </w:tcPr>
          <w:p w14:paraId="25E0A56D" w14:textId="77777777" w:rsidR="00A23078" w:rsidRDefault="00A23078" w:rsidP="00A23078">
            <w:pPr>
              <w:spacing w:line="480" w:lineRule="auto"/>
              <w:rPr>
                <w:rFonts w:ascii="Arial" w:hAnsi="Arial" w:cs="Arial"/>
              </w:rPr>
            </w:pPr>
            <w:r>
              <w:rPr>
                <w:rFonts w:ascii="Arial" w:hAnsi="Arial" w:cs="Arial"/>
              </w:rPr>
              <w:t>AgPR</w:t>
            </w:r>
          </w:p>
        </w:tc>
        <w:tc>
          <w:tcPr>
            <w:tcW w:w="7226" w:type="dxa"/>
          </w:tcPr>
          <w:p w14:paraId="36370BE8" w14:textId="77777777" w:rsidR="00A23078" w:rsidRPr="00C24592" w:rsidRDefault="00A23078" w:rsidP="00A23078">
            <w:pPr>
              <w:spacing w:line="480" w:lineRule="auto"/>
              <w:ind w:left="-529" w:firstLine="529"/>
              <w:rPr>
                <w:rFonts w:ascii="Arial" w:hAnsi="Arial" w:cs="Arial"/>
              </w:rPr>
            </w:pPr>
            <w:proofErr w:type="gramStart"/>
            <w:r>
              <w:rPr>
                <w:rFonts w:ascii="Arial" w:hAnsi="Arial" w:cs="Arial"/>
                <w:color w:val="000000" w:themeColor="text1"/>
              </w:rPr>
              <w:t>agouti</w:t>
            </w:r>
            <w:proofErr w:type="gramEnd"/>
            <w:r>
              <w:rPr>
                <w:rFonts w:ascii="Arial" w:hAnsi="Arial" w:cs="Arial"/>
                <w:color w:val="000000" w:themeColor="text1"/>
              </w:rPr>
              <w:t>-related protein</w:t>
            </w:r>
          </w:p>
        </w:tc>
      </w:tr>
      <w:tr w:rsidR="00A23078" w14:paraId="3F3F36FA" w14:textId="77777777" w:rsidTr="007726CF">
        <w:tc>
          <w:tcPr>
            <w:tcW w:w="2802" w:type="dxa"/>
          </w:tcPr>
          <w:p w14:paraId="76425EC4" w14:textId="77777777" w:rsidR="00A23078" w:rsidRDefault="00A23078" w:rsidP="00A23078">
            <w:pPr>
              <w:spacing w:line="480" w:lineRule="auto"/>
              <w:rPr>
                <w:rFonts w:ascii="Arial" w:hAnsi="Arial" w:cs="Arial"/>
              </w:rPr>
            </w:pPr>
            <w:r w:rsidRPr="00C24592">
              <w:rPr>
                <w:rFonts w:ascii="Arial" w:hAnsi="Arial" w:cs="Arial"/>
              </w:rPr>
              <w:t>ALP</w:t>
            </w:r>
          </w:p>
        </w:tc>
        <w:tc>
          <w:tcPr>
            <w:tcW w:w="7226" w:type="dxa"/>
          </w:tcPr>
          <w:p w14:paraId="6B3A864D" w14:textId="77777777" w:rsidR="00A23078" w:rsidRPr="00C24592" w:rsidRDefault="00A23078" w:rsidP="00A23078">
            <w:pPr>
              <w:spacing w:line="480" w:lineRule="auto"/>
              <w:rPr>
                <w:rFonts w:ascii="Arial" w:hAnsi="Arial" w:cs="Arial"/>
              </w:rPr>
            </w:pPr>
            <w:proofErr w:type="gramStart"/>
            <w:r w:rsidRPr="00C24592">
              <w:rPr>
                <w:rFonts w:ascii="Arial" w:hAnsi="Arial" w:cs="Arial"/>
              </w:rPr>
              <w:t>alkaline</w:t>
            </w:r>
            <w:proofErr w:type="gramEnd"/>
            <w:r w:rsidRPr="00C24592">
              <w:rPr>
                <w:rFonts w:ascii="Arial" w:hAnsi="Arial" w:cs="Arial"/>
              </w:rPr>
              <w:t xml:space="preserve"> phosphatase</w:t>
            </w:r>
          </w:p>
        </w:tc>
      </w:tr>
      <w:tr w:rsidR="00A23078" w14:paraId="18E4E347" w14:textId="77777777" w:rsidTr="007726CF">
        <w:tc>
          <w:tcPr>
            <w:tcW w:w="2802" w:type="dxa"/>
          </w:tcPr>
          <w:p w14:paraId="772CEA29" w14:textId="77777777" w:rsidR="00A23078" w:rsidRPr="00C24592" w:rsidRDefault="00A23078" w:rsidP="00A23078">
            <w:pPr>
              <w:spacing w:line="480" w:lineRule="auto"/>
              <w:rPr>
                <w:rFonts w:ascii="Arial" w:hAnsi="Arial" w:cs="Arial"/>
              </w:rPr>
            </w:pPr>
            <w:r>
              <w:rPr>
                <w:rFonts w:ascii="Arial" w:hAnsi="Arial" w:cs="Arial"/>
              </w:rPr>
              <w:t>AMPK</w:t>
            </w:r>
          </w:p>
        </w:tc>
        <w:tc>
          <w:tcPr>
            <w:tcW w:w="7226" w:type="dxa"/>
          </w:tcPr>
          <w:p w14:paraId="112022D4" w14:textId="77777777" w:rsidR="00A23078" w:rsidRPr="00C24592" w:rsidRDefault="00A23078" w:rsidP="00A23078">
            <w:pPr>
              <w:spacing w:line="480" w:lineRule="auto"/>
              <w:rPr>
                <w:rFonts w:ascii="Arial" w:hAnsi="Arial" w:cs="Arial"/>
              </w:rPr>
            </w:pPr>
            <w:proofErr w:type="gramStart"/>
            <w:r w:rsidRPr="00D37A02">
              <w:rPr>
                <w:rFonts w:ascii="Arial" w:hAnsi="Arial" w:cs="Arial"/>
                <w:color w:val="000000"/>
                <w:shd w:val="clear" w:color="auto" w:fill="FFFFFF"/>
              </w:rPr>
              <w:t>adenosine</w:t>
            </w:r>
            <w:proofErr w:type="gramEnd"/>
            <w:r w:rsidRPr="00D37A02">
              <w:rPr>
                <w:rFonts w:ascii="Arial" w:hAnsi="Arial" w:cs="Arial"/>
                <w:color w:val="000000"/>
                <w:shd w:val="clear" w:color="auto" w:fill="FFFFFF"/>
              </w:rPr>
              <w:t xml:space="preserve"> monophosphate-activated protein kinase</w:t>
            </w:r>
          </w:p>
        </w:tc>
      </w:tr>
      <w:tr w:rsidR="00A23078" w14:paraId="5FB7F57B" w14:textId="77777777" w:rsidTr="007726CF">
        <w:tc>
          <w:tcPr>
            <w:tcW w:w="2802" w:type="dxa"/>
          </w:tcPr>
          <w:p w14:paraId="1FEFE07B" w14:textId="77777777" w:rsidR="00A23078" w:rsidRPr="00D43C0D" w:rsidRDefault="00A23078" w:rsidP="00A23078">
            <w:pPr>
              <w:spacing w:line="480" w:lineRule="auto"/>
              <w:rPr>
                <w:rFonts w:ascii="Arial" w:hAnsi="Arial" w:cs="Arial"/>
              </w:rPr>
            </w:pPr>
            <w:r w:rsidRPr="00C24592">
              <w:rPr>
                <w:rFonts w:ascii="Arial" w:hAnsi="Arial" w:cs="Arial"/>
              </w:rPr>
              <w:t xml:space="preserve">AP-1 </w:t>
            </w:r>
            <w:r>
              <w:rPr>
                <w:rFonts w:ascii="Arial" w:hAnsi="Arial" w:cs="Arial"/>
              </w:rPr>
              <w:t xml:space="preserve">               </w:t>
            </w:r>
          </w:p>
        </w:tc>
        <w:tc>
          <w:tcPr>
            <w:tcW w:w="7226" w:type="dxa"/>
          </w:tcPr>
          <w:p w14:paraId="50837F50" w14:textId="77777777" w:rsidR="00A23078" w:rsidRPr="00C24592" w:rsidRDefault="00A23078" w:rsidP="00A23078">
            <w:pPr>
              <w:tabs>
                <w:tab w:val="left" w:pos="1560"/>
              </w:tabs>
              <w:spacing w:line="480" w:lineRule="auto"/>
              <w:ind w:left="1701" w:hanging="1701"/>
              <w:rPr>
                <w:rFonts w:ascii="Arial" w:hAnsi="Arial" w:cs="Arial"/>
              </w:rPr>
            </w:pPr>
            <w:proofErr w:type="gramStart"/>
            <w:r w:rsidRPr="00C24592">
              <w:rPr>
                <w:rFonts w:ascii="Arial" w:hAnsi="Arial" w:cs="Arial"/>
              </w:rPr>
              <w:t>activator</w:t>
            </w:r>
            <w:proofErr w:type="gramEnd"/>
            <w:r w:rsidRPr="00C24592">
              <w:rPr>
                <w:rFonts w:ascii="Arial" w:hAnsi="Arial" w:cs="Arial"/>
              </w:rPr>
              <w:t xml:space="preserve"> protein 1</w:t>
            </w:r>
          </w:p>
        </w:tc>
      </w:tr>
      <w:tr w:rsidR="00A23078" w14:paraId="7AD01925" w14:textId="77777777" w:rsidTr="007726CF">
        <w:tc>
          <w:tcPr>
            <w:tcW w:w="2802" w:type="dxa"/>
          </w:tcPr>
          <w:p w14:paraId="2F514C39" w14:textId="77777777" w:rsidR="00A23078" w:rsidRPr="00C24592" w:rsidRDefault="00A23078" w:rsidP="00A23078">
            <w:pPr>
              <w:spacing w:line="480" w:lineRule="auto"/>
              <w:rPr>
                <w:rFonts w:ascii="Arial" w:hAnsi="Arial" w:cs="Arial"/>
              </w:rPr>
            </w:pPr>
            <w:r w:rsidRPr="00C24592">
              <w:rPr>
                <w:rFonts w:ascii="Arial" w:hAnsi="Arial" w:cs="Arial"/>
              </w:rPr>
              <w:t>BBB</w:t>
            </w:r>
          </w:p>
        </w:tc>
        <w:tc>
          <w:tcPr>
            <w:tcW w:w="7226" w:type="dxa"/>
          </w:tcPr>
          <w:p w14:paraId="5CE5E6B2" w14:textId="77777777" w:rsidR="00A23078" w:rsidRPr="00C24592" w:rsidRDefault="00A23078" w:rsidP="00A23078">
            <w:pPr>
              <w:tabs>
                <w:tab w:val="left" w:pos="1560"/>
              </w:tabs>
              <w:spacing w:line="480" w:lineRule="auto"/>
              <w:ind w:left="1701" w:hanging="1701"/>
              <w:rPr>
                <w:rFonts w:ascii="Arial" w:hAnsi="Arial" w:cs="Arial"/>
              </w:rPr>
            </w:pPr>
            <w:proofErr w:type="gramStart"/>
            <w:r w:rsidRPr="00C24592">
              <w:rPr>
                <w:rFonts w:ascii="Arial" w:hAnsi="Arial" w:cs="Arial"/>
              </w:rPr>
              <w:t>blood</w:t>
            </w:r>
            <w:proofErr w:type="gramEnd"/>
            <w:r w:rsidRPr="00C24592">
              <w:rPr>
                <w:rFonts w:ascii="Arial" w:hAnsi="Arial" w:cs="Arial"/>
              </w:rPr>
              <w:t>-brain-barrier</w:t>
            </w:r>
          </w:p>
        </w:tc>
      </w:tr>
      <w:tr w:rsidR="00A23078" w14:paraId="0B10D6B2" w14:textId="77777777" w:rsidTr="007726CF">
        <w:tc>
          <w:tcPr>
            <w:tcW w:w="2802" w:type="dxa"/>
          </w:tcPr>
          <w:p w14:paraId="1C61A285" w14:textId="77777777" w:rsidR="00A23078" w:rsidRPr="00C24592" w:rsidRDefault="00A23078" w:rsidP="00A23078">
            <w:pPr>
              <w:spacing w:line="480" w:lineRule="auto"/>
              <w:rPr>
                <w:rFonts w:ascii="Arial" w:hAnsi="Arial" w:cs="Arial"/>
              </w:rPr>
            </w:pPr>
            <w:r>
              <w:rPr>
                <w:rFonts w:ascii="Arial" w:hAnsi="Arial" w:cs="Arial"/>
              </w:rPr>
              <w:t>BFR/BS</w:t>
            </w:r>
          </w:p>
        </w:tc>
        <w:tc>
          <w:tcPr>
            <w:tcW w:w="7226" w:type="dxa"/>
          </w:tcPr>
          <w:p w14:paraId="68A48861" w14:textId="77777777" w:rsidR="00A23078" w:rsidRPr="00C24592" w:rsidRDefault="00A23078" w:rsidP="00A23078">
            <w:pPr>
              <w:tabs>
                <w:tab w:val="left" w:pos="1560"/>
              </w:tabs>
              <w:spacing w:line="480" w:lineRule="auto"/>
              <w:ind w:left="1701" w:hanging="1701"/>
              <w:rPr>
                <w:rFonts w:ascii="Arial" w:hAnsi="Arial" w:cs="Arial"/>
              </w:rPr>
            </w:pPr>
            <w:proofErr w:type="gramStart"/>
            <w:r>
              <w:rPr>
                <w:rFonts w:ascii="Arial" w:hAnsi="Arial" w:cs="Arial"/>
              </w:rPr>
              <w:t>bone</w:t>
            </w:r>
            <w:proofErr w:type="gramEnd"/>
            <w:r>
              <w:rPr>
                <w:rFonts w:ascii="Arial" w:hAnsi="Arial" w:cs="Arial"/>
              </w:rPr>
              <w:t xml:space="preserve"> formation rate</w:t>
            </w:r>
          </w:p>
        </w:tc>
      </w:tr>
      <w:tr w:rsidR="00A23078" w14:paraId="7CD9626B" w14:textId="77777777" w:rsidTr="007726CF">
        <w:tc>
          <w:tcPr>
            <w:tcW w:w="2802" w:type="dxa"/>
          </w:tcPr>
          <w:p w14:paraId="20091BE5" w14:textId="77777777" w:rsidR="00A23078" w:rsidRPr="00C24592" w:rsidRDefault="00A23078" w:rsidP="00A23078">
            <w:pPr>
              <w:spacing w:line="480" w:lineRule="auto"/>
              <w:rPr>
                <w:rFonts w:ascii="Arial" w:hAnsi="Arial" w:cs="Arial"/>
              </w:rPr>
            </w:pPr>
            <w:r w:rsidRPr="00C24592">
              <w:rPr>
                <w:rFonts w:ascii="Arial" w:hAnsi="Arial" w:cs="Arial"/>
                <w:color w:val="000000" w:themeColor="text1"/>
              </w:rPr>
              <w:t xml:space="preserve">BGLAP   </w:t>
            </w:r>
          </w:p>
        </w:tc>
        <w:tc>
          <w:tcPr>
            <w:tcW w:w="7226" w:type="dxa"/>
          </w:tcPr>
          <w:p w14:paraId="187FE0A2" w14:textId="77777777" w:rsidR="00A23078" w:rsidRPr="007C0241" w:rsidRDefault="00A23078" w:rsidP="00A23078">
            <w:pPr>
              <w:tabs>
                <w:tab w:val="left" w:pos="1560"/>
              </w:tabs>
              <w:spacing w:line="480" w:lineRule="auto"/>
              <w:ind w:left="1701" w:hanging="1701"/>
              <w:rPr>
                <w:rFonts w:ascii="Arial" w:hAnsi="Arial" w:cs="Arial"/>
                <w:bCs/>
                <w:color w:val="222222"/>
              </w:rPr>
            </w:pPr>
            <w:proofErr w:type="gramStart"/>
            <w:r w:rsidRPr="00C24592">
              <w:rPr>
                <w:rFonts w:ascii="Arial" w:hAnsi="Arial" w:cs="Arial"/>
                <w:bCs/>
                <w:color w:val="222222"/>
              </w:rPr>
              <w:t>bone</w:t>
            </w:r>
            <w:proofErr w:type="gramEnd"/>
            <w:r w:rsidRPr="00C24592">
              <w:rPr>
                <w:rFonts w:ascii="Arial" w:hAnsi="Arial" w:cs="Arial"/>
                <w:bCs/>
                <w:color w:val="222222"/>
              </w:rPr>
              <w:t xml:space="preserve"> gamma-carboxyglutamic acid-containing protein</w:t>
            </w:r>
          </w:p>
        </w:tc>
      </w:tr>
      <w:tr w:rsidR="00A23078" w14:paraId="5C7134E1" w14:textId="77777777" w:rsidTr="007726CF">
        <w:tc>
          <w:tcPr>
            <w:tcW w:w="2802" w:type="dxa"/>
          </w:tcPr>
          <w:p w14:paraId="3AA18C39" w14:textId="77777777" w:rsidR="00A23078" w:rsidRPr="00C24592" w:rsidRDefault="00A23078" w:rsidP="00A23078">
            <w:pPr>
              <w:spacing w:line="480" w:lineRule="auto"/>
              <w:rPr>
                <w:rFonts w:ascii="Arial" w:hAnsi="Arial" w:cs="Arial"/>
                <w:color w:val="000000" w:themeColor="text1"/>
              </w:rPr>
            </w:pPr>
            <w:r>
              <w:rPr>
                <w:rFonts w:ascii="Arial" w:hAnsi="Arial" w:cs="Arial"/>
                <w:bCs/>
                <w:color w:val="222222"/>
              </w:rPr>
              <w:t>BMD</w:t>
            </w:r>
          </w:p>
        </w:tc>
        <w:tc>
          <w:tcPr>
            <w:tcW w:w="7226" w:type="dxa"/>
          </w:tcPr>
          <w:p w14:paraId="628D292B" w14:textId="77777777" w:rsidR="00A23078" w:rsidRPr="00C24592" w:rsidRDefault="00A23078" w:rsidP="00A23078">
            <w:pPr>
              <w:tabs>
                <w:tab w:val="left" w:pos="1701"/>
              </w:tabs>
              <w:spacing w:line="480" w:lineRule="auto"/>
              <w:rPr>
                <w:rFonts w:ascii="Arial" w:hAnsi="Arial" w:cs="Arial"/>
                <w:bCs/>
                <w:color w:val="222222"/>
              </w:rPr>
            </w:pPr>
            <w:proofErr w:type="gramStart"/>
            <w:r>
              <w:rPr>
                <w:rFonts w:ascii="Arial" w:hAnsi="Arial" w:cs="Arial"/>
                <w:bCs/>
                <w:color w:val="222222"/>
              </w:rPr>
              <w:t>bone</w:t>
            </w:r>
            <w:proofErr w:type="gramEnd"/>
            <w:r>
              <w:rPr>
                <w:rFonts w:ascii="Arial" w:hAnsi="Arial" w:cs="Arial"/>
                <w:bCs/>
                <w:color w:val="222222"/>
              </w:rPr>
              <w:t xml:space="preserve"> mineral density</w:t>
            </w:r>
          </w:p>
        </w:tc>
      </w:tr>
      <w:tr w:rsidR="00A23078" w14:paraId="4E17D9DE" w14:textId="77777777" w:rsidTr="007726CF">
        <w:tc>
          <w:tcPr>
            <w:tcW w:w="2802" w:type="dxa"/>
          </w:tcPr>
          <w:p w14:paraId="7E0688E8" w14:textId="77777777" w:rsidR="00A23078" w:rsidRDefault="00A23078" w:rsidP="00A23078">
            <w:pPr>
              <w:spacing w:line="480" w:lineRule="auto"/>
              <w:rPr>
                <w:rFonts w:ascii="Arial" w:hAnsi="Arial" w:cs="Arial"/>
                <w:bCs/>
                <w:color w:val="222222"/>
              </w:rPr>
            </w:pPr>
            <w:r>
              <w:rPr>
                <w:rFonts w:ascii="Arial" w:hAnsi="Arial" w:cs="Arial"/>
                <w:bCs/>
                <w:color w:val="222222"/>
              </w:rPr>
              <w:t xml:space="preserve">BMP   </w:t>
            </w:r>
          </w:p>
        </w:tc>
        <w:tc>
          <w:tcPr>
            <w:tcW w:w="7226" w:type="dxa"/>
          </w:tcPr>
          <w:p w14:paraId="5BBF1F12" w14:textId="77777777" w:rsidR="00A23078" w:rsidRDefault="00A23078" w:rsidP="00A23078">
            <w:pPr>
              <w:tabs>
                <w:tab w:val="left" w:pos="1701"/>
              </w:tabs>
              <w:spacing w:line="480" w:lineRule="auto"/>
              <w:rPr>
                <w:rFonts w:ascii="Arial" w:hAnsi="Arial" w:cs="Arial"/>
                <w:bCs/>
                <w:color w:val="222222"/>
              </w:rPr>
            </w:pPr>
            <w:proofErr w:type="gramStart"/>
            <w:r>
              <w:rPr>
                <w:rFonts w:ascii="Arial" w:hAnsi="Arial" w:cs="Arial"/>
                <w:bCs/>
                <w:color w:val="222222"/>
              </w:rPr>
              <w:t>bone</w:t>
            </w:r>
            <w:proofErr w:type="gramEnd"/>
            <w:r>
              <w:rPr>
                <w:rFonts w:ascii="Arial" w:hAnsi="Arial" w:cs="Arial"/>
                <w:bCs/>
                <w:color w:val="222222"/>
              </w:rPr>
              <w:t xml:space="preserve"> morphogenic protein</w:t>
            </w:r>
          </w:p>
        </w:tc>
      </w:tr>
      <w:tr w:rsidR="00A23078" w14:paraId="3D56ECE2" w14:textId="77777777" w:rsidTr="007726CF">
        <w:tc>
          <w:tcPr>
            <w:tcW w:w="2802" w:type="dxa"/>
          </w:tcPr>
          <w:p w14:paraId="040DFBCF" w14:textId="77777777" w:rsidR="00A23078" w:rsidRDefault="00A23078" w:rsidP="00A23078">
            <w:pPr>
              <w:spacing w:line="480" w:lineRule="auto"/>
              <w:rPr>
                <w:rFonts w:ascii="Arial" w:hAnsi="Arial" w:cs="Arial"/>
                <w:bCs/>
                <w:color w:val="222222"/>
              </w:rPr>
            </w:pPr>
            <w:r>
              <w:rPr>
                <w:rFonts w:ascii="Arial" w:hAnsi="Arial" w:cs="Arial"/>
                <w:bCs/>
                <w:color w:val="222222"/>
              </w:rPr>
              <w:t>BMU</w:t>
            </w:r>
          </w:p>
        </w:tc>
        <w:tc>
          <w:tcPr>
            <w:tcW w:w="7226" w:type="dxa"/>
          </w:tcPr>
          <w:p w14:paraId="2781E5BB" w14:textId="77777777" w:rsidR="00A23078" w:rsidRDefault="00A23078" w:rsidP="00A23078">
            <w:pPr>
              <w:tabs>
                <w:tab w:val="left" w:pos="1701"/>
              </w:tabs>
              <w:spacing w:line="480" w:lineRule="auto"/>
              <w:rPr>
                <w:rFonts w:ascii="Arial" w:hAnsi="Arial" w:cs="Arial"/>
                <w:bCs/>
                <w:color w:val="222222"/>
              </w:rPr>
            </w:pPr>
            <w:proofErr w:type="gramStart"/>
            <w:r>
              <w:rPr>
                <w:rFonts w:ascii="Arial" w:hAnsi="Arial" w:cs="Arial"/>
                <w:bCs/>
                <w:color w:val="222222"/>
              </w:rPr>
              <w:t>basic</w:t>
            </w:r>
            <w:proofErr w:type="gramEnd"/>
            <w:r>
              <w:rPr>
                <w:rFonts w:ascii="Arial" w:hAnsi="Arial" w:cs="Arial"/>
                <w:bCs/>
                <w:color w:val="222222"/>
              </w:rPr>
              <w:t xml:space="preserve"> multicellular unit</w:t>
            </w:r>
          </w:p>
        </w:tc>
      </w:tr>
      <w:tr w:rsidR="00A23078" w14:paraId="7D632E57" w14:textId="77777777" w:rsidTr="007726CF">
        <w:tc>
          <w:tcPr>
            <w:tcW w:w="2802" w:type="dxa"/>
          </w:tcPr>
          <w:p w14:paraId="4ACA6B8C" w14:textId="77777777" w:rsidR="00A23078" w:rsidRDefault="00A23078" w:rsidP="00A23078">
            <w:pPr>
              <w:spacing w:line="480" w:lineRule="auto"/>
              <w:rPr>
                <w:rFonts w:ascii="Arial" w:hAnsi="Arial" w:cs="Arial"/>
                <w:bCs/>
                <w:color w:val="222222"/>
              </w:rPr>
            </w:pPr>
            <w:r>
              <w:rPr>
                <w:rFonts w:ascii="Arial" w:hAnsi="Arial"/>
              </w:rPr>
              <w:t>BS</w:t>
            </w:r>
          </w:p>
        </w:tc>
        <w:tc>
          <w:tcPr>
            <w:tcW w:w="7226" w:type="dxa"/>
          </w:tcPr>
          <w:p w14:paraId="528CC4B5" w14:textId="77777777" w:rsidR="00A23078" w:rsidRDefault="00A23078" w:rsidP="00A23078">
            <w:pPr>
              <w:tabs>
                <w:tab w:val="left" w:pos="1701"/>
              </w:tabs>
              <w:spacing w:line="480" w:lineRule="auto"/>
              <w:rPr>
                <w:rFonts w:ascii="Arial" w:hAnsi="Arial" w:cs="Arial"/>
                <w:bCs/>
                <w:color w:val="222222"/>
              </w:rPr>
            </w:pPr>
            <w:proofErr w:type="gramStart"/>
            <w:r>
              <w:rPr>
                <w:rFonts w:ascii="Arial" w:hAnsi="Arial"/>
              </w:rPr>
              <w:t>bone</w:t>
            </w:r>
            <w:proofErr w:type="gramEnd"/>
            <w:r>
              <w:rPr>
                <w:rFonts w:ascii="Arial" w:hAnsi="Arial"/>
              </w:rPr>
              <w:t xml:space="preserve"> surface</w:t>
            </w:r>
          </w:p>
        </w:tc>
      </w:tr>
      <w:tr w:rsidR="00A23078" w14:paraId="19FF0199" w14:textId="77777777" w:rsidTr="007726CF">
        <w:tc>
          <w:tcPr>
            <w:tcW w:w="2802" w:type="dxa"/>
          </w:tcPr>
          <w:p w14:paraId="60F5B098" w14:textId="77777777" w:rsidR="00A23078" w:rsidRDefault="00A23078" w:rsidP="00A23078">
            <w:pPr>
              <w:spacing w:line="480" w:lineRule="auto"/>
              <w:rPr>
                <w:rFonts w:ascii="Arial" w:hAnsi="Arial" w:cs="Arial"/>
                <w:bCs/>
                <w:color w:val="222222"/>
              </w:rPr>
            </w:pPr>
            <w:r>
              <w:rPr>
                <w:rFonts w:ascii="Arial" w:hAnsi="Arial" w:cs="Arial"/>
                <w:bCs/>
                <w:color w:val="222222"/>
              </w:rPr>
              <w:t>BV/TV</w:t>
            </w:r>
          </w:p>
        </w:tc>
        <w:tc>
          <w:tcPr>
            <w:tcW w:w="7226" w:type="dxa"/>
          </w:tcPr>
          <w:p w14:paraId="4C84B420" w14:textId="77777777" w:rsidR="00A23078" w:rsidRDefault="00A23078" w:rsidP="00A23078">
            <w:pPr>
              <w:tabs>
                <w:tab w:val="left" w:pos="1701"/>
              </w:tabs>
              <w:spacing w:line="480" w:lineRule="auto"/>
              <w:rPr>
                <w:rFonts w:ascii="Arial" w:hAnsi="Arial" w:cs="Arial"/>
                <w:bCs/>
                <w:color w:val="222222"/>
              </w:rPr>
            </w:pPr>
            <w:proofErr w:type="gramStart"/>
            <w:r>
              <w:rPr>
                <w:rFonts w:ascii="Arial" w:hAnsi="Arial" w:cs="Arial"/>
                <w:bCs/>
                <w:color w:val="222222"/>
              </w:rPr>
              <w:t>bone</w:t>
            </w:r>
            <w:proofErr w:type="gramEnd"/>
            <w:r>
              <w:rPr>
                <w:rFonts w:ascii="Arial" w:hAnsi="Arial" w:cs="Arial"/>
                <w:bCs/>
                <w:color w:val="222222"/>
              </w:rPr>
              <w:t xml:space="preserve"> volume fraction</w:t>
            </w:r>
          </w:p>
        </w:tc>
      </w:tr>
      <w:tr w:rsidR="00A23078" w14:paraId="1E557DA3" w14:textId="77777777" w:rsidTr="007726CF">
        <w:tc>
          <w:tcPr>
            <w:tcW w:w="2802" w:type="dxa"/>
          </w:tcPr>
          <w:p w14:paraId="66ED197B" w14:textId="77777777" w:rsidR="00A23078" w:rsidRDefault="00A23078" w:rsidP="00A23078">
            <w:pPr>
              <w:spacing w:line="480" w:lineRule="auto"/>
              <w:rPr>
                <w:rFonts w:ascii="Arial" w:hAnsi="Arial" w:cs="Arial"/>
                <w:bCs/>
                <w:color w:val="222222"/>
              </w:rPr>
            </w:pPr>
            <w:r w:rsidRPr="00EA09E7">
              <w:rPr>
                <w:rFonts w:ascii="Arial" w:hAnsi="Arial" w:cs="Arial"/>
              </w:rPr>
              <w:t xml:space="preserve">CART  </w:t>
            </w:r>
          </w:p>
        </w:tc>
        <w:tc>
          <w:tcPr>
            <w:tcW w:w="7226" w:type="dxa"/>
          </w:tcPr>
          <w:p w14:paraId="30F767CA" w14:textId="77777777" w:rsidR="00A23078" w:rsidRDefault="00A23078" w:rsidP="00A23078">
            <w:pPr>
              <w:tabs>
                <w:tab w:val="left" w:pos="1701"/>
              </w:tabs>
              <w:spacing w:line="480" w:lineRule="auto"/>
              <w:rPr>
                <w:rFonts w:ascii="Arial" w:hAnsi="Arial" w:cs="Arial"/>
                <w:bCs/>
                <w:color w:val="222222"/>
              </w:rPr>
            </w:pPr>
            <w:proofErr w:type="gramStart"/>
            <w:r w:rsidRPr="00EA09E7">
              <w:rPr>
                <w:rFonts w:ascii="Arial" w:hAnsi="Arial" w:cs="Arial"/>
                <w:bCs/>
                <w:color w:val="000000"/>
              </w:rPr>
              <w:t>cocaine</w:t>
            </w:r>
            <w:proofErr w:type="gramEnd"/>
            <w:r w:rsidRPr="00EA09E7">
              <w:rPr>
                <w:rFonts w:ascii="Arial" w:hAnsi="Arial" w:cs="Arial"/>
                <w:bCs/>
                <w:color w:val="000000"/>
              </w:rPr>
              <w:t xml:space="preserve"> and amphetamine regulated transcript</w:t>
            </w:r>
          </w:p>
        </w:tc>
      </w:tr>
      <w:tr w:rsidR="00A23078" w14:paraId="30BBD4A6" w14:textId="77777777" w:rsidTr="007726CF">
        <w:tc>
          <w:tcPr>
            <w:tcW w:w="2802" w:type="dxa"/>
          </w:tcPr>
          <w:p w14:paraId="50C1941B" w14:textId="77777777" w:rsidR="00A23078" w:rsidRPr="00EA09E7" w:rsidRDefault="00A23078" w:rsidP="00A23078">
            <w:pPr>
              <w:spacing w:line="480" w:lineRule="auto"/>
              <w:rPr>
                <w:rFonts w:ascii="Arial" w:hAnsi="Arial" w:cs="Arial"/>
              </w:rPr>
            </w:pPr>
            <w:r w:rsidRPr="00EA09E7">
              <w:rPr>
                <w:rFonts w:ascii="Arial" w:hAnsi="Arial" w:cs="Arial"/>
                <w:bCs/>
                <w:color w:val="000000"/>
              </w:rPr>
              <w:t>CCK</w:t>
            </w:r>
          </w:p>
        </w:tc>
        <w:tc>
          <w:tcPr>
            <w:tcW w:w="7226" w:type="dxa"/>
          </w:tcPr>
          <w:p w14:paraId="2D5BAAFF" w14:textId="77777777" w:rsidR="00A23078" w:rsidRPr="00EA09E7" w:rsidRDefault="00A23078" w:rsidP="00A23078">
            <w:pPr>
              <w:tabs>
                <w:tab w:val="left" w:pos="1701"/>
              </w:tabs>
              <w:spacing w:line="480" w:lineRule="auto"/>
              <w:rPr>
                <w:rFonts w:ascii="Arial" w:hAnsi="Arial" w:cs="Arial"/>
                <w:bCs/>
                <w:color w:val="000000"/>
              </w:rPr>
            </w:pPr>
            <w:proofErr w:type="gramStart"/>
            <w:r w:rsidRPr="00EA09E7">
              <w:rPr>
                <w:rFonts w:ascii="Arial" w:hAnsi="Arial" w:cs="Arial"/>
                <w:bCs/>
                <w:color w:val="000000"/>
              </w:rPr>
              <w:t>cholecystokinin</w:t>
            </w:r>
            <w:proofErr w:type="gramEnd"/>
          </w:p>
        </w:tc>
      </w:tr>
      <w:tr w:rsidR="00A23078" w14:paraId="187ABDDE" w14:textId="77777777" w:rsidTr="007726CF">
        <w:tc>
          <w:tcPr>
            <w:tcW w:w="2802" w:type="dxa"/>
          </w:tcPr>
          <w:p w14:paraId="30D9C03E" w14:textId="77777777" w:rsidR="00A23078" w:rsidRPr="00EA09E7" w:rsidRDefault="00A23078" w:rsidP="00A23078">
            <w:pPr>
              <w:spacing w:line="480" w:lineRule="auto"/>
              <w:rPr>
                <w:rFonts w:ascii="Arial" w:hAnsi="Arial" w:cs="Arial"/>
                <w:bCs/>
                <w:color w:val="000000"/>
              </w:rPr>
            </w:pPr>
            <w:r w:rsidRPr="00EA09E7">
              <w:rPr>
                <w:rFonts w:ascii="Arial" w:hAnsi="Arial" w:cs="Arial"/>
              </w:rPr>
              <w:t>CFU</w:t>
            </w:r>
          </w:p>
        </w:tc>
        <w:tc>
          <w:tcPr>
            <w:tcW w:w="7226" w:type="dxa"/>
          </w:tcPr>
          <w:p w14:paraId="2CB0DF7E" w14:textId="77777777" w:rsidR="00A23078" w:rsidRPr="00EA09E7" w:rsidRDefault="00A23078" w:rsidP="00A23078">
            <w:pPr>
              <w:tabs>
                <w:tab w:val="left" w:pos="1701"/>
              </w:tabs>
              <w:spacing w:line="480" w:lineRule="auto"/>
              <w:rPr>
                <w:rFonts w:ascii="Arial" w:hAnsi="Arial" w:cs="Arial"/>
                <w:bCs/>
                <w:color w:val="000000"/>
              </w:rPr>
            </w:pPr>
            <w:proofErr w:type="gramStart"/>
            <w:r w:rsidRPr="00EA09E7">
              <w:rPr>
                <w:rFonts w:ascii="Arial" w:hAnsi="Arial" w:cs="Arial"/>
              </w:rPr>
              <w:t>colony</w:t>
            </w:r>
            <w:proofErr w:type="gramEnd"/>
            <w:r w:rsidRPr="00EA09E7">
              <w:rPr>
                <w:rFonts w:ascii="Arial" w:hAnsi="Arial" w:cs="Arial"/>
              </w:rPr>
              <w:t xml:space="preserve"> forming units</w:t>
            </w:r>
          </w:p>
        </w:tc>
      </w:tr>
      <w:tr w:rsidR="00A23078" w14:paraId="0BE97AA4" w14:textId="77777777" w:rsidTr="007726CF">
        <w:tc>
          <w:tcPr>
            <w:tcW w:w="2802" w:type="dxa"/>
          </w:tcPr>
          <w:p w14:paraId="37D2A000" w14:textId="77777777" w:rsidR="00A23078" w:rsidRPr="00EA09E7" w:rsidRDefault="00A23078" w:rsidP="00A23078">
            <w:pPr>
              <w:spacing w:line="480" w:lineRule="auto"/>
              <w:rPr>
                <w:rFonts w:ascii="Arial" w:hAnsi="Arial" w:cs="Arial"/>
              </w:rPr>
            </w:pPr>
            <w:r w:rsidRPr="00EA09E7">
              <w:rPr>
                <w:rFonts w:ascii="Arial" w:hAnsi="Arial" w:cs="Arial"/>
              </w:rPr>
              <w:t xml:space="preserve">CNS  </w:t>
            </w:r>
          </w:p>
        </w:tc>
        <w:tc>
          <w:tcPr>
            <w:tcW w:w="7226" w:type="dxa"/>
          </w:tcPr>
          <w:p w14:paraId="2650FC3D" w14:textId="77777777" w:rsidR="00A23078" w:rsidRPr="00EA09E7" w:rsidRDefault="00A23078" w:rsidP="00A23078">
            <w:pPr>
              <w:tabs>
                <w:tab w:val="left" w:pos="1701"/>
              </w:tabs>
              <w:spacing w:line="480" w:lineRule="auto"/>
              <w:rPr>
                <w:rFonts w:ascii="Arial" w:hAnsi="Arial" w:cs="Arial"/>
              </w:rPr>
            </w:pPr>
            <w:proofErr w:type="gramStart"/>
            <w:r w:rsidRPr="00EA09E7">
              <w:rPr>
                <w:rFonts w:ascii="Arial" w:hAnsi="Arial" w:cs="Arial"/>
              </w:rPr>
              <w:t>central</w:t>
            </w:r>
            <w:proofErr w:type="gramEnd"/>
            <w:r w:rsidRPr="00EA09E7">
              <w:rPr>
                <w:rFonts w:ascii="Arial" w:hAnsi="Arial" w:cs="Arial"/>
              </w:rPr>
              <w:t xml:space="preserve"> nervous system</w:t>
            </w:r>
          </w:p>
        </w:tc>
      </w:tr>
      <w:tr w:rsidR="00A23078" w14:paraId="1F70B409" w14:textId="77777777" w:rsidTr="007726CF">
        <w:tc>
          <w:tcPr>
            <w:tcW w:w="2802" w:type="dxa"/>
          </w:tcPr>
          <w:p w14:paraId="1712AE30" w14:textId="77777777" w:rsidR="00A23078" w:rsidRPr="00EA09E7" w:rsidRDefault="00A23078" w:rsidP="00A23078">
            <w:pPr>
              <w:spacing w:line="480" w:lineRule="auto"/>
              <w:rPr>
                <w:rFonts w:ascii="Arial" w:hAnsi="Arial" w:cs="Arial"/>
              </w:rPr>
            </w:pPr>
            <w:r>
              <w:rPr>
                <w:rFonts w:ascii="Arial" w:hAnsi="Arial" w:cs="Arial"/>
              </w:rPr>
              <w:t>Ct.Ar</w:t>
            </w:r>
          </w:p>
        </w:tc>
        <w:tc>
          <w:tcPr>
            <w:tcW w:w="7226" w:type="dxa"/>
          </w:tcPr>
          <w:p w14:paraId="42B11B4A" w14:textId="77777777" w:rsidR="00A23078" w:rsidRPr="00EA09E7" w:rsidRDefault="00A23078" w:rsidP="00A23078">
            <w:pPr>
              <w:tabs>
                <w:tab w:val="left" w:pos="1701"/>
              </w:tabs>
              <w:spacing w:line="480" w:lineRule="auto"/>
              <w:rPr>
                <w:rFonts w:ascii="Arial" w:hAnsi="Arial" w:cs="Arial"/>
              </w:rPr>
            </w:pPr>
            <w:proofErr w:type="gramStart"/>
            <w:r>
              <w:rPr>
                <w:rFonts w:ascii="Arial" w:hAnsi="Arial" w:cs="Arial"/>
              </w:rPr>
              <w:t>cortical</w:t>
            </w:r>
            <w:proofErr w:type="gramEnd"/>
            <w:r>
              <w:rPr>
                <w:rFonts w:ascii="Arial" w:hAnsi="Arial" w:cs="Arial"/>
              </w:rPr>
              <w:t xml:space="preserve"> bone area</w:t>
            </w:r>
          </w:p>
        </w:tc>
      </w:tr>
      <w:tr w:rsidR="00A23078" w14:paraId="3823A295" w14:textId="77777777" w:rsidTr="007726CF">
        <w:tc>
          <w:tcPr>
            <w:tcW w:w="2802" w:type="dxa"/>
          </w:tcPr>
          <w:p w14:paraId="41B7820E" w14:textId="77777777" w:rsidR="00A23078" w:rsidRDefault="00A23078" w:rsidP="00A23078">
            <w:pPr>
              <w:spacing w:line="480" w:lineRule="auto"/>
              <w:rPr>
                <w:rFonts w:ascii="Arial" w:hAnsi="Arial" w:cs="Arial"/>
              </w:rPr>
            </w:pPr>
            <w:r>
              <w:rPr>
                <w:rFonts w:ascii="Arial" w:hAnsi="Arial" w:cs="Arial"/>
              </w:rPr>
              <w:t>Ct.Th</w:t>
            </w:r>
          </w:p>
        </w:tc>
        <w:tc>
          <w:tcPr>
            <w:tcW w:w="7226" w:type="dxa"/>
          </w:tcPr>
          <w:p w14:paraId="3805232F" w14:textId="77777777" w:rsidR="00A23078" w:rsidRDefault="00A23078" w:rsidP="00A23078">
            <w:pPr>
              <w:tabs>
                <w:tab w:val="left" w:pos="1701"/>
              </w:tabs>
              <w:spacing w:line="480" w:lineRule="auto"/>
              <w:rPr>
                <w:rFonts w:ascii="Arial" w:hAnsi="Arial" w:cs="Arial"/>
              </w:rPr>
            </w:pPr>
            <w:proofErr w:type="gramStart"/>
            <w:r>
              <w:rPr>
                <w:rFonts w:ascii="Arial" w:hAnsi="Arial" w:cs="Arial"/>
              </w:rPr>
              <w:t>cortical</w:t>
            </w:r>
            <w:proofErr w:type="gramEnd"/>
            <w:r>
              <w:rPr>
                <w:rFonts w:ascii="Arial" w:hAnsi="Arial" w:cs="Arial"/>
              </w:rPr>
              <w:t xml:space="preserve"> thickness</w:t>
            </w:r>
          </w:p>
        </w:tc>
      </w:tr>
      <w:tr w:rsidR="00A23078" w14:paraId="6013F937" w14:textId="77777777" w:rsidTr="007726CF">
        <w:tc>
          <w:tcPr>
            <w:tcW w:w="2802" w:type="dxa"/>
          </w:tcPr>
          <w:p w14:paraId="4A21062B" w14:textId="77777777" w:rsidR="00A23078" w:rsidRPr="00EA09E7" w:rsidRDefault="00A23078" w:rsidP="00A23078">
            <w:pPr>
              <w:spacing w:line="480" w:lineRule="auto"/>
              <w:rPr>
                <w:rFonts w:ascii="Arial" w:hAnsi="Arial" w:cs="Arial"/>
              </w:rPr>
            </w:pPr>
            <w:r w:rsidRPr="00EA09E7">
              <w:rPr>
                <w:rFonts w:ascii="Arial" w:hAnsi="Arial" w:cs="Arial"/>
              </w:rPr>
              <w:t>CTR</w:t>
            </w:r>
          </w:p>
        </w:tc>
        <w:tc>
          <w:tcPr>
            <w:tcW w:w="7226" w:type="dxa"/>
          </w:tcPr>
          <w:p w14:paraId="6FF689DE" w14:textId="77777777" w:rsidR="00A23078" w:rsidRPr="00D43C0D" w:rsidRDefault="00A23078" w:rsidP="00A23078">
            <w:pPr>
              <w:tabs>
                <w:tab w:val="left" w:pos="1701"/>
              </w:tabs>
              <w:spacing w:line="480" w:lineRule="auto"/>
              <w:rPr>
                <w:rFonts w:ascii="Arial" w:hAnsi="Arial" w:cs="Arial"/>
                <w:bCs/>
                <w:color w:val="000000"/>
              </w:rPr>
            </w:pPr>
            <w:proofErr w:type="gramStart"/>
            <w:r w:rsidRPr="00EA09E7">
              <w:rPr>
                <w:rFonts w:ascii="Arial" w:hAnsi="Arial" w:cs="Arial"/>
                <w:bCs/>
                <w:color w:val="000000"/>
              </w:rPr>
              <w:t>calcitonin</w:t>
            </w:r>
            <w:proofErr w:type="gramEnd"/>
            <w:r w:rsidRPr="00EA09E7">
              <w:rPr>
                <w:rFonts w:ascii="Arial" w:hAnsi="Arial" w:cs="Arial"/>
                <w:bCs/>
                <w:color w:val="000000"/>
              </w:rPr>
              <w:t xml:space="preserve"> receptor</w:t>
            </w:r>
          </w:p>
        </w:tc>
      </w:tr>
      <w:tr w:rsidR="00A23078" w14:paraId="470A99BC" w14:textId="77777777" w:rsidTr="007726CF">
        <w:tc>
          <w:tcPr>
            <w:tcW w:w="2802" w:type="dxa"/>
          </w:tcPr>
          <w:p w14:paraId="794C9EA6" w14:textId="77777777" w:rsidR="00A23078" w:rsidRPr="00EA09E7" w:rsidRDefault="00A23078" w:rsidP="00A23078">
            <w:pPr>
              <w:spacing w:line="480" w:lineRule="auto"/>
              <w:rPr>
                <w:rFonts w:ascii="Arial" w:hAnsi="Arial" w:cs="Arial"/>
              </w:rPr>
            </w:pPr>
            <w:r>
              <w:rPr>
                <w:rFonts w:ascii="Arial" w:hAnsi="Arial" w:cs="Calibri"/>
                <w:bCs/>
                <w:color w:val="000000"/>
              </w:rPr>
              <w:t>CTX</w:t>
            </w:r>
          </w:p>
        </w:tc>
        <w:tc>
          <w:tcPr>
            <w:tcW w:w="7226" w:type="dxa"/>
          </w:tcPr>
          <w:p w14:paraId="0B6F472F" w14:textId="77777777" w:rsidR="00A23078" w:rsidRPr="00EA09E7" w:rsidRDefault="00A23078" w:rsidP="00A23078">
            <w:pPr>
              <w:tabs>
                <w:tab w:val="left" w:pos="1701"/>
              </w:tabs>
              <w:spacing w:line="480" w:lineRule="auto"/>
              <w:rPr>
                <w:rFonts w:ascii="Arial" w:hAnsi="Arial" w:cs="Arial"/>
                <w:bCs/>
                <w:color w:val="000000"/>
              </w:rPr>
            </w:pPr>
            <w:r>
              <w:rPr>
                <w:rFonts w:ascii="Arial" w:hAnsi="Arial" w:cs="Calibri"/>
                <w:bCs/>
                <w:color w:val="000000"/>
              </w:rPr>
              <w:t>C-terminal telopeptide</w:t>
            </w:r>
          </w:p>
        </w:tc>
      </w:tr>
      <w:tr w:rsidR="00A23078" w14:paraId="3872BF3A" w14:textId="77777777" w:rsidTr="007726CF">
        <w:tc>
          <w:tcPr>
            <w:tcW w:w="2802" w:type="dxa"/>
          </w:tcPr>
          <w:p w14:paraId="7CB89BF5" w14:textId="77777777" w:rsidR="00A23078" w:rsidRPr="00AD384E" w:rsidRDefault="00A23078" w:rsidP="00A23078">
            <w:pPr>
              <w:spacing w:line="480" w:lineRule="auto"/>
              <w:rPr>
                <w:rFonts w:ascii="Arial" w:hAnsi="Arial" w:cs="Arial"/>
              </w:rPr>
            </w:pPr>
            <w:r w:rsidRPr="00EA09E7">
              <w:rPr>
                <w:rFonts w:ascii="Arial" w:hAnsi="Arial" w:cs="Arial"/>
              </w:rPr>
              <w:t xml:space="preserve">DEXA </w:t>
            </w:r>
            <w:r>
              <w:rPr>
                <w:rFonts w:ascii="Arial" w:hAnsi="Arial" w:cs="Arial"/>
              </w:rPr>
              <w:t xml:space="preserve">    </w:t>
            </w:r>
          </w:p>
        </w:tc>
        <w:tc>
          <w:tcPr>
            <w:tcW w:w="7226" w:type="dxa"/>
          </w:tcPr>
          <w:p w14:paraId="5143FDF7" w14:textId="77777777" w:rsidR="00A23078" w:rsidRPr="00AD384E" w:rsidRDefault="00A23078" w:rsidP="00A23078">
            <w:pPr>
              <w:tabs>
                <w:tab w:val="left" w:pos="1701"/>
              </w:tabs>
              <w:spacing w:line="480" w:lineRule="auto"/>
              <w:rPr>
                <w:rFonts w:ascii="Arial" w:hAnsi="Arial" w:cs="Arial"/>
              </w:rPr>
            </w:pPr>
            <w:proofErr w:type="gramStart"/>
            <w:r w:rsidRPr="00EA09E7">
              <w:rPr>
                <w:rFonts w:ascii="Arial" w:hAnsi="Arial" w:cs="Arial"/>
              </w:rPr>
              <w:t>dual</w:t>
            </w:r>
            <w:proofErr w:type="gramEnd"/>
            <w:r w:rsidRPr="00EA09E7">
              <w:rPr>
                <w:rFonts w:ascii="Arial" w:hAnsi="Arial" w:cs="Arial"/>
              </w:rPr>
              <w:t>-energy x-ray absorptiometry</w:t>
            </w:r>
          </w:p>
        </w:tc>
      </w:tr>
      <w:tr w:rsidR="00A23078" w14:paraId="5AAC7894" w14:textId="77777777" w:rsidTr="007726CF">
        <w:tc>
          <w:tcPr>
            <w:tcW w:w="2802" w:type="dxa"/>
          </w:tcPr>
          <w:p w14:paraId="251EED63" w14:textId="77777777" w:rsidR="00A23078" w:rsidRPr="00EA09E7" w:rsidRDefault="00A23078" w:rsidP="00A23078">
            <w:pPr>
              <w:rPr>
                <w:rFonts w:ascii="Arial" w:hAnsi="Arial" w:cs="Arial"/>
              </w:rPr>
            </w:pPr>
            <w:proofErr w:type="gramStart"/>
            <w:r>
              <w:rPr>
                <w:rFonts w:ascii="Arial" w:eastAsiaTheme="minorHAnsi" w:hAnsi="Arial"/>
                <w:bCs/>
              </w:rPr>
              <w:t>dH</w:t>
            </w:r>
            <w:r>
              <w:rPr>
                <w:rFonts w:ascii="Arial" w:eastAsiaTheme="minorHAnsi" w:hAnsi="Arial"/>
                <w:bCs/>
                <w:vertAlign w:val="subscript"/>
              </w:rPr>
              <w:t>2</w:t>
            </w:r>
            <w:r>
              <w:rPr>
                <w:rFonts w:ascii="Arial" w:eastAsiaTheme="minorHAnsi" w:hAnsi="Arial"/>
                <w:bCs/>
              </w:rPr>
              <w:t>O</w:t>
            </w:r>
            <w:proofErr w:type="gramEnd"/>
          </w:p>
        </w:tc>
        <w:tc>
          <w:tcPr>
            <w:tcW w:w="7226" w:type="dxa"/>
          </w:tcPr>
          <w:p w14:paraId="2E85B639" w14:textId="77777777" w:rsidR="00A23078" w:rsidRPr="00EA09E7" w:rsidRDefault="00A23078" w:rsidP="00A23078">
            <w:pPr>
              <w:tabs>
                <w:tab w:val="left" w:pos="1701"/>
              </w:tabs>
              <w:spacing w:line="480" w:lineRule="auto"/>
              <w:rPr>
                <w:rFonts w:ascii="Arial" w:hAnsi="Arial" w:cs="Arial"/>
              </w:rPr>
            </w:pPr>
            <w:proofErr w:type="gramStart"/>
            <w:r>
              <w:rPr>
                <w:rFonts w:ascii="Arial" w:hAnsi="Arial" w:cs="Arial"/>
                <w:color w:val="000000" w:themeColor="text1"/>
              </w:rPr>
              <w:t>distilled</w:t>
            </w:r>
            <w:proofErr w:type="gramEnd"/>
            <w:r>
              <w:rPr>
                <w:rFonts w:ascii="Arial" w:hAnsi="Arial" w:cs="Arial"/>
                <w:color w:val="000000" w:themeColor="text1"/>
              </w:rPr>
              <w:t xml:space="preserve"> water</w:t>
            </w:r>
          </w:p>
        </w:tc>
      </w:tr>
      <w:tr w:rsidR="00A23078" w14:paraId="54477D5E" w14:textId="77777777" w:rsidTr="007726CF">
        <w:tc>
          <w:tcPr>
            <w:tcW w:w="2802" w:type="dxa"/>
          </w:tcPr>
          <w:p w14:paraId="259AB7BC" w14:textId="77777777" w:rsidR="00A23078" w:rsidRDefault="00A23078" w:rsidP="00A23078">
            <w:pPr>
              <w:rPr>
                <w:rFonts w:ascii="Arial" w:eastAsiaTheme="minorHAnsi" w:hAnsi="Arial"/>
                <w:bCs/>
              </w:rPr>
            </w:pPr>
            <w:proofErr w:type="gramStart"/>
            <w:r>
              <w:rPr>
                <w:rFonts w:ascii="Arial" w:hAnsi="Arial"/>
              </w:rPr>
              <w:t>dLS</w:t>
            </w:r>
            <w:proofErr w:type="gramEnd"/>
          </w:p>
        </w:tc>
        <w:tc>
          <w:tcPr>
            <w:tcW w:w="7226" w:type="dxa"/>
          </w:tcPr>
          <w:p w14:paraId="3B876557" w14:textId="77777777" w:rsidR="00A23078" w:rsidRDefault="00981AF9" w:rsidP="00A23078">
            <w:pPr>
              <w:tabs>
                <w:tab w:val="left" w:pos="1701"/>
              </w:tabs>
              <w:spacing w:line="480" w:lineRule="auto"/>
              <w:rPr>
                <w:rFonts w:ascii="Arial" w:hAnsi="Arial" w:cs="Arial"/>
                <w:color w:val="000000" w:themeColor="text1"/>
              </w:rPr>
            </w:pPr>
            <w:proofErr w:type="gramStart"/>
            <w:r>
              <w:rPr>
                <w:rFonts w:ascii="Arial" w:hAnsi="Arial"/>
              </w:rPr>
              <w:t>double</w:t>
            </w:r>
            <w:proofErr w:type="gramEnd"/>
            <w:r>
              <w:rPr>
                <w:rFonts w:ascii="Arial" w:hAnsi="Arial"/>
              </w:rPr>
              <w:t>-labe</w:t>
            </w:r>
            <w:r w:rsidR="00A23078">
              <w:rPr>
                <w:rFonts w:ascii="Arial" w:hAnsi="Arial"/>
              </w:rPr>
              <w:t>led surface</w:t>
            </w:r>
          </w:p>
        </w:tc>
      </w:tr>
      <w:tr w:rsidR="00A23078" w14:paraId="21B1B360" w14:textId="77777777" w:rsidTr="007726CF">
        <w:tc>
          <w:tcPr>
            <w:tcW w:w="2802" w:type="dxa"/>
          </w:tcPr>
          <w:p w14:paraId="55A152EB" w14:textId="77777777" w:rsidR="00A23078" w:rsidRDefault="00A23078" w:rsidP="00A23078">
            <w:pPr>
              <w:rPr>
                <w:rFonts w:ascii="Arial" w:eastAsiaTheme="minorHAnsi" w:hAnsi="Arial"/>
                <w:bCs/>
              </w:rPr>
            </w:pPr>
            <w:r w:rsidRPr="00331ED8">
              <w:rPr>
                <w:rFonts w:ascii="Arial" w:hAnsi="Arial" w:cs="Arial"/>
              </w:rPr>
              <w:lastRenderedPageBreak/>
              <w:t>ELISA</w:t>
            </w:r>
          </w:p>
        </w:tc>
        <w:tc>
          <w:tcPr>
            <w:tcW w:w="7226" w:type="dxa"/>
          </w:tcPr>
          <w:p w14:paraId="28F6DE0F" w14:textId="77777777" w:rsidR="00A23078" w:rsidRDefault="00A23078" w:rsidP="00A23078">
            <w:pPr>
              <w:tabs>
                <w:tab w:val="left" w:pos="1701"/>
              </w:tabs>
              <w:spacing w:line="480" w:lineRule="auto"/>
              <w:rPr>
                <w:rFonts w:ascii="Arial" w:hAnsi="Arial" w:cs="Arial"/>
                <w:color w:val="000000" w:themeColor="text1"/>
              </w:rPr>
            </w:pPr>
            <w:proofErr w:type="gramStart"/>
            <w:r>
              <w:rPr>
                <w:rFonts w:ascii="Arial" w:hAnsi="Arial" w:cs="Arial"/>
              </w:rPr>
              <w:t>enzyme</w:t>
            </w:r>
            <w:proofErr w:type="gramEnd"/>
            <w:r>
              <w:rPr>
                <w:rFonts w:ascii="Arial" w:hAnsi="Arial" w:cs="Arial"/>
              </w:rPr>
              <w:t xml:space="preserve"> linked immunosorbent assay</w:t>
            </w:r>
          </w:p>
        </w:tc>
      </w:tr>
      <w:tr w:rsidR="00A23078" w14:paraId="71AFF7CE" w14:textId="77777777" w:rsidTr="007726CF">
        <w:tc>
          <w:tcPr>
            <w:tcW w:w="2802" w:type="dxa"/>
          </w:tcPr>
          <w:p w14:paraId="393B401E" w14:textId="77777777" w:rsidR="00A23078" w:rsidRPr="00EA09E7" w:rsidRDefault="00A23078" w:rsidP="00A23078">
            <w:pPr>
              <w:spacing w:line="480" w:lineRule="auto"/>
              <w:rPr>
                <w:rFonts w:ascii="Arial" w:hAnsi="Arial" w:cs="Arial"/>
              </w:rPr>
            </w:pPr>
            <w:r w:rsidRPr="00470A5F">
              <w:rPr>
                <w:rFonts w:ascii="Arial" w:eastAsiaTheme="minorHAnsi" w:hAnsi="Arial"/>
                <w:bCs/>
              </w:rPr>
              <w:t>EOH</w:t>
            </w:r>
          </w:p>
        </w:tc>
        <w:tc>
          <w:tcPr>
            <w:tcW w:w="7226" w:type="dxa"/>
          </w:tcPr>
          <w:p w14:paraId="31179B5C" w14:textId="77777777" w:rsidR="00A23078" w:rsidRPr="00EA09E7" w:rsidRDefault="00A23078" w:rsidP="00A23078">
            <w:pPr>
              <w:tabs>
                <w:tab w:val="left" w:pos="1701"/>
              </w:tabs>
              <w:spacing w:line="480" w:lineRule="auto"/>
              <w:rPr>
                <w:rFonts w:ascii="Arial" w:hAnsi="Arial" w:cs="Arial"/>
              </w:rPr>
            </w:pPr>
            <w:proofErr w:type="gramStart"/>
            <w:r>
              <w:rPr>
                <w:rFonts w:ascii="Arial" w:eastAsiaTheme="minorHAnsi" w:hAnsi="Arial"/>
                <w:bCs/>
              </w:rPr>
              <w:t>e</w:t>
            </w:r>
            <w:r w:rsidRPr="00470A5F">
              <w:rPr>
                <w:rFonts w:ascii="Arial" w:eastAsiaTheme="minorHAnsi" w:hAnsi="Arial"/>
                <w:bCs/>
              </w:rPr>
              <w:t>thanol</w:t>
            </w:r>
            <w:proofErr w:type="gramEnd"/>
          </w:p>
        </w:tc>
      </w:tr>
      <w:tr w:rsidR="00A23078" w14:paraId="49297DEA" w14:textId="77777777" w:rsidTr="007726CF">
        <w:tc>
          <w:tcPr>
            <w:tcW w:w="2802" w:type="dxa"/>
          </w:tcPr>
          <w:p w14:paraId="06C27C72" w14:textId="77777777" w:rsidR="00A23078" w:rsidRPr="00EA09E7" w:rsidRDefault="00A23078" w:rsidP="00A23078">
            <w:pPr>
              <w:spacing w:line="480" w:lineRule="auto"/>
              <w:rPr>
                <w:rFonts w:ascii="Arial" w:hAnsi="Arial" w:cs="Arial"/>
              </w:rPr>
            </w:pPr>
            <w:r>
              <w:rPr>
                <w:rFonts w:ascii="Arial" w:hAnsi="Arial" w:cs="Arial"/>
              </w:rPr>
              <w:t>FGF23</w:t>
            </w:r>
          </w:p>
        </w:tc>
        <w:tc>
          <w:tcPr>
            <w:tcW w:w="7226" w:type="dxa"/>
          </w:tcPr>
          <w:p w14:paraId="6E2CD663" w14:textId="77777777" w:rsidR="00A23078" w:rsidRPr="00EA09E7" w:rsidRDefault="00A23078" w:rsidP="00A23078">
            <w:pPr>
              <w:tabs>
                <w:tab w:val="left" w:pos="1701"/>
              </w:tabs>
              <w:spacing w:line="480" w:lineRule="auto"/>
              <w:rPr>
                <w:rFonts w:ascii="Arial" w:hAnsi="Arial" w:cs="Arial"/>
              </w:rPr>
            </w:pPr>
            <w:proofErr w:type="gramStart"/>
            <w:r>
              <w:rPr>
                <w:rFonts w:ascii="Arial" w:hAnsi="Arial" w:cs="Arial"/>
              </w:rPr>
              <w:t>fibroblast</w:t>
            </w:r>
            <w:proofErr w:type="gramEnd"/>
            <w:r>
              <w:rPr>
                <w:rFonts w:ascii="Arial" w:hAnsi="Arial" w:cs="Arial"/>
              </w:rPr>
              <w:t xml:space="preserve"> growth factor 23</w:t>
            </w:r>
          </w:p>
        </w:tc>
      </w:tr>
      <w:tr w:rsidR="00A23078" w14:paraId="6C337FFF" w14:textId="77777777" w:rsidTr="007726CF">
        <w:tc>
          <w:tcPr>
            <w:tcW w:w="2802" w:type="dxa"/>
          </w:tcPr>
          <w:p w14:paraId="57D04DDA" w14:textId="77777777" w:rsidR="00A23078" w:rsidRDefault="00A23078" w:rsidP="00A23078">
            <w:pPr>
              <w:spacing w:line="480" w:lineRule="auto"/>
              <w:rPr>
                <w:rFonts w:ascii="Arial" w:hAnsi="Arial" w:cs="Arial"/>
              </w:rPr>
            </w:pPr>
            <w:r w:rsidRPr="00EA09E7">
              <w:rPr>
                <w:rFonts w:ascii="Arial" w:hAnsi="Arial" w:cs="Arial"/>
              </w:rPr>
              <w:t>FSD</w:t>
            </w:r>
          </w:p>
        </w:tc>
        <w:tc>
          <w:tcPr>
            <w:tcW w:w="7226" w:type="dxa"/>
          </w:tcPr>
          <w:p w14:paraId="6D4787D9" w14:textId="77777777" w:rsidR="00A23078" w:rsidRDefault="00A23078" w:rsidP="00A23078">
            <w:pPr>
              <w:tabs>
                <w:tab w:val="left" w:pos="1701"/>
              </w:tabs>
              <w:spacing w:line="480" w:lineRule="auto"/>
              <w:rPr>
                <w:rFonts w:ascii="Arial" w:hAnsi="Arial" w:cs="Arial"/>
              </w:rPr>
            </w:pPr>
            <w:proofErr w:type="gramStart"/>
            <w:r w:rsidRPr="00EA09E7">
              <w:rPr>
                <w:rFonts w:ascii="Arial" w:hAnsi="Arial" w:cs="Arial"/>
              </w:rPr>
              <w:t>functional</w:t>
            </w:r>
            <w:proofErr w:type="gramEnd"/>
            <w:r w:rsidRPr="00EA09E7">
              <w:rPr>
                <w:rFonts w:ascii="Arial" w:hAnsi="Arial" w:cs="Arial"/>
              </w:rPr>
              <w:t xml:space="preserve"> secretory domain</w:t>
            </w:r>
          </w:p>
        </w:tc>
      </w:tr>
      <w:tr w:rsidR="00A23078" w14:paraId="0B9F5226" w14:textId="77777777" w:rsidTr="007726CF">
        <w:tc>
          <w:tcPr>
            <w:tcW w:w="2802" w:type="dxa"/>
          </w:tcPr>
          <w:p w14:paraId="0EC256B2" w14:textId="77777777" w:rsidR="00A23078" w:rsidRPr="00EA09E7" w:rsidRDefault="00A23078" w:rsidP="00A23078">
            <w:pPr>
              <w:spacing w:line="480" w:lineRule="auto"/>
              <w:rPr>
                <w:rFonts w:ascii="Arial" w:hAnsi="Arial" w:cs="Arial"/>
              </w:rPr>
            </w:pPr>
            <w:r>
              <w:rPr>
                <w:rFonts w:ascii="Arial" w:hAnsi="Arial" w:cs="Arial"/>
              </w:rPr>
              <w:t xml:space="preserve">GH   </w:t>
            </w:r>
          </w:p>
        </w:tc>
        <w:tc>
          <w:tcPr>
            <w:tcW w:w="7226" w:type="dxa"/>
          </w:tcPr>
          <w:p w14:paraId="5084A449" w14:textId="77777777" w:rsidR="00A23078" w:rsidRPr="00EA09E7" w:rsidRDefault="00A23078" w:rsidP="00A23078">
            <w:pPr>
              <w:tabs>
                <w:tab w:val="left" w:pos="1701"/>
              </w:tabs>
              <w:spacing w:line="480" w:lineRule="auto"/>
              <w:rPr>
                <w:rFonts w:ascii="Arial" w:hAnsi="Arial" w:cs="Arial"/>
              </w:rPr>
            </w:pPr>
            <w:proofErr w:type="gramStart"/>
            <w:r>
              <w:rPr>
                <w:rFonts w:ascii="Arial" w:hAnsi="Arial" w:cs="Arial"/>
              </w:rPr>
              <w:t>growth</w:t>
            </w:r>
            <w:proofErr w:type="gramEnd"/>
            <w:r>
              <w:rPr>
                <w:rFonts w:ascii="Arial" w:hAnsi="Arial" w:cs="Arial"/>
              </w:rPr>
              <w:t xml:space="preserve"> hormone</w:t>
            </w:r>
          </w:p>
        </w:tc>
      </w:tr>
      <w:tr w:rsidR="00A23078" w14:paraId="0E3EE280" w14:textId="77777777" w:rsidTr="007726CF">
        <w:tc>
          <w:tcPr>
            <w:tcW w:w="2802" w:type="dxa"/>
          </w:tcPr>
          <w:p w14:paraId="7A1F362C" w14:textId="77777777" w:rsidR="00A23078" w:rsidRDefault="00A23078" w:rsidP="00A23078">
            <w:pPr>
              <w:spacing w:line="480" w:lineRule="auto"/>
              <w:rPr>
                <w:rFonts w:ascii="Arial" w:hAnsi="Arial" w:cs="Arial"/>
              </w:rPr>
            </w:pPr>
            <w:r w:rsidRPr="00EA09E7">
              <w:rPr>
                <w:rFonts w:ascii="Arial" w:hAnsi="Arial" w:cs="Arial"/>
                <w:bCs/>
              </w:rPr>
              <w:t xml:space="preserve">GHS-R           </w:t>
            </w:r>
            <w:r>
              <w:rPr>
                <w:rFonts w:ascii="Arial" w:hAnsi="Arial" w:cs="Arial"/>
                <w:bCs/>
              </w:rPr>
              <w:t xml:space="preserve">    </w:t>
            </w:r>
          </w:p>
        </w:tc>
        <w:tc>
          <w:tcPr>
            <w:tcW w:w="7226" w:type="dxa"/>
          </w:tcPr>
          <w:p w14:paraId="1A6E22EF" w14:textId="77777777" w:rsidR="00A23078" w:rsidRDefault="00A23078" w:rsidP="00A23078">
            <w:pPr>
              <w:tabs>
                <w:tab w:val="left" w:pos="1701"/>
              </w:tabs>
              <w:spacing w:line="480" w:lineRule="auto"/>
              <w:rPr>
                <w:rFonts w:ascii="Arial" w:hAnsi="Arial" w:cs="Arial"/>
              </w:rPr>
            </w:pPr>
            <w:proofErr w:type="gramStart"/>
            <w:r w:rsidRPr="00EA09E7">
              <w:rPr>
                <w:rFonts w:ascii="Arial" w:hAnsi="Arial" w:cs="Arial"/>
                <w:bCs/>
              </w:rPr>
              <w:t>growth</w:t>
            </w:r>
            <w:proofErr w:type="gramEnd"/>
            <w:r w:rsidRPr="00EA09E7">
              <w:rPr>
                <w:rFonts w:ascii="Arial" w:hAnsi="Arial" w:cs="Arial"/>
                <w:bCs/>
              </w:rPr>
              <w:t xml:space="preserve"> hormone secretagogue receptor</w:t>
            </w:r>
          </w:p>
        </w:tc>
      </w:tr>
      <w:tr w:rsidR="00A23078" w14:paraId="493C4675" w14:textId="77777777" w:rsidTr="007726CF">
        <w:tc>
          <w:tcPr>
            <w:tcW w:w="2802" w:type="dxa"/>
          </w:tcPr>
          <w:p w14:paraId="1D83FA68" w14:textId="77777777" w:rsidR="00A23078" w:rsidRPr="00EA09E7" w:rsidRDefault="00A23078" w:rsidP="00A23078">
            <w:pPr>
              <w:spacing w:line="480" w:lineRule="auto"/>
              <w:rPr>
                <w:rFonts w:ascii="Arial" w:hAnsi="Arial" w:cs="Arial"/>
                <w:bCs/>
              </w:rPr>
            </w:pPr>
            <w:r w:rsidRPr="00EA09E7">
              <w:rPr>
                <w:rFonts w:ascii="Arial" w:hAnsi="Arial" w:cs="Arial"/>
              </w:rPr>
              <w:t xml:space="preserve">GI      </w:t>
            </w:r>
          </w:p>
        </w:tc>
        <w:tc>
          <w:tcPr>
            <w:tcW w:w="7226" w:type="dxa"/>
          </w:tcPr>
          <w:p w14:paraId="6B2A1A35" w14:textId="77777777" w:rsidR="00A23078" w:rsidRPr="004A5EA5" w:rsidRDefault="00A23078" w:rsidP="00A23078">
            <w:pPr>
              <w:spacing w:line="480" w:lineRule="auto"/>
              <w:rPr>
                <w:rFonts w:ascii="Arial" w:hAnsi="Arial" w:cs="Arial"/>
              </w:rPr>
            </w:pPr>
            <w:proofErr w:type="gramStart"/>
            <w:r w:rsidRPr="00EA09E7">
              <w:rPr>
                <w:rFonts w:ascii="Arial" w:hAnsi="Arial" w:cs="Arial"/>
              </w:rPr>
              <w:t>gastrointestinal</w:t>
            </w:r>
            <w:proofErr w:type="gramEnd"/>
            <w:r w:rsidRPr="00EA09E7">
              <w:rPr>
                <w:rFonts w:ascii="Arial" w:hAnsi="Arial" w:cs="Arial"/>
              </w:rPr>
              <w:t xml:space="preserve"> </w:t>
            </w:r>
          </w:p>
        </w:tc>
      </w:tr>
      <w:tr w:rsidR="00A23078" w14:paraId="6B20566A" w14:textId="77777777" w:rsidTr="007726CF">
        <w:tc>
          <w:tcPr>
            <w:tcW w:w="2802" w:type="dxa"/>
          </w:tcPr>
          <w:p w14:paraId="2867E33A" w14:textId="77777777" w:rsidR="00A23078" w:rsidRPr="00EA09E7" w:rsidRDefault="00A23078" w:rsidP="00A23078">
            <w:pPr>
              <w:spacing w:line="480" w:lineRule="auto"/>
              <w:rPr>
                <w:rFonts w:ascii="Arial" w:hAnsi="Arial" w:cs="Arial"/>
              </w:rPr>
            </w:pPr>
            <w:r w:rsidRPr="00EA09E7">
              <w:rPr>
                <w:rFonts w:ascii="Arial" w:hAnsi="Arial" w:cs="Arial"/>
              </w:rPr>
              <w:t xml:space="preserve">GIP   </w:t>
            </w:r>
          </w:p>
        </w:tc>
        <w:tc>
          <w:tcPr>
            <w:tcW w:w="7226" w:type="dxa"/>
          </w:tcPr>
          <w:p w14:paraId="3484F10D" w14:textId="77777777" w:rsidR="00A23078" w:rsidRPr="00EA09E7" w:rsidRDefault="00A23078" w:rsidP="00A23078">
            <w:pPr>
              <w:spacing w:line="480" w:lineRule="auto"/>
              <w:rPr>
                <w:rFonts w:ascii="Arial" w:hAnsi="Arial" w:cs="Arial"/>
              </w:rPr>
            </w:pPr>
            <w:proofErr w:type="gramStart"/>
            <w:r w:rsidRPr="00EA09E7">
              <w:rPr>
                <w:rFonts w:ascii="Arial" w:hAnsi="Arial" w:cs="Arial"/>
                <w:bCs/>
                <w:color w:val="000000"/>
              </w:rPr>
              <w:t>glucose</w:t>
            </w:r>
            <w:proofErr w:type="gramEnd"/>
            <w:r w:rsidRPr="00EA09E7">
              <w:rPr>
                <w:rFonts w:ascii="Arial" w:hAnsi="Arial" w:cs="Arial"/>
                <w:bCs/>
                <w:color w:val="000000"/>
              </w:rPr>
              <w:t>-dependent insulinotropic polypeptide</w:t>
            </w:r>
          </w:p>
        </w:tc>
      </w:tr>
      <w:tr w:rsidR="00A23078" w14:paraId="3AF252E6" w14:textId="77777777" w:rsidTr="007726CF">
        <w:tc>
          <w:tcPr>
            <w:tcW w:w="2802" w:type="dxa"/>
          </w:tcPr>
          <w:p w14:paraId="52A0006A" w14:textId="77777777" w:rsidR="00A23078" w:rsidRPr="00EA09E7" w:rsidRDefault="00A23078" w:rsidP="00A23078">
            <w:pPr>
              <w:spacing w:line="480" w:lineRule="auto"/>
              <w:rPr>
                <w:rFonts w:ascii="Arial" w:hAnsi="Arial" w:cs="Arial"/>
              </w:rPr>
            </w:pPr>
            <w:r w:rsidRPr="00EA09E7">
              <w:rPr>
                <w:rFonts w:ascii="Arial" w:hAnsi="Arial" w:cs="Arial"/>
                <w:bCs/>
                <w:color w:val="000000"/>
              </w:rPr>
              <w:t>GLP1</w:t>
            </w:r>
          </w:p>
        </w:tc>
        <w:tc>
          <w:tcPr>
            <w:tcW w:w="7226" w:type="dxa"/>
          </w:tcPr>
          <w:p w14:paraId="5F3CCF87" w14:textId="77777777" w:rsidR="00A23078" w:rsidRPr="00EA09E7" w:rsidRDefault="00A23078" w:rsidP="00A23078">
            <w:pPr>
              <w:spacing w:line="480" w:lineRule="auto"/>
              <w:rPr>
                <w:rFonts w:ascii="Arial" w:hAnsi="Arial" w:cs="Arial"/>
                <w:bCs/>
                <w:color w:val="000000"/>
              </w:rPr>
            </w:pPr>
            <w:proofErr w:type="gramStart"/>
            <w:r w:rsidRPr="00EA09E7">
              <w:rPr>
                <w:rFonts w:ascii="Arial" w:hAnsi="Arial" w:cs="Arial"/>
                <w:bCs/>
                <w:color w:val="000000"/>
              </w:rPr>
              <w:t>glucagon</w:t>
            </w:r>
            <w:proofErr w:type="gramEnd"/>
            <w:r w:rsidRPr="00EA09E7">
              <w:rPr>
                <w:rFonts w:ascii="Arial" w:hAnsi="Arial" w:cs="Arial"/>
                <w:bCs/>
                <w:color w:val="000000"/>
              </w:rPr>
              <w:t>-like peptide 1</w:t>
            </w:r>
          </w:p>
        </w:tc>
      </w:tr>
      <w:tr w:rsidR="00A23078" w14:paraId="012940D3" w14:textId="77777777" w:rsidTr="007726CF">
        <w:tc>
          <w:tcPr>
            <w:tcW w:w="2802" w:type="dxa"/>
          </w:tcPr>
          <w:p w14:paraId="7D6307C2" w14:textId="77777777" w:rsidR="00A23078" w:rsidRPr="004B72F8" w:rsidRDefault="00A23078" w:rsidP="00A23078">
            <w:pPr>
              <w:spacing w:line="480" w:lineRule="auto"/>
              <w:rPr>
                <w:rFonts w:ascii="Arial" w:hAnsi="Arial" w:cs="Arial"/>
                <w:bCs/>
                <w:color w:val="000000"/>
              </w:rPr>
            </w:pPr>
            <w:r w:rsidRPr="000B3A94">
              <w:rPr>
                <w:rFonts w:ascii="Arial" w:hAnsi="Arial" w:cs="Arial"/>
                <w:bCs/>
                <w:color w:val="000000"/>
              </w:rPr>
              <w:t>GLP2</w:t>
            </w:r>
          </w:p>
        </w:tc>
        <w:tc>
          <w:tcPr>
            <w:tcW w:w="7226" w:type="dxa"/>
          </w:tcPr>
          <w:p w14:paraId="5B2DA53F" w14:textId="77777777" w:rsidR="00A23078" w:rsidRPr="000B3A94" w:rsidRDefault="00A23078" w:rsidP="00A23078">
            <w:pPr>
              <w:tabs>
                <w:tab w:val="left" w:pos="6064"/>
              </w:tabs>
              <w:spacing w:line="480" w:lineRule="auto"/>
              <w:rPr>
                <w:rFonts w:ascii="Arial" w:hAnsi="Arial" w:cs="Arial"/>
                <w:bCs/>
                <w:color w:val="000000"/>
              </w:rPr>
            </w:pPr>
            <w:proofErr w:type="gramStart"/>
            <w:r w:rsidRPr="000B3A94">
              <w:rPr>
                <w:rFonts w:ascii="Arial" w:hAnsi="Arial" w:cs="Arial"/>
                <w:bCs/>
                <w:color w:val="000000"/>
              </w:rPr>
              <w:t>glucagon</w:t>
            </w:r>
            <w:proofErr w:type="gramEnd"/>
            <w:r w:rsidRPr="000B3A94">
              <w:rPr>
                <w:rFonts w:ascii="Arial" w:hAnsi="Arial" w:cs="Arial"/>
                <w:bCs/>
                <w:color w:val="000000"/>
              </w:rPr>
              <w:t>-like peptide 2</w:t>
            </w:r>
          </w:p>
        </w:tc>
      </w:tr>
      <w:tr w:rsidR="00A23078" w14:paraId="65380F85" w14:textId="77777777" w:rsidTr="007726CF">
        <w:tc>
          <w:tcPr>
            <w:tcW w:w="2802" w:type="dxa"/>
          </w:tcPr>
          <w:p w14:paraId="26A89773" w14:textId="77777777" w:rsidR="00A23078" w:rsidRPr="000B3A94" w:rsidRDefault="00A23078" w:rsidP="00A23078">
            <w:pPr>
              <w:spacing w:line="480" w:lineRule="auto"/>
              <w:rPr>
                <w:rFonts w:ascii="Arial" w:hAnsi="Arial" w:cs="Arial"/>
                <w:bCs/>
                <w:color w:val="000000"/>
              </w:rPr>
            </w:pPr>
            <w:r w:rsidRPr="00070DDF">
              <w:rPr>
                <w:rFonts w:ascii="Arial" w:hAnsi="Arial" w:cs="Arial"/>
                <w:color w:val="000000" w:themeColor="text1"/>
              </w:rPr>
              <w:t>HCl</w:t>
            </w:r>
          </w:p>
        </w:tc>
        <w:tc>
          <w:tcPr>
            <w:tcW w:w="7226" w:type="dxa"/>
          </w:tcPr>
          <w:p w14:paraId="2CC6E47B" w14:textId="77777777" w:rsidR="00A23078" w:rsidRPr="000B3A94" w:rsidRDefault="00A23078" w:rsidP="00A23078">
            <w:pPr>
              <w:tabs>
                <w:tab w:val="left" w:pos="6064"/>
              </w:tabs>
              <w:spacing w:line="480" w:lineRule="auto"/>
              <w:rPr>
                <w:rFonts w:ascii="Arial" w:hAnsi="Arial" w:cs="Arial"/>
                <w:bCs/>
                <w:color w:val="000000"/>
              </w:rPr>
            </w:pPr>
            <w:proofErr w:type="gramStart"/>
            <w:r>
              <w:rPr>
                <w:rFonts w:ascii="Arial" w:hAnsi="Arial" w:cs="Arial"/>
                <w:color w:val="000000" w:themeColor="text1"/>
              </w:rPr>
              <w:t>hydrochloric</w:t>
            </w:r>
            <w:proofErr w:type="gramEnd"/>
            <w:r>
              <w:rPr>
                <w:rFonts w:ascii="Arial" w:hAnsi="Arial" w:cs="Arial"/>
                <w:color w:val="000000" w:themeColor="text1"/>
              </w:rPr>
              <w:t xml:space="preserve"> acid</w:t>
            </w:r>
          </w:p>
        </w:tc>
      </w:tr>
      <w:tr w:rsidR="00A23078" w14:paraId="74C98EF8" w14:textId="77777777" w:rsidTr="007726CF">
        <w:tc>
          <w:tcPr>
            <w:tcW w:w="2802" w:type="dxa"/>
          </w:tcPr>
          <w:p w14:paraId="32B858CA" w14:textId="77777777" w:rsidR="00A23078" w:rsidRPr="00EA09E7" w:rsidRDefault="00A23078" w:rsidP="00A23078">
            <w:pPr>
              <w:spacing w:line="480" w:lineRule="auto"/>
              <w:rPr>
                <w:rFonts w:ascii="Arial" w:hAnsi="Arial" w:cs="Arial"/>
                <w:bCs/>
                <w:i/>
                <w:color w:val="000000"/>
              </w:rPr>
            </w:pPr>
            <w:r>
              <w:rPr>
                <w:rFonts w:ascii="Arial" w:hAnsi="Arial" w:cs="Arial"/>
              </w:rPr>
              <w:t xml:space="preserve">HR-pQCT          </w:t>
            </w:r>
          </w:p>
        </w:tc>
        <w:tc>
          <w:tcPr>
            <w:tcW w:w="7226" w:type="dxa"/>
          </w:tcPr>
          <w:p w14:paraId="65331C17" w14:textId="77777777" w:rsidR="00A23078" w:rsidRPr="004A5EA5" w:rsidRDefault="00A23078" w:rsidP="00A23078">
            <w:pPr>
              <w:spacing w:line="480" w:lineRule="auto"/>
              <w:rPr>
                <w:rFonts w:ascii="Arial" w:hAnsi="Arial" w:cs="Arial"/>
                <w:bCs/>
                <w:color w:val="000000"/>
              </w:rPr>
            </w:pPr>
            <w:proofErr w:type="gramStart"/>
            <w:r>
              <w:rPr>
                <w:rFonts w:ascii="Arial" w:hAnsi="Arial" w:cs="Arial"/>
              </w:rPr>
              <w:t>h</w:t>
            </w:r>
            <w:r w:rsidRPr="00EA09E7">
              <w:rPr>
                <w:rFonts w:ascii="Arial" w:hAnsi="Arial" w:cs="Arial"/>
              </w:rPr>
              <w:t>igh</w:t>
            </w:r>
            <w:proofErr w:type="gramEnd"/>
            <w:r w:rsidRPr="00EA09E7">
              <w:rPr>
                <w:rFonts w:ascii="Arial" w:hAnsi="Arial" w:cs="Arial"/>
              </w:rPr>
              <w:t xml:space="preserve"> resolution peripheral quantitative CT</w:t>
            </w:r>
          </w:p>
        </w:tc>
      </w:tr>
      <w:tr w:rsidR="00A23078" w14:paraId="57DEA208" w14:textId="77777777" w:rsidTr="007726CF">
        <w:tc>
          <w:tcPr>
            <w:tcW w:w="2802" w:type="dxa"/>
          </w:tcPr>
          <w:p w14:paraId="737EC085" w14:textId="77777777" w:rsidR="00A23078" w:rsidRDefault="00A23078" w:rsidP="00A23078">
            <w:pPr>
              <w:spacing w:line="480" w:lineRule="auto"/>
              <w:rPr>
                <w:rFonts w:ascii="Arial" w:hAnsi="Arial" w:cs="Arial"/>
              </w:rPr>
            </w:pPr>
            <w:r w:rsidRPr="00EA09E7">
              <w:rPr>
                <w:rFonts w:ascii="Arial" w:hAnsi="Arial" w:cs="Arial"/>
                <w:bCs/>
                <w:color w:val="000000"/>
              </w:rPr>
              <w:t xml:space="preserve">HSC </w:t>
            </w:r>
            <w:r>
              <w:rPr>
                <w:rFonts w:ascii="Arial" w:hAnsi="Arial" w:cs="Arial"/>
                <w:bCs/>
                <w:color w:val="000000"/>
              </w:rPr>
              <w:t xml:space="preserve">  </w:t>
            </w:r>
          </w:p>
        </w:tc>
        <w:tc>
          <w:tcPr>
            <w:tcW w:w="7226" w:type="dxa"/>
          </w:tcPr>
          <w:p w14:paraId="60AC950B" w14:textId="77777777" w:rsidR="00A23078" w:rsidRDefault="00A23078" w:rsidP="00A23078">
            <w:pPr>
              <w:spacing w:line="480" w:lineRule="auto"/>
              <w:rPr>
                <w:rFonts w:ascii="Arial" w:hAnsi="Arial" w:cs="Arial"/>
              </w:rPr>
            </w:pPr>
            <w:proofErr w:type="gramStart"/>
            <w:r w:rsidRPr="00EA09E7">
              <w:rPr>
                <w:rFonts w:ascii="Arial" w:hAnsi="Arial" w:cs="Arial"/>
              </w:rPr>
              <w:t>haematopoietic</w:t>
            </w:r>
            <w:proofErr w:type="gramEnd"/>
            <w:r w:rsidRPr="00EA09E7">
              <w:rPr>
                <w:rFonts w:ascii="Arial" w:hAnsi="Arial" w:cs="Arial"/>
              </w:rPr>
              <w:t xml:space="preserve"> stem cell</w:t>
            </w:r>
          </w:p>
        </w:tc>
      </w:tr>
      <w:tr w:rsidR="00A23078" w14:paraId="48549306" w14:textId="77777777" w:rsidTr="007726CF">
        <w:tc>
          <w:tcPr>
            <w:tcW w:w="2802" w:type="dxa"/>
          </w:tcPr>
          <w:p w14:paraId="12FB0159" w14:textId="77777777" w:rsidR="00A23078" w:rsidRPr="00EA09E7" w:rsidRDefault="00A23078" w:rsidP="00A23078">
            <w:pPr>
              <w:spacing w:line="480" w:lineRule="auto"/>
              <w:rPr>
                <w:rFonts w:ascii="Arial" w:hAnsi="Arial" w:cs="Arial"/>
                <w:bCs/>
                <w:color w:val="000000"/>
              </w:rPr>
            </w:pPr>
            <w:r w:rsidRPr="00EA09E7">
              <w:rPr>
                <w:rFonts w:ascii="Arial" w:hAnsi="Arial" w:cs="Arial"/>
              </w:rPr>
              <w:t xml:space="preserve">IGF  </w:t>
            </w:r>
          </w:p>
        </w:tc>
        <w:tc>
          <w:tcPr>
            <w:tcW w:w="7226" w:type="dxa"/>
          </w:tcPr>
          <w:p w14:paraId="426F7126" w14:textId="77777777" w:rsidR="00A23078" w:rsidRPr="00EA09E7" w:rsidRDefault="00A23078" w:rsidP="00A23078">
            <w:pPr>
              <w:spacing w:line="480" w:lineRule="auto"/>
              <w:rPr>
                <w:rFonts w:ascii="Arial" w:hAnsi="Arial" w:cs="Arial"/>
              </w:rPr>
            </w:pPr>
            <w:proofErr w:type="gramStart"/>
            <w:r>
              <w:rPr>
                <w:rFonts w:ascii="Arial" w:hAnsi="Arial" w:cs="Arial"/>
              </w:rPr>
              <w:t>insulin</w:t>
            </w:r>
            <w:proofErr w:type="gramEnd"/>
            <w:r>
              <w:rPr>
                <w:rFonts w:ascii="Arial" w:hAnsi="Arial" w:cs="Arial"/>
              </w:rPr>
              <w:t>-like growth factor</w:t>
            </w:r>
          </w:p>
        </w:tc>
      </w:tr>
      <w:tr w:rsidR="00A23078" w14:paraId="6BB89FC3" w14:textId="77777777" w:rsidTr="007726CF">
        <w:tc>
          <w:tcPr>
            <w:tcW w:w="2802" w:type="dxa"/>
          </w:tcPr>
          <w:p w14:paraId="6F992D4F" w14:textId="77777777" w:rsidR="00A23078" w:rsidRPr="00EA09E7" w:rsidRDefault="00A23078" w:rsidP="00A23078">
            <w:pPr>
              <w:spacing w:line="480" w:lineRule="auto"/>
              <w:rPr>
                <w:rFonts w:ascii="Arial" w:hAnsi="Arial" w:cs="Arial"/>
              </w:rPr>
            </w:pPr>
            <w:r w:rsidRPr="00EA09E7">
              <w:rPr>
                <w:rFonts w:ascii="Arial" w:hAnsi="Arial" w:cs="Arial"/>
              </w:rPr>
              <w:t xml:space="preserve">IL-1β </w:t>
            </w:r>
            <w:r>
              <w:rPr>
                <w:rFonts w:ascii="Arial" w:hAnsi="Arial" w:cs="Arial"/>
              </w:rPr>
              <w:t xml:space="preserve">                 </w:t>
            </w:r>
          </w:p>
        </w:tc>
        <w:tc>
          <w:tcPr>
            <w:tcW w:w="7226" w:type="dxa"/>
          </w:tcPr>
          <w:p w14:paraId="626C31A0" w14:textId="77777777" w:rsidR="00A23078" w:rsidRDefault="00A23078" w:rsidP="00A23078">
            <w:pPr>
              <w:spacing w:line="480" w:lineRule="auto"/>
              <w:rPr>
                <w:rFonts w:ascii="Arial" w:hAnsi="Arial" w:cs="Arial"/>
              </w:rPr>
            </w:pPr>
            <w:proofErr w:type="gramStart"/>
            <w:r w:rsidRPr="00EA09E7">
              <w:rPr>
                <w:rFonts w:ascii="Arial" w:hAnsi="Arial" w:cs="Arial"/>
              </w:rPr>
              <w:t>interleukin</w:t>
            </w:r>
            <w:proofErr w:type="gramEnd"/>
            <w:r w:rsidRPr="00EA09E7">
              <w:rPr>
                <w:rFonts w:ascii="Arial" w:hAnsi="Arial" w:cs="Arial"/>
              </w:rPr>
              <w:t xml:space="preserve"> 1 beta </w:t>
            </w:r>
          </w:p>
        </w:tc>
      </w:tr>
      <w:tr w:rsidR="00A23078" w14:paraId="395F14EC" w14:textId="77777777" w:rsidTr="007726CF">
        <w:tc>
          <w:tcPr>
            <w:tcW w:w="2802" w:type="dxa"/>
          </w:tcPr>
          <w:p w14:paraId="24D5F779" w14:textId="77777777" w:rsidR="00A23078" w:rsidRPr="00EA09E7" w:rsidRDefault="00A23078" w:rsidP="00A23078">
            <w:pPr>
              <w:spacing w:line="480" w:lineRule="auto"/>
              <w:rPr>
                <w:rFonts w:ascii="Arial" w:hAnsi="Arial" w:cs="Arial"/>
              </w:rPr>
            </w:pPr>
            <w:r>
              <w:rPr>
                <w:rFonts w:ascii="Arial" w:hAnsi="Arial"/>
              </w:rPr>
              <w:t>Ir.L.t</w:t>
            </w:r>
          </w:p>
        </w:tc>
        <w:tc>
          <w:tcPr>
            <w:tcW w:w="7226" w:type="dxa"/>
          </w:tcPr>
          <w:p w14:paraId="3F83ABB5" w14:textId="77777777" w:rsidR="00A23078" w:rsidRPr="00EA09E7" w:rsidRDefault="00A23078" w:rsidP="00A23078">
            <w:pPr>
              <w:spacing w:line="480" w:lineRule="auto"/>
              <w:rPr>
                <w:rFonts w:ascii="Arial" w:hAnsi="Arial" w:cs="Arial"/>
              </w:rPr>
            </w:pPr>
            <w:proofErr w:type="gramStart"/>
            <w:r>
              <w:rPr>
                <w:rFonts w:ascii="Arial" w:hAnsi="Arial"/>
              </w:rPr>
              <w:t>inter</w:t>
            </w:r>
            <w:proofErr w:type="gramEnd"/>
            <w:r>
              <w:rPr>
                <w:rFonts w:ascii="Arial" w:hAnsi="Arial"/>
              </w:rPr>
              <w:t xml:space="preserve"> label time</w:t>
            </w:r>
          </w:p>
        </w:tc>
      </w:tr>
      <w:tr w:rsidR="00A23078" w14:paraId="03EC1CA3" w14:textId="77777777" w:rsidTr="007726CF">
        <w:tc>
          <w:tcPr>
            <w:tcW w:w="2802" w:type="dxa"/>
          </w:tcPr>
          <w:p w14:paraId="0FB2773B" w14:textId="77777777" w:rsidR="00A23078" w:rsidRPr="00EA09E7" w:rsidRDefault="00A23078" w:rsidP="00A23078">
            <w:pPr>
              <w:spacing w:line="480" w:lineRule="auto"/>
              <w:rPr>
                <w:rFonts w:ascii="Arial" w:hAnsi="Arial" w:cs="Arial"/>
              </w:rPr>
            </w:pPr>
            <w:r>
              <w:rPr>
                <w:rFonts w:ascii="Arial" w:hAnsi="Arial"/>
              </w:rPr>
              <w:t>Ir.L.Th</w:t>
            </w:r>
          </w:p>
        </w:tc>
        <w:tc>
          <w:tcPr>
            <w:tcW w:w="7226" w:type="dxa"/>
          </w:tcPr>
          <w:p w14:paraId="4C94CF93" w14:textId="77777777" w:rsidR="00A23078" w:rsidRPr="00EA09E7" w:rsidRDefault="00A23078" w:rsidP="00A23078">
            <w:pPr>
              <w:spacing w:line="480" w:lineRule="auto"/>
              <w:rPr>
                <w:rFonts w:ascii="Arial" w:hAnsi="Arial" w:cs="Arial"/>
              </w:rPr>
            </w:pPr>
            <w:proofErr w:type="gramStart"/>
            <w:r>
              <w:rPr>
                <w:rFonts w:ascii="Arial" w:hAnsi="Arial"/>
              </w:rPr>
              <w:t>inter</w:t>
            </w:r>
            <w:proofErr w:type="gramEnd"/>
            <w:r>
              <w:rPr>
                <w:rFonts w:ascii="Arial" w:hAnsi="Arial"/>
              </w:rPr>
              <w:t xml:space="preserve"> label thickness</w:t>
            </w:r>
          </w:p>
        </w:tc>
      </w:tr>
      <w:tr w:rsidR="00A23078" w14:paraId="62172785" w14:textId="77777777" w:rsidTr="007726CF">
        <w:tc>
          <w:tcPr>
            <w:tcW w:w="2802" w:type="dxa"/>
          </w:tcPr>
          <w:p w14:paraId="141351B7" w14:textId="77777777" w:rsidR="00A23078" w:rsidRPr="00EA09E7" w:rsidRDefault="00A23078" w:rsidP="00A23078">
            <w:pPr>
              <w:spacing w:line="480" w:lineRule="auto"/>
              <w:rPr>
                <w:rFonts w:ascii="Arial" w:hAnsi="Arial" w:cs="Arial"/>
              </w:rPr>
            </w:pPr>
            <w:r w:rsidRPr="00EA09E7">
              <w:rPr>
                <w:rFonts w:ascii="Arial" w:hAnsi="Arial" w:cs="Arial"/>
                <w:bCs/>
                <w:color w:val="000000"/>
              </w:rPr>
              <w:t>Lepr</w:t>
            </w:r>
            <w:r w:rsidRPr="00EA09E7">
              <w:rPr>
                <w:rFonts w:ascii="Arial" w:hAnsi="Arial" w:cs="Arial"/>
              </w:rPr>
              <w:t xml:space="preserve"> </w:t>
            </w:r>
            <w:r>
              <w:rPr>
                <w:rFonts w:ascii="Arial" w:hAnsi="Arial" w:cs="Arial"/>
              </w:rPr>
              <w:t xml:space="preserve"> </w:t>
            </w:r>
          </w:p>
        </w:tc>
        <w:tc>
          <w:tcPr>
            <w:tcW w:w="7226" w:type="dxa"/>
          </w:tcPr>
          <w:p w14:paraId="44328B4F" w14:textId="77777777" w:rsidR="00A23078" w:rsidRPr="00EA09E7" w:rsidRDefault="00A23078" w:rsidP="00A23078">
            <w:pPr>
              <w:spacing w:line="480" w:lineRule="auto"/>
              <w:rPr>
                <w:rFonts w:ascii="Arial" w:hAnsi="Arial" w:cs="Arial"/>
              </w:rPr>
            </w:pPr>
            <w:proofErr w:type="gramStart"/>
            <w:r>
              <w:rPr>
                <w:rFonts w:ascii="Arial" w:hAnsi="Arial" w:cs="Arial"/>
              </w:rPr>
              <w:t>leptin</w:t>
            </w:r>
            <w:proofErr w:type="gramEnd"/>
            <w:r>
              <w:rPr>
                <w:rFonts w:ascii="Arial" w:hAnsi="Arial" w:cs="Arial"/>
              </w:rPr>
              <w:t xml:space="preserve"> receptor</w:t>
            </w:r>
          </w:p>
        </w:tc>
      </w:tr>
      <w:tr w:rsidR="00A23078" w14:paraId="239D739A" w14:textId="77777777" w:rsidTr="007726CF">
        <w:tc>
          <w:tcPr>
            <w:tcW w:w="2802" w:type="dxa"/>
          </w:tcPr>
          <w:p w14:paraId="2D5400A5" w14:textId="77777777" w:rsidR="00A23078" w:rsidRPr="00EA09E7" w:rsidRDefault="00A23078" w:rsidP="00A23078">
            <w:pPr>
              <w:spacing w:line="480" w:lineRule="auto"/>
              <w:rPr>
                <w:rFonts w:ascii="Arial" w:hAnsi="Arial" w:cs="Arial"/>
                <w:bCs/>
                <w:color w:val="000000"/>
              </w:rPr>
            </w:pPr>
            <w:r w:rsidRPr="00EA09E7">
              <w:rPr>
                <w:rFonts w:ascii="Arial" w:hAnsi="Arial" w:cs="Arial"/>
              </w:rPr>
              <w:t xml:space="preserve">LRP5   </w:t>
            </w:r>
          </w:p>
        </w:tc>
        <w:tc>
          <w:tcPr>
            <w:tcW w:w="7226" w:type="dxa"/>
          </w:tcPr>
          <w:p w14:paraId="0AA97FEE" w14:textId="77777777" w:rsidR="00A23078" w:rsidRDefault="00A23078" w:rsidP="00A23078">
            <w:pPr>
              <w:spacing w:line="480" w:lineRule="auto"/>
              <w:rPr>
                <w:rFonts w:ascii="Arial" w:hAnsi="Arial" w:cs="Arial"/>
              </w:rPr>
            </w:pPr>
            <w:proofErr w:type="gramStart"/>
            <w:r w:rsidRPr="00EA09E7">
              <w:rPr>
                <w:rFonts w:ascii="Arial" w:hAnsi="Arial" w:cs="Arial"/>
              </w:rPr>
              <w:t>lipoprotein</w:t>
            </w:r>
            <w:proofErr w:type="gramEnd"/>
            <w:r w:rsidRPr="00EA09E7">
              <w:rPr>
                <w:rFonts w:ascii="Arial" w:hAnsi="Arial" w:cs="Arial"/>
              </w:rPr>
              <w:t xml:space="preserve"> receptor-related proteins 5</w:t>
            </w:r>
          </w:p>
        </w:tc>
      </w:tr>
      <w:tr w:rsidR="00A23078" w14:paraId="4FBC7C32" w14:textId="77777777" w:rsidTr="007726CF">
        <w:tc>
          <w:tcPr>
            <w:tcW w:w="2802" w:type="dxa"/>
          </w:tcPr>
          <w:p w14:paraId="6A689FE1" w14:textId="77777777" w:rsidR="00A23078" w:rsidRPr="00EA09E7" w:rsidRDefault="00A23078" w:rsidP="00A23078">
            <w:pPr>
              <w:spacing w:line="480" w:lineRule="auto"/>
              <w:rPr>
                <w:rFonts w:ascii="Arial" w:hAnsi="Arial" w:cs="Arial"/>
              </w:rPr>
            </w:pPr>
            <w:r w:rsidRPr="00EA09E7">
              <w:rPr>
                <w:rFonts w:ascii="Arial" w:hAnsi="Arial" w:cs="Arial"/>
              </w:rPr>
              <w:t xml:space="preserve">LRP6   </w:t>
            </w:r>
          </w:p>
        </w:tc>
        <w:tc>
          <w:tcPr>
            <w:tcW w:w="7226" w:type="dxa"/>
          </w:tcPr>
          <w:p w14:paraId="4ACA58C6" w14:textId="77777777" w:rsidR="00A23078" w:rsidRPr="00EA09E7" w:rsidRDefault="00A23078" w:rsidP="00A23078">
            <w:pPr>
              <w:spacing w:line="480" w:lineRule="auto"/>
              <w:rPr>
                <w:rFonts w:ascii="Arial" w:hAnsi="Arial" w:cs="Arial"/>
              </w:rPr>
            </w:pPr>
            <w:proofErr w:type="gramStart"/>
            <w:r w:rsidRPr="00EA09E7">
              <w:rPr>
                <w:rFonts w:ascii="Arial" w:hAnsi="Arial" w:cs="Arial"/>
              </w:rPr>
              <w:t>lipoprotein</w:t>
            </w:r>
            <w:proofErr w:type="gramEnd"/>
            <w:r w:rsidRPr="00EA09E7">
              <w:rPr>
                <w:rFonts w:ascii="Arial" w:hAnsi="Arial" w:cs="Arial"/>
              </w:rPr>
              <w:t xml:space="preserve"> receptor-related proteins 6</w:t>
            </w:r>
          </w:p>
        </w:tc>
      </w:tr>
      <w:tr w:rsidR="00A23078" w14:paraId="473A0431" w14:textId="77777777" w:rsidTr="007726CF">
        <w:tc>
          <w:tcPr>
            <w:tcW w:w="2802" w:type="dxa"/>
          </w:tcPr>
          <w:p w14:paraId="0CF562F5" w14:textId="77777777" w:rsidR="00A23078" w:rsidRPr="00EA09E7" w:rsidRDefault="00A23078" w:rsidP="00A23078">
            <w:pPr>
              <w:spacing w:line="480" w:lineRule="auto"/>
              <w:rPr>
                <w:rFonts w:ascii="Arial" w:hAnsi="Arial" w:cs="Arial"/>
              </w:rPr>
            </w:pPr>
            <w:r>
              <w:rPr>
                <w:rFonts w:ascii="Arial" w:hAnsi="Arial" w:cs="Arial"/>
              </w:rPr>
              <w:t>Ma.Ar</w:t>
            </w:r>
          </w:p>
        </w:tc>
        <w:tc>
          <w:tcPr>
            <w:tcW w:w="7226" w:type="dxa"/>
          </w:tcPr>
          <w:p w14:paraId="3CE20DD9" w14:textId="77777777" w:rsidR="00A23078" w:rsidRPr="00EA09E7" w:rsidRDefault="00A23078" w:rsidP="00A23078">
            <w:pPr>
              <w:spacing w:line="480" w:lineRule="auto"/>
              <w:rPr>
                <w:rFonts w:ascii="Arial" w:hAnsi="Arial" w:cs="Arial"/>
              </w:rPr>
            </w:pPr>
            <w:proofErr w:type="gramStart"/>
            <w:r>
              <w:rPr>
                <w:rFonts w:ascii="Arial" w:hAnsi="Arial" w:cs="Arial"/>
              </w:rPr>
              <w:t>marrow</w:t>
            </w:r>
            <w:proofErr w:type="gramEnd"/>
            <w:r>
              <w:rPr>
                <w:rFonts w:ascii="Arial" w:hAnsi="Arial" w:cs="Arial"/>
              </w:rPr>
              <w:t xml:space="preserve"> area</w:t>
            </w:r>
          </w:p>
        </w:tc>
      </w:tr>
      <w:tr w:rsidR="00A23078" w14:paraId="56109D3D" w14:textId="77777777" w:rsidTr="007726CF">
        <w:tc>
          <w:tcPr>
            <w:tcW w:w="2802" w:type="dxa"/>
          </w:tcPr>
          <w:p w14:paraId="17BF94C9" w14:textId="77777777" w:rsidR="00A23078" w:rsidRDefault="00A23078" w:rsidP="00A23078">
            <w:pPr>
              <w:spacing w:line="480" w:lineRule="auto"/>
              <w:rPr>
                <w:rFonts w:ascii="Arial" w:hAnsi="Arial" w:cs="Arial"/>
              </w:rPr>
            </w:pPr>
            <w:r>
              <w:rPr>
                <w:rFonts w:ascii="Arial" w:hAnsi="Arial" w:cs="Arial"/>
              </w:rPr>
              <w:t>MAR</w:t>
            </w:r>
          </w:p>
        </w:tc>
        <w:tc>
          <w:tcPr>
            <w:tcW w:w="7226" w:type="dxa"/>
          </w:tcPr>
          <w:p w14:paraId="2BBB935A" w14:textId="77777777" w:rsidR="00A23078" w:rsidRDefault="00A23078" w:rsidP="00A23078">
            <w:pPr>
              <w:spacing w:line="480" w:lineRule="auto"/>
              <w:rPr>
                <w:rFonts w:ascii="Arial" w:hAnsi="Arial" w:cs="Arial"/>
              </w:rPr>
            </w:pPr>
            <w:proofErr w:type="gramStart"/>
            <w:r>
              <w:rPr>
                <w:rFonts w:ascii="Arial" w:hAnsi="Arial" w:cs="Arial"/>
              </w:rPr>
              <w:t>mineral</w:t>
            </w:r>
            <w:proofErr w:type="gramEnd"/>
            <w:r>
              <w:rPr>
                <w:rFonts w:ascii="Arial" w:hAnsi="Arial" w:cs="Arial"/>
              </w:rPr>
              <w:t xml:space="preserve"> apposition rate</w:t>
            </w:r>
          </w:p>
        </w:tc>
      </w:tr>
      <w:tr w:rsidR="00A23078" w14:paraId="2F03EFE3" w14:textId="77777777" w:rsidTr="007726CF">
        <w:tc>
          <w:tcPr>
            <w:tcW w:w="2802" w:type="dxa"/>
          </w:tcPr>
          <w:p w14:paraId="566D1A2E" w14:textId="77777777" w:rsidR="00A23078" w:rsidRDefault="00A23078" w:rsidP="00A23078">
            <w:pPr>
              <w:spacing w:line="480" w:lineRule="auto"/>
              <w:rPr>
                <w:rFonts w:ascii="Arial" w:hAnsi="Arial" w:cs="Arial"/>
              </w:rPr>
            </w:pPr>
            <w:r>
              <w:rPr>
                <w:rFonts w:ascii="Arial" w:hAnsi="Arial" w:cs="Arial"/>
              </w:rPr>
              <w:t>MS</w:t>
            </w:r>
          </w:p>
        </w:tc>
        <w:tc>
          <w:tcPr>
            <w:tcW w:w="7226" w:type="dxa"/>
          </w:tcPr>
          <w:p w14:paraId="32923B91" w14:textId="77777777" w:rsidR="00A23078" w:rsidRDefault="00A23078" w:rsidP="00A23078">
            <w:pPr>
              <w:spacing w:line="480" w:lineRule="auto"/>
              <w:rPr>
                <w:rFonts w:ascii="Arial" w:hAnsi="Arial" w:cs="Arial"/>
              </w:rPr>
            </w:pPr>
            <w:proofErr w:type="gramStart"/>
            <w:r>
              <w:rPr>
                <w:rFonts w:ascii="Arial" w:hAnsi="Arial" w:cs="Arial"/>
              </w:rPr>
              <w:t>mineralising</w:t>
            </w:r>
            <w:proofErr w:type="gramEnd"/>
            <w:r>
              <w:rPr>
                <w:rFonts w:ascii="Arial" w:hAnsi="Arial" w:cs="Arial"/>
              </w:rPr>
              <w:t xml:space="preserve"> surface</w:t>
            </w:r>
          </w:p>
        </w:tc>
      </w:tr>
      <w:tr w:rsidR="00A23078" w14:paraId="19B2580E" w14:textId="77777777" w:rsidTr="007726CF">
        <w:tc>
          <w:tcPr>
            <w:tcW w:w="2802" w:type="dxa"/>
          </w:tcPr>
          <w:p w14:paraId="45169282" w14:textId="77777777" w:rsidR="00A23078" w:rsidRPr="000B3A94" w:rsidRDefault="00A23078" w:rsidP="00A23078">
            <w:pPr>
              <w:spacing w:line="480" w:lineRule="auto"/>
              <w:rPr>
                <w:rFonts w:ascii="Arial" w:hAnsi="Arial" w:cs="Arial"/>
              </w:rPr>
            </w:pPr>
            <w:r w:rsidRPr="00EA09E7">
              <w:rPr>
                <w:rFonts w:ascii="Arial" w:hAnsi="Arial" w:cs="Arial"/>
              </w:rPr>
              <w:t>MSC</w:t>
            </w:r>
          </w:p>
        </w:tc>
        <w:tc>
          <w:tcPr>
            <w:tcW w:w="7226" w:type="dxa"/>
          </w:tcPr>
          <w:p w14:paraId="0DFF642A" w14:textId="77777777" w:rsidR="00A23078" w:rsidRPr="00AD384E" w:rsidRDefault="00A23078" w:rsidP="00A23078">
            <w:pPr>
              <w:tabs>
                <w:tab w:val="right" w:pos="6830"/>
              </w:tabs>
              <w:spacing w:line="480" w:lineRule="auto"/>
              <w:rPr>
                <w:rFonts w:ascii="Arial" w:hAnsi="Arial" w:cs="Arial"/>
              </w:rPr>
            </w:pPr>
            <w:proofErr w:type="gramStart"/>
            <w:r w:rsidRPr="00EA09E7">
              <w:rPr>
                <w:rFonts w:ascii="Arial" w:hAnsi="Arial" w:cs="Arial"/>
              </w:rPr>
              <w:t>mesenchymal</w:t>
            </w:r>
            <w:proofErr w:type="gramEnd"/>
            <w:r w:rsidRPr="00EA09E7">
              <w:rPr>
                <w:rFonts w:ascii="Arial" w:hAnsi="Arial" w:cs="Arial"/>
              </w:rPr>
              <w:t xml:space="preserve"> stem cells</w:t>
            </w:r>
            <w:r>
              <w:rPr>
                <w:rFonts w:ascii="Arial" w:hAnsi="Arial" w:cs="Arial"/>
              </w:rPr>
              <w:tab/>
            </w:r>
          </w:p>
        </w:tc>
      </w:tr>
      <w:tr w:rsidR="00A23078" w14:paraId="1269F7AC" w14:textId="77777777" w:rsidTr="007726CF">
        <w:tc>
          <w:tcPr>
            <w:tcW w:w="2802" w:type="dxa"/>
          </w:tcPr>
          <w:p w14:paraId="69E8DEC9" w14:textId="77777777" w:rsidR="00A23078" w:rsidRPr="00EA09E7" w:rsidRDefault="00A23078" w:rsidP="00A23078">
            <w:pPr>
              <w:rPr>
                <w:rFonts w:ascii="Arial" w:hAnsi="Arial" w:cs="Arial"/>
              </w:rPr>
            </w:pPr>
            <w:r w:rsidRPr="00ED7E97">
              <w:rPr>
                <w:rFonts w:ascii="Arial" w:hAnsi="Arial" w:cs="Arial"/>
                <w:color w:val="000000" w:themeColor="text1"/>
                <w:lang w:eastAsia="en-GB"/>
              </w:rPr>
              <w:t>NaHCO</w:t>
            </w:r>
            <w:r w:rsidRPr="00ED7E97">
              <w:rPr>
                <w:rFonts w:ascii="Arial" w:hAnsi="Arial" w:cs="Arial"/>
                <w:color w:val="000000" w:themeColor="text1"/>
                <w:vertAlign w:val="subscript"/>
                <w:lang w:eastAsia="en-GB"/>
              </w:rPr>
              <w:t>3</w:t>
            </w:r>
          </w:p>
        </w:tc>
        <w:tc>
          <w:tcPr>
            <w:tcW w:w="7226" w:type="dxa"/>
          </w:tcPr>
          <w:p w14:paraId="25B7ACB9" w14:textId="77777777" w:rsidR="00A23078" w:rsidRPr="00EA09E7" w:rsidRDefault="00A23078" w:rsidP="00A23078">
            <w:pPr>
              <w:tabs>
                <w:tab w:val="right" w:pos="6830"/>
              </w:tabs>
              <w:spacing w:line="480" w:lineRule="auto"/>
              <w:rPr>
                <w:rFonts w:ascii="Arial" w:hAnsi="Arial" w:cs="Arial"/>
              </w:rPr>
            </w:pPr>
            <w:proofErr w:type="gramStart"/>
            <w:r>
              <w:rPr>
                <w:rFonts w:ascii="Arial" w:hAnsi="Arial" w:cs="Arial"/>
                <w:color w:val="000000" w:themeColor="text1"/>
              </w:rPr>
              <w:t>sodium</w:t>
            </w:r>
            <w:proofErr w:type="gramEnd"/>
            <w:r>
              <w:rPr>
                <w:rFonts w:ascii="Arial" w:hAnsi="Arial" w:cs="Arial"/>
                <w:color w:val="000000" w:themeColor="text1"/>
              </w:rPr>
              <w:t xml:space="preserve"> bicarbonate</w:t>
            </w:r>
          </w:p>
        </w:tc>
      </w:tr>
      <w:tr w:rsidR="00A23078" w14:paraId="7FE32791" w14:textId="77777777" w:rsidTr="007726CF">
        <w:tc>
          <w:tcPr>
            <w:tcW w:w="2802" w:type="dxa"/>
          </w:tcPr>
          <w:p w14:paraId="064F3962" w14:textId="77777777" w:rsidR="00A23078" w:rsidRPr="00EA09E7" w:rsidRDefault="00A23078" w:rsidP="00A23078">
            <w:pPr>
              <w:spacing w:line="480" w:lineRule="auto"/>
              <w:rPr>
                <w:rFonts w:ascii="Arial" w:hAnsi="Arial" w:cs="Arial"/>
              </w:rPr>
            </w:pPr>
            <w:r w:rsidRPr="00070DDF">
              <w:rPr>
                <w:rFonts w:ascii="Arial" w:hAnsi="Arial" w:cs="Arial"/>
                <w:color w:val="000000" w:themeColor="text1"/>
              </w:rPr>
              <w:t>NaOH</w:t>
            </w:r>
          </w:p>
        </w:tc>
        <w:tc>
          <w:tcPr>
            <w:tcW w:w="7226" w:type="dxa"/>
          </w:tcPr>
          <w:p w14:paraId="28592B69" w14:textId="77777777" w:rsidR="00A23078" w:rsidRPr="00EA09E7" w:rsidRDefault="00A23078" w:rsidP="00A23078">
            <w:pPr>
              <w:tabs>
                <w:tab w:val="right" w:pos="6830"/>
              </w:tabs>
              <w:spacing w:line="480" w:lineRule="auto"/>
              <w:rPr>
                <w:rFonts w:ascii="Arial" w:hAnsi="Arial" w:cs="Arial"/>
              </w:rPr>
            </w:pPr>
            <w:proofErr w:type="gramStart"/>
            <w:r>
              <w:rPr>
                <w:rFonts w:ascii="Arial" w:hAnsi="Arial" w:cs="Arial"/>
                <w:color w:val="000000" w:themeColor="text1"/>
              </w:rPr>
              <w:t>sodium</w:t>
            </w:r>
            <w:proofErr w:type="gramEnd"/>
            <w:r>
              <w:rPr>
                <w:rFonts w:ascii="Arial" w:hAnsi="Arial" w:cs="Arial"/>
                <w:color w:val="000000" w:themeColor="text1"/>
              </w:rPr>
              <w:t xml:space="preserve"> hydroxide</w:t>
            </w:r>
          </w:p>
        </w:tc>
      </w:tr>
      <w:tr w:rsidR="00A23078" w14:paraId="045CF01A" w14:textId="77777777" w:rsidTr="007726CF">
        <w:tc>
          <w:tcPr>
            <w:tcW w:w="2802" w:type="dxa"/>
          </w:tcPr>
          <w:p w14:paraId="4871F05E" w14:textId="77777777" w:rsidR="00A23078" w:rsidRPr="00EA09E7" w:rsidRDefault="00A23078" w:rsidP="00A23078">
            <w:pPr>
              <w:spacing w:line="480" w:lineRule="auto"/>
              <w:rPr>
                <w:rFonts w:ascii="Arial" w:hAnsi="Arial" w:cs="Arial"/>
              </w:rPr>
            </w:pPr>
            <w:r w:rsidRPr="00EA09E7">
              <w:rPr>
                <w:rFonts w:ascii="Arial" w:hAnsi="Arial" w:cs="Arial"/>
              </w:rPr>
              <w:lastRenderedPageBreak/>
              <w:t>NF-</w:t>
            </w:r>
            <w:r w:rsidRPr="00EA09E7">
              <w:rPr>
                <w:rFonts w:ascii="Arial" w:hAnsi="Arial" w:cs="Arial"/>
              </w:rPr>
              <w:sym w:font="Symbol" w:char="F06B"/>
            </w:r>
            <w:r w:rsidRPr="00EA09E7">
              <w:rPr>
                <w:rFonts w:ascii="Arial" w:hAnsi="Arial" w:cs="Arial"/>
              </w:rPr>
              <w:sym w:font="Symbol" w:char="F062"/>
            </w:r>
          </w:p>
        </w:tc>
        <w:tc>
          <w:tcPr>
            <w:tcW w:w="7226" w:type="dxa"/>
          </w:tcPr>
          <w:p w14:paraId="561F2861" w14:textId="77777777" w:rsidR="00A23078" w:rsidRPr="00EA09E7" w:rsidRDefault="00A23078" w:rsidP="00A23078">
            <w:pPr>
              <w:spacing w:line="480" w:lineRule="auto"/>
              <w:rPr>
                <w:rFonts w:ascii="Arial" w:hAnsi="Arial" w:cs="Arial"/>
              </w:rPr>
            </w:pPr>
            <w:proofErr w:type="gramStart"/>
            <w:r w:rsidRPr="00EA09E7">
              <w:rPr>
                <w:rFonts w:ascii="Arial" w:hAnsi="Arial" w:cs="Arial"/>
              </w:rPr>
              <w:t>nuclear</w:t>
            </w:r>
            <w:proofErr w:type="gramEnd"/>
            <w:r w:rsidRPr="00EA09E7">
              <w:rPr>
                <w:rFonts w:ascii="Arial" w:hAnsi="Arial" w:cs="Arial"/>
              </w:rPr>
              <w:t xml:space="preserve"> factor </w:t>
            </w:r>
            <w:r w:rsidR="008C1A2B">
              <w:rPr>
                <w:rFonts w:ascii="Arial" w:hAnsi="Arial" w:cs="Arial"/>
              </w:rPr>
              <w:t>kappa-B</w:t>
            </w:r>
          </w:p>
        </w:tc>
      </w:tr>
      <w:tr w:rsidR="00A23078" w14:paraId="121A7094" w14:textId="77777777" w:rsidTr="007726CF">
        <w:tc>
          <w:tcPr>
            <w:tcW w:w="2802" w:type="dxa"/>
          </w:tcPr>
          <w:p w14:paraId="7C73C745" w14:textId="77777777" w:rsidR="00A23078" w:rsidRPr="00EA09E7" w:rsidRDefault="00A23078" w:rsidP="00A23078">
            <w:pPr>
              <w:spacing w:line="480" w:lineRule="auto"/>
              <w:rPr>
                <w:rFonts w:ascii="Arial" w:hAnsi="Arial" w:cs="Arial"/>
              </w:rPr>
            </w:pPr>
            <w:r w:rsidRPr="00EA09E7">
              <w:rPr>
                <w:rFonts w:ascii="Arial" w:hAnsi="Arial" w:cs="Arial"/>
              </w:rPr>
              <w:t>NFATc1</w:t>
            </w:r>
          </w:p>
        </w:tc>
        <w:tc>
          <w:tcPr>
            <w:tcW w:w="7226" w:type="dxa"/>
          </w:tcPr>
          <w:p w14:paraId="00B09A41" w14:textId="77777777" w:rsidR="00A23078" w:rsidRPr="00EA09E7" w:rsidRDefault="00A23078" w:rsidP="00A23078">
            <w:pPr>
              <w:spacing w:line="480" w:lineRule="auto"/>
              <w:rPr>
                <w:rFonts w:ascii="Arial" w:hAnsi="Arial" w:cs="Arial"/>
              </w:rPr>
            </w:pPr>
            <w:proofErr w:type="gramStart"/>
            <w:r w:rsidRPr="00EA09E7">
              <w:rPr>
                <w:rFonts w:ascii="Arial" w:hAnsi="Arial" w:cs="Arial"/>
              </w:rPr>
              <w:t>nuclear</w:t>
            </w:r>
            <w:proofErr w:type="gramEnd"/>
            <w:r w:rsidRPr="00EA09E7">
              <w:rPr>
                <w:rFonts w:ascii="Arial" w:hAnsi="Arial" w:cs="Arial"/>
              </w:rPr>
              <w:t xml:space="preserve"> factor of activated T-cells cytoplasmic 1</w:t>
            </w:r>
          </w:p>
        </w:tc>
      </w:tr>
      <w:tr w:rsidR="00A23078" w14:paraId="6171C3B2" w14:textId="77777777" w:rsidTr="007726CF">
        <w:tc>
          <w:tcPr>
            <w:tcW w:w="2802" w:type="dxa"/>
          </w:tcPr>
          <w:p w14:paraId="1B5DA3C1" w14:textId="77777777" w:rsidR="00A23078" w:rsidRPr="00EA09E7" w:rsidRDefault="00A23078" w:rsidP="00A23078">
            <w:pPr>
              <w:spacing w:line="480" w:lineRule="auto"/>
              <w:rPr>
                <w:rFonts w:ascii="Arial" w:hAnsi="Arial" w:cs="Arial"/>
              </w:rPr>
            </w:pPr>
            <w:r w:rsidRPr="00EA09E7">
              <w:rPr>
                <w:rFonts w:ascii="Arial" w:hAnsi="Arial" w:cs="Arial"/>
              </w:rPr>
              <w:t xml:space="preserve">NO </w:t>
            </w:r>
            <w:r>
              <w:rPr>
                <w:rFonts w:ascii="Arial" w:hAnsi="Arial" w:cs="Arial"/>
              </w:rPr>
              <w:t xml:space="preserve"> </w:t>
            </w:r>
          </w:p>
        </w:tc>
        <w:tc>
          <w:tcPr>
            <w:tcW w:w="7226" w:type="dxa"/>
          </w:tcPr>
          <w:p w14:paraId="725FD4C0" w14:textId="77777777" w:rsidR="00A23078" w:rsidRPr="00EA09E7" w:rsidRDefault="00A23078" w:rsidP="00A23078">
            <w:pPr>
              <w:spacing w:line="480" w:lineRule="auto"/>
              <w:rPr>
                <w:rFonts w:ascii="Arial" w:hAnsi="Arial" w:cs="Arial"/>
              </w:rPr>
            </w:pPr>
            <w:proofErr w:type="gramStart"/>
            <w:r w:rsidRPr="00EA09E7">
              <w:rPr>
                <w:rFonts w:ascii="Arial" w:hAnsi="Arial" w:cs="Arial"/>
              </w:rPr>
              <w:t>nitric</w:t>
            </w:r>
            <w:proofErr w:type="gramEnd"/>
            <w:r w:rsidRPr="00EA09E7">
              <w:rPr>
                <w:rFonts w:ascii="Arial" w:hAnsi="Arial" w:cs="Arial"/>
              </w:rPr>
              <w:t xml:space="preserve"> oxide</w:t>
            </w:r>
          </w:p>
        </w:tc>
      </w:tr>
      <w:tr w:rsidR="00A23078" w14:paraId="6B07D961" w14:textId="77777777" w:rsidTr="007726CF">
        <w:tc>
          <w:tcPr>
            <w:tcW w:w="2802" w:type="dxa"/>
          </w:tcPr>
          <w:p w14:paraId="646D6226" w14:textId="77777777" w:rsidR="00A23078" w:rsidRPr="00EA09E7" w:rsidRDefault="00A23078" w:rsidP="00A23078">
            <w:pPr>
              <w:spacing w:line="480" w:lineRule="auto"/>
              <w:rPr>
                <w:rFonts w:ascii="Arial" w:hAnsi="Arial" w:cs="Arial"/>
              </w:rPr>
            </w:pPr>
            <w:r w:rsidRPr="00EA09E7">
              <w:rPr>
                <w:rFonts w:ascii="Arial" w:hAnsi="Arial" w:cs="Arial"/>
              </w:rPr>
              <w:t>NPY/</w:t>
            </w:r>
            <w:r>
              <w:rPr>
                <w:rFonts w:ascii="Arial" w:hAnsi="Arial" w:cs="Arial"/>
              </w:rPr>
              <w:t>AgRP</w:t>
            </w:r>
          </w:p>
        </w:tc>
        <w:tc>
          <w:tcPr>
            <w:tcW w:w="7226" w:type="dxa"/>
          </w:tcPr>
          <w:p w14:paraId="535B2784" w14:textId="77777777" w:rsidR="00A23078" w:rsidRPr="00EA09E7" w:rsidRDefault="00A23078" w:rsidP="00A23078">
            <w:pPr>
              <w:spacing w:line="480" w:lineRule="auto"/>
              <w:rPr>
                <w:rFonts w:ascii="Arial" w:hAnsi="Arial" w:cs="Arial"/>
              </w:rPr>
            </w:pPr>
            <w:proofErr w:type="gramStart"/>
            <w:r w:rsidRPr="00EA09E7">
              <w:rPr>
                <w:rFonts w:ascii="Arial" w:hAnsi="Arial" w:cs="Arial"/>
              </w:rPr>
              <w:t>neuropeptide</w:t>
            </w:r>
            <w:proofErr w:type="gramEnd"/>
            <w:r w:rsidRPr="00EA09E7">
              <w:rPr>
                <w:rFonts w:ascii="Arial" w:hAnsi="Arial" w:cs="Arial"/>
              </w:rPr>
              <w:t xml:space="preserve"> Y/agouti-related protein</w:t>
            </w:r>
          </w:p>
        </w:tc>
      </w:tr>
      <w:tr w:rsidR="00A23078" w14:paraId="7EBE355E" w14:textId="77777777" w:rsidTr="007726CF">
        <w:tc>
          <w:tcPr>
            <w:tcW w:w="2802" w:type="dxa"/>
          </w:tcPr>
          <w:p w14:paraId="272B43B1" w14:textId="77777777" w:rsidR="00A23078" w:rsidRPr="00EA09E7" w:rsidRDefault="00A23078" w:rsidP="00A23078">
            <w:pPr>
              <w:spacing w:line="480" w:lineRule="auto"/>
              <w:rPr>
                <w:rFonts w:ascii="Arial" w:hAnsi="Arial" w:cs="Arial"/>
              </w:rPr>
            </w:pPr>
            <w:r>
              <w:rPr>
                <w:rFonts w:ascii="Arial" w:hAnsi="Arial" w:cs="Calibri"/>
                <w:bCs/>
                <w:color w:val="000000"/>
              </w:rPr>
              <w:t>NTX</w:t>
            </w:r>
          </w:p>
        </w:tc>
        <w:tc>
          <w:tcPr>
            <w:tcW w:w="7226" w:type="dxa"/>
          </w:tcPr>
          <w:p w14:paraId="41D0B50B" w14:textId="77777777" w:rsidR="00A23078" w:rsidRPr="00EA09E7" w:rsidRDefault="00A23078" w:rsidP="00A23078">
            <w:pPr>
              <w:spacing w:line="480" w:lineRule="auto"/>
              <w:rPr>
                <w:rFonts w:ascii="Arial" w:hAnsi="Arial" w:cs="Arial"/>
              </w:rPr>
            </w:pPr>
            <w:r>
              <w:rPr>
                <w:rFonts w:ascii="Arial" w:hAnsi="Arial" w:cs="Calibri"/>
                <w:bCs/>
                <w:color w:val="000000"/>
              </w:rPr>
              <w:t>N-terminal telopeptide</w:t>
            </w:r>
          </w:p>
        </w:tc>
      </w:tr>
      <w:tr w:rsidR="00A23078" w14:paraId="7254A0A0" w14:textId="77777777" w:rsidTr="007726CF">
        <w:tc>
          <w:tcPr>
            <w:tcW w:w="2802" w:type="dxa"/>
          </w:tcPr>
          <w:p w14:paraId="62125733" w14:textId="77777777" w:rsidR="00A23078" w:rsidRPr="00EA09E7" w:rsidRDefault="00A23078" w:rsidP="00A23078">
            <w:pPr>
              <w:spacing w:line="480" w:lineRule="auto"/>
              <w:rPr>
                <w:rFonts w:ascii="Arial" w:hAnsi="Arial" w:cs="Arial"/>
              </w:rPr>
            </w:pPr>
            <w:r w:rsidRPr="00EA09E7">
              <w:rPr>
                <w:rFonts w:ascii="Arial" w:hAnsi="Arial" w:cs="Arial"/>
              </w:rPr>
              <w:t>OPG</w:t>
            </w:r>
          </w:p>
        </w:tc>
        <w:tc>
          <w:tcPr>
            <w:tcW w:w="7226" w:type="dxa"/>
          </w:tcPr>
          <w:p w14:paraId="74A829B3" w14:textId="77777777" w:rsidR="00A23078" w:rsidRPr="00EA09E7" w:rsidRDefault="00A23078" w:rsidP="00A23078">
            <w:pPr>
              <w:spacing w:line="480" w:lineRule="auto"/>
              <w:rPr>
                <w:rFonts w:ascii="Arial" w:hAnsi="Arial" w:cs="Arial"/>
              </w:rPr>
            </w:pPr>
            <w:proofErr w:type="gramStart"/>
            <w:r w:rsidRPr="00EA09E7">
              <w:rPr>
                <w:rFonts w:ascii="Arial" w:hAnsi="Arial" w:cs="Arial"/>
              </w:rPr>
              <w:t>osteoprotegerin</w:t>
            </w:r>
            <w:proofErr w:type="gramEnd"/>
          </w:p>
        </w:tc>
      </w:tr>
      <w:tr w:rsidR="00A23078" w14:paraId="4F801CC0" w14:textId="77777777" w:rsidTr="007726CF">
        <w:tc>
          <w:tcPr>
            <w:tcW w:w="2802" w:type="dxa"/>
          </w:tcPr>
          <w:p w14:paraId="33A309D8" w14:textId="77777777" w:rsidR="00A23078" w:rsidRPr="00EA09E7" w:rsidRDefault="00A23078" w:rsidP="00A23078">
            <w:pPr>
              <w:spacing w:line="480" w:lineRule="auto"/>
              <w:rPr>
                <w:rFonts w:ascii="Arial" w:hAnsi="Arial" w:cs="Arial"/>
              </w:rPr>
            </w:pPr>
            <w:r>
              <w:rPr>
                <w:rFonts w:ascii="Arial" w:hAnsi="Arial" w:cs="Arial"/>
              </w:rPr>
              <w:t>PP</w:t>
            </w:r>
          </w:p>
        </w:tc>
        <w:tc>
          <w:tcPr>
            <w:tcW w:w="7226" w:type="dxa"/>
          </w:tcPr>
          <w:p w14:paraId="10BD76B8" w14:textId="77777777" w:rsidR="00A23078" w:rsidRPr="00697FF1" w:rsidRDefault="00A23078" w:rsidP="00A23078">
            <w:pPr>
              <w:spacing w:line="480" w:lineRule="auto"/>
              <w:rPr>
                <w:rFonts w:ascii="Arial" w:hAnsi="Arial" w:cs="Arial"/>
              </w:rPr>
            </w:pPr>
            <w:proofErr w:type="gramStart"/>
            <w:r w:rsidRPr="00697FF1">
              <w:rPr>
                <w:rFonts w:ascii="Arial" w:hAnsi="Arial"/>
                <w:color w:val="000000" w:themeColor="text1"/>
              </w:rPr>
              <w:t>pancreatic</w:t>
            </w:r>
            <w:proofErr w:type="gramEnd"/>
            <w:r w:rsidRPr="00697FF1">
              <w:rPr>
                <w:rFonts w:ascii="Arial" w:hAnsi="Arial"/>
                <w:color w:val="000000" w:themeColor="text1"/>
              </w:rPr>
              <w:t xml:space="preserve"> polypeptide</w:t>
            </w:r>
          </w:p>
        </w:tc>
      </w:tr>
      <w:tr w:rsidR="00A23078" w14:paraId="7A885CB8" w14:textId="77777777" w:rsidTr="007726CF">
        <w:tc>
          <w:tcPr>
            <w:tcW w:w="2802" w:type="dxa"/>
          </w:tcPr>
          <w:p w14:paraId="00DBDC87" w14:textId="77777777" w:rsidR="00A23078" w:rsidRPr="00EA09E7" w:rsidRDefault="00A23078" w:rsidP="00A23078">
            <w:pPr>
              <w:spacing w:line="480" w:lineRule="auto"/>
              <w:rPr>
                <w:rFonts w:ascii="Arial" w:hAnsi="Arial" w:cs="Arial"/>
              </w:rPr>
            </w:pPr>
            <w:r w:rsidRPr="00EA09E7">
              <w:rPr>
                <w:rFonts w:ascii="Arial" w:hAnsi="Arial" w:cs="Arial"/>
              </w:rPr>
              <w:t>PTH</w:t>
            </w:r>
          </w:p>
        </w:tc>
        <w:tc>
          <w:tcPr>
            <w:tcW w:w="7226" w:type="dxa"/>
          </w:tcPr>
          <w:p w14:paraId="0DA7D44E" w14:textId="77777777" w:rsidR="00A23078" w:rsidRPr="00EA09E7" w:rsidRDefault="00A23078" w:rsidP="00A23078">
            <w:pPr>
              <w:spacing w:line="480" w:lineRule="auto"/>
              <w:rPr>
                <w:rFonts w:ascii="Arial" w:hAnsi="Arial" w:cs="Arial"/>
              </w:rPr>
            </w:pPr>
            <w:proofErr w:type="gramStart"/>
            <w:r w:rsidRPr="00EA09E7">
              <w:rPr>
                <w:rFonts w:ascii="Arial" w:hAnsi="Arial" w:cs="Arial"/>
              </w:rPr>
              <w:t>parathyroid</w:t>
            </w:r>
            <w:proofErr w:type="gramEnd"/>
            <w:r w:rsidRPr="00EA09E7">
              <w:rPr>
                <w:rFonts w:ascii="Arial" w:hAnsi="Arial" w:cs="Arial"/>
              </w:rPr>
              <w:t xml:space="preserve"> hormone</w:t>
            </w:r>
          </w:p>
        </w:tc>
      </w:tr>
      <w:tr w:rsidR="00A23078" w14:paraId="537D52CE" w14:textId="77777777" w:rsidTr="007726CF">
        <w:tc>
          <w:tcPr>
            <w:tcW w:w="2802" w:type="dxa"/>
          </w:tcPr>
          <w:p w14:paraId="5C5A06E0" w14:textId="77777777" w:rsidR="00A23078" w:rsidRPr="00EA09E7" w:rsidRDefault="00A23078" w:rsidP="00A23078">
            <w:pPr>
              <w:spacing w:line="480" w:lineRule="auto"/>
              <w:rPr>
                <w:rFonts w:ascii="Arial" w:hAnsi="Arial" w:cs="Arial"/>
              </w:rPr>
            </w:pPr>
            <w:r w:rsidRPr="00EA09E7">
              <w:rPr>
                <w:rFonts w:ascii="Arial" w:hAnsi="Arial" w:cs="Arial"/>
                <w:bCs/>
                <w:color w:val="000000"/>
              </w:rPr>
              <w:t>PVN</w:t>
            </w:r>
          </w:p>
        </w:tc>
        <w:tc>
          <w:tcPr>
            <w:tcW w:w="7226" w:type="dxa"/>
          </w:tcPr>
          <w:p w14:paraId="04C6A38F" w14:textId="77777777" w:rsidR="00A23078" w:rsidRPr="00EA09E7" w:rsidRDefault="00A23078" w:rsidP="00A23078">
            <w:pPr>
              <w:spacing w:line="480" w:lineRule="auto"/>
              <w:rPr>
                <w:rFonts w:ascii="Arial" w:hAnsi="Arial" w:cs="Arial"/>
              </w:rPr>
            </w:pPr>
            <w:proofErr w:type="gramStart"/>
            <w:r w:rsidRPr="00EA09E7">
              <w:rPr>
                <w:rFonts w:ascii="Arial" w:hAnsi="Arial" w:cs="Arial"/>
                <w:bCs/>
                <w:color w:val="000000"/>
              </w:rPr>
              <w:t>paraventricular</w:t>
            </w:r>
            <w:proofErr w:type="gramEnd"/>
            <w:r w:rsidRPr="00EA09E7">
              <w:rPr>
                <w:rFonts w:ascii="Arial" w:hAnsi="Arial" w:cs="Arial"/>
                <w:bCs/>
                <w:color w:val="000000"/>
              </w:rPr>
              <w:t xml:space="preserve"> nucleus</w:t>
            </w:r>
          </w:p>
        </w:tc>
      </w:tr>
      <w:tr w:rsidR="00A23078" w14:paraId="6B309E85" w14:textId="77777777" w:rsidTr="007726CF">
        <w:tc>
          <w:tcPr>
            <w:tcW w:w="2802" w:type="dxa"/>
          </w:tcPr>
          <w:p w14:paraId="09DE88F9" w14:textId="77777777" w:rsidR="00A23078" w:rsidRPr="00EA09E7" w:rsidRDefault="00A23078" w:rsidP="00A23078">
            <w:pPr>
              <w:spacing w:line="480" w:lineRule="auto"/>
              <w:rPr>
                <w:rFonts w:ascii="Arial" w:hAnsi="Arial" w:cs="Arial"/>
                <w:bCs/>
                <w:color w:val="000000"/>
              </w:rPr>
            </w:pPr>
            <w:r w:rsidRPr="00EA09E7">
              <w:rPr>
                <w:rFonts w:ascii="Arial" w:hAnsi="Arial" w:cs="Arial"/>
              </w:rPr>
              <w:t>RAMP</w:t>
            </w:r>
          </w:p>
        </w:tc>
        <w:tc>
          <w:tcPr>
            <w:tcW w:w="7226" w:type="dxa"/>
          </w:tcPr>
          <w:p w14:paraId="39396DA8" w14:textId="77777777" w:rsidR="00A23078" w:rsidRPr="00EA09E7" w:rsidRDefault="00A23078" w:rsidP="00A23078">
            <w:pPr>
              <w:spacing w:line="480" w:lineRule="auto"/>
              <w:rPr>
                <w:rFonts w:ascii="Arial" w:hAnsi="Arial" w:cs="Arial"/>
                <w:bCs/>
                <w:color w:val="000000"/>
              </w:rPr>
            </w:pPr>
            <w:proofErr w:type="gramStart"/>
            <w:r w:rsidRPr="00EA09E7">
              <w:rPr>
                <w:rFonts w:ascii="Arial" w:hAnsi="Arial" w:cs="Arial"/>
                <w:bCs/>
                <w:color w:val="000000"/>
              </w:rPr>
              <w:t>receptor</w:t>
            </w:r>
            <w:proofErr w:type="gramEnd"/>
            <w:r w:rsidRPr="00EA09E7">
              <w:rPr>
                <w:rFonts w:ascii="Arial" w:hAnsi="Arial" w:cs="Arial"/>
                <w:bCs/>
                <w:color w:val="000000"/>
              </w:rPr>
              <w:t xml:space="preserve"> activity modifying protein</w:t>
            </w:r>
          </w:p>
        </w:tc>
      </w:tr>
      <w:tr w:rsidR="00A23078" w14:paraId="6875EF4E" w14:textId="77777777" w:rsidTr="007726CF">
        <w:tc>
          <w:tcPr>
            <w:tcW w:w="2802" w:type="dxa"/>
          </w:tcPr>
          <w:p w14:paraId="433E4203" w14:textId="77777777" w:rsidR="00A23078" w:rsidRPr="00EA09E7" w:rsidRDefault="00A23078" w:rsidP="00A23078">
            <w:pPr>
              <w:spacing w:line="480" w:lineRule="auto"/>
              <w:rPr>
                <w:rFonts w:ascii="Arial" w:hAnsi="Arial" w:cs="Arial"/>
              </w:rPr>
            </w:pPr>
            <w:r>
              <w:rPr>
                <w:rFonts w:ascii="Arial" w:hAnsi="Arial" w:cs="Arial"/>
                <w:bCs/>
                <w:color w:val="000000"/>
              </w:rPr>
              <w:t xml:space="preserve">RANK  </w:t>
            </w:r>
          </w:p>
        </w:tc>
        <w:tc>
          <w:tcPr>
            <w:tcW w:w="7226" w:type="dxa"/>
          </w:tcPr>
          <w:p w14:paraId="467743EF" w14:textId="77777777" w:rsidR="00A23078" w:rsidRPr="00EA09E7" w:rsidRDefault="008C1A2B" w:rsidP="00A23078">
            <w:pPr>
              <w:spacing w:line="480" w:lineRule="auto"/>
              <w:rPr>
                <w:rFonts w:ascii="Arial" w:hAnsi="Arial" w:cs="Arial"/>
                <w:bCs/>
                <w:color w:val="000000"/>
              </w:rPr>
            </w:pPr>
            <w:proofErr w:type="gramStart"/>
            <w:r>
              <w:rPr>
                <w:rFonts w:ascii="Arial" w:hAnsi="Arial" w:cs="Arial"/>
                <w:bCs/>
                <w:color w:val="000000"/>
              </w:rPr>
              <w:t>receptor</w:t>
            </w:r>
            <w:proofErr w:type="gramEnd"/>
            <w:r>
              <w:rPr>
                <w:rFonts w:ascii="Arial" w:hAnsi="Arial" w:cs="Arial"/>
                <w:bCs/>
                <w:color w:val="000000"/>
              </w:rPr>
              <w:t xml:space="preserve"> activator of nuclear</w:t>
            </w:r>
            <w:r w:rsidR="00A23078">
              <w:rPr>
                <w:rFonts w:ascii="Arial" w:hAnsi="Arial" w:cs="Arial"/>
                <w:bCs/>
                <w:color w:val="000000"/>
              </w:rPr>
              <w:t xml:space="preserve"> factor </w:t>
            </w:r>
            <w:r w:rsidR="00A23078" w:rsidRPr="00EA09E7">
              <w:rPr>
                <w:rFonts w:ascii="Arial" w:hAnsi="Arial" w:cs="Arial"/>
              </w:rPr>
              <w:sym w:font="Symbol" w:char="F06B"/>
            </w:r>
            <w:r w:rsidR="00A23078" w:rsidRPr="00EA09E7">
              <w:rPr>
                <w:rFonts w:ascii="Arial" w:hAnsi="Arial" w:cs="Arial"/>
              </w:rPr>
              <w:sym w:font="Symbol" w:char="F062"/>
            </w:r>
          </w:p>
        </w:tc>
      </w:tr>
      <w:tr w:rsidR="00A23078" w14:paraId="40DD523E" w14:textId="77777777" w:rsidTr="007726CF">
        <w:tc>
          <w:tcPr>
            <w:tcW w:w="2802" w:type="dxa"/>
          </w:tcPr>
          <w:p w14:paraId="0F6A681E" w14:textId="77777777" w:rsidR="00A23078" w:rsidRDefault="00A23078" w:rsidP="00A23078">
            <w:pPr>
              <w:spacing w:line="480" w:lineRule="auto"/>
              <w:rPr>
                <w:rFonts w:ascii="Arial" w:hAnsi="Arial" w:cs="Arial"/>
                <w:bCs/>
                <w:color w:val="000000"/>
              </w:rPr>
            </w:pPr>
            <w:r w:rsidRPr="00EA09E7">
              <w:rPr>
                <w:rFonts w:ascii="Arial" w:hAnsi="Arial" w:cs="Arial"/>
              </w:rPr>
              <w:t>RANKL</w:t>
            </w:r>
          </w:p>
        </w:tc>
        <w:tc>
          <w:tcPr>
            <w:tcW w:w="7226" w:type="dxa"/>
          </w:tcPr>
          <w:p w14:paraId="00290624" w14:textId="77777777" w:rsidR="00A23078" w:rsidRDefault="008C1A2B" w:rsidP="00A23078">
            <w:pPr>
              <w:spacing w:line="480" w:lineRule="auto"/>
              <w:rPr>
                <w:rFonts w:ascii="Arial" w:hAnsi="Arial" w:cs="Arial"/>
                <w:bCs/>
                <w:color w:val="000000"/>
              </w:rPr>
            </w:pPr>
            <w:proofErr w:type="gramStart"/>
            <w:r>
              <w:rPr>
                <w:rFonts w:ascii="Arial" w:hAnsi="Arial" w:cs="Arial"/>
              </w:rPr>
              <w:t>receptor</w:t>
            </w:r>
            <w:proofErr w:type="gramEnd"/>
            <w:r>
              <w:rPr>
                <w:rFonts w:ascii="Arial" w:hAnsi="Arial" w:cs="Arial"/>
              </w:rPr>
              <w:t xml:space="preserve"> activator of nuclear</w:t>
            </w:r>
            <w:r w:rsidR="00A23078" w:rsidRPr="00EA09E7">
              <w:rPr>
                <w:rFonts w:ascii="Arial" w:hAnsi="Arial" w:cs="Arial"/>
              </w:rPr>
              <w:t xml:space="preserve"> factor </w:t>
            </w:r>
            <w:r w:rsidR="00A23078" w:rsidRPr="00EA09E7">
              <w:rPr>
                <w:rFonts w:ascii="Arial" w:hAnsi="Arial" w:cs="Arial"/>
              </w:rPr>
              <w:sym w:font="Symbol" w:char="F06B"/>
            </w:r>
            <w:r w:rsidR="00A23078" w:rsidRPr="00EA09E7">
              <w:rPr>
                <w:rFonts w:ascii="Arial" w:hAnsi="Arial" w:cs="Arial"/>
              </w:rPr>
              <w:sym w:font="Symbol" w:char="F062"/>
            </w:r>
            <w:r w:rsidR="00A23078" w:rsidRPr="00EA09E7">
              <w:rPr>
                <w:rFonts w:ascii="Arial" w:hAnsi="Arial" w:cs="Arial"/>
              </w:rPr>
              <w:t xml:space="preserve"> ligand</w:t>
            </w:r>
          </w:p>
        </w:tc>
      </w:tr>
      <w:tr w:rsidR="00A23078" w14:paraId="4D51532D" w14:textId="77777777" w:rsidTr="007726CF">
        <w:tc>
          <w:tcPr>
            <w:tcW w:w="2802" w:type="dxa"/>
          </w:tcPr>
          <w:p w14:paraId="05A8F317" w14:textId="77777777" w:rsidR="00A23078" w:rsidRPr="00EA09E7" w:rsidRDefault="00A23078" w:rsidP="00A23078">
            <w:pPr>
              <w:spacing w:line="480" w:lineRule="auto"/>
              <w:rPr>
                <w:rFonts w:ascii="Arial" w:hAnsi="Arial" w:cs="Arial"/>
              </w:rPr>
            </w:pPr>
            <w:r>
              <w:rPr>
                <w:rFonts w:ascii="Arial" w:hAnsi="Arial" w:cs="Arial"/>
              </w:rPr>
              <w:t>ROI</w:t>
            </w:r>
          </w:p>
        </w:tc>
        <w:tc>
          <w:tcPr>
            <w:tcW w:w="7226" w:type="dxa"/>
          </w:tcPr>
          <w:p w14:paraId="3D825DB2" w14:textId="77777777" w:rsidR="00A23078" w:rsidRPr="00EA09E7" w:rsidRDefault="00A23078" w:rsidP="00A23078">
            <w:pPr>
              <w:spacing w:line="480" w:lineRule="auto"/>
              <w:rPr>
                <w:rFonts w:ascii="Arial" w:hAnsi="Arial" w:cs="Arial"/>
              </w:rPr>
            </w:pPr>
            <w:proofErr w:type="gramStart"/>
            <w:r>
              <w:rPr>
                <w:rFonts w:ascii="Arial" w:hAnsi="Arial" w:cs="Arial"/>
              </w:rPr>
              <w:t>region</w:t>
            </w:r>
            <w:proofErr w:type="gramEnd"/>
            <w:r>
              <w:rPr>
                <w:rFonts w:ascii="Arial" w:hAnsi="Arial" w:cs="Arial"/>
              </w:rPr>
              <w:t xml:space="preserve"> of interest</w:t>
            </w:r>
          </w:p>
        </w:tc>
      </w:tr>
      <w:tr w:rsidR="00A23078" w14:paraId="13CEEB0F" w14:textId="77777777" w:rsidTr="007726CF">
        <w:tc>
          <w:tcPr>
            <w:tcW w:w="2802" w:type="dxa"/>
          </w:tcPr>
          <w:p w14:paraId="43F0B333" w14:textId="77777777" w:rsidR="00A23078" w:rsidRPr="00EA09E7" w:rsidRDefault="00A23078" w:rsidP="00A23078">
            <w:pPr>
              <w:spacing w:line="480" w:lineRule="auto"/>
              <w:rPr>
                <w:rFonts w:ascii="Arial" w:hAnsi="Arial" w:cs="Arial"/>
              </w:rPr>
            </w:pPr>
            <w:r w:rsidRPr="00EA09E7">
              <w:rPr>
                <w:rFonts w:ascii="Arial" w:hAnsi="Arial" w:cs="Arial"/>
              </w:rPr>
              <w:t xml:space="preserve">Runx2   </w:t>
            </w:r>
          </w:p>
        </w:tc>
        <w:tc>
          <w:tcPr>
            <w:tcW w:w="7226" w:type="dxa"/>
          </w:tcPr>
          <w:p w14:paraId="04177ACE" w14:textId="77777777" w:rsidR="00A23078" w:rsidRPr="00EA09E7" w:rsidRDefault="00A23078" w:rsidP="00A23078">
            <w:pPr>
              <w:spacing w:line="480" w:lineRule="auto"/>
              <w:rPr>
                <w:rFonts w:ascii="Arial" w:hAnsi="Arial" w:cs="Arial"/>
              </w:rPr>
            </w:pPr>
            <w:proofErr w:type="gramStart"/>
            <w:r w:rsidRPr="00EA09E7">
              <w:rPr>
                <w:rFonts w:ascii="Arial" w:hAnsi="Arial" w:cs="Arial"/>
              </w:rPr>
              <w:t>runt</w:t>
            </w:r>
            <w:proofErr w:type="gramEnd"/>
            <w:r w:rsidRPr="00EA09E7">
              <w:rPr>
                <w:rFonts w:ascii="Arial" w:hAnsi="Arial" w:cs="Arial"/>
              </w:rPr>
              <w:t>-related transcription factor 2</w:t>
            </w:r>
          </w:p>
        </w:tc>
      </w:tr>
      <w:tr w:rsidR="00A23078" w14:paraId="725A6369" w14:textId="77777777" w:rsidTr="007726CF">
        <w:tc>
          <w:tcPr>
            <w:tcW w:w="2802" w:type="dxa"/>
          </w:tcPr>
          <w:p w14:paraId="041C5719" w14:textId="77777777" w:rsidR="00A23078" w:rsidRPr="00EA09E7" w:rsidRDefault="00A23078" w:rsidP="00A23078">
            <w:pPr>
              <w:spacing w:line="480" w:lineRule="auto"/>
              <w:rPr>
                <w:rFonts w:ascii="Arial" w:hAnsi="Arial" w:cs="Arial"/>
              </w:rPr>
            </w:pPr>
            <w:r>
              <w:rPr>
                <w:rFonts w:ascii="Arial" w:hAnsi="Arial" w:cs="Arial"/>
              </w:rPr>
              <w:t>SA-PE</w:t>
            </w:r>
          </w:p>
        </w:tc>
        <w:tc>
          <w:tcPr>
            <w:tcW w:w="7226" w:type="dxa"/>
          </w:tcPr>
          <w:p w14:paraId="4E4619D8" w14:textId="77777777" w:rsidR="00A23078" w:rsidRPr="00EA09E7" w:rsidRDefault="00A23078" w:rsidP="007726CF">
            <w:pPr>
              <w:tabs>
                <w:tab w:val="right" w:pos="7010"/>
              </w:tabs>
              <w:spacing w:line="480" w:lineRule="auto"/>
              <w:rPr>
                <w:rFonts w:ascii="Arial" w:hAnsi="Arial" w:cs="Arial"/>
              </w:rPr>
            </w:pPr>
            <w:proofErr w:type="gramStart"/>
            <w:r w:rsidRPr="00A932D2">
              <w:rPr>
                <w:rFonts w:ascii="Arial" w:hAnsi="Arial" w:cs="Arial"/>
              </w:rPr>
              <w:t>streptavidin</w:t>
            </w:r>
            <w:proofErr w:type="gramEnd"/>
            <w:r w:rsidRPr="00A932D2">
              <w:rPr>
                <w:rFonts w:ascii="Arial" w:hAnsi="Arial" w:cs="Arial"/>
              </w:rPr>
              <w:t>-phycoerythrin</w:t>
            </w:r>
            <w:r w:rsidR="007726CF">
              <w:rPr>
                <w:rFonts w:ascii="Arial" w:hAnsi="Arial" w:cs="Arial"/>
              </w:rPr>
              <w:tab/>
            </w:r>
          </w:p>
        </w:tc>
      </w:tr>
      <w:tr w:rsidR="007726CF" w14:paraId="5766C1D4" w14:textId="77777777" w:rsidTr="007726CF">
        <w:tc>
          <w:tcPr>
            <w:tcW w:w="2802" w:type="dxa"/>
          </w:tcPr>
          <w:p w14:paraId="10A49B39" w14:textId="77777777" w:rsidR="007726CF" w:rsidRDefault="007726CF" w:rsidP="00A23078">
            <w:pPr>
              <w:spacing w:line="480" w:lineRule="auto"/>
              <w:rPr>
                <w:rFonts w:ascii="Arial" w:hAnsi="Arial" w:cs="Arial"/>
              </w:rPr>
            </w:pPr>
            <w:r>
              <w:rPr>
                <w:rFonts w:ascii="Arial" w:hAnsi="Arial" w:cs="Arial"/>
              </w:rPr>
              <w:t>SEM</w:t>
            </w:r>
          </w:p>
        </w:tc>
        <w:tc>
          <w:tcPr>
            <w:tcW w:w="7226" w:type="dxa"/>
          </w:tcPr>
          <w:p w14:paraId="15E398BA" w14:textId="77777777" w:rsidR="007726CF" w:rsidRPr="00A932D2" w:rsidRDefault="007726CF" w:rsidP="007726CF">
            <w:pPr>
              <w:tabs>
                <w:tab w:val="right" w:pos="7010"/>
              </w:tabs>
              <w:spacing w:line="480" w:lineRule="auto"/>
              <w:rPr>
                <w:rFonts w:ascii="Arial" w:hAnsi="Arial" w:cs="Arial"/>
              </w:rPr>
            </w:pPr>
            <w:proofErr w:type="gramStart"/>
            <w:r>
              <w:rPr>
                <w:rFonts w:ascii="Arial" w:hAnsi="Arial" w:cs="Arial"/>
              </w:rPr>
              <w:t>scanning</w:t>
            </w:r>
            <w:proofErr w:type="gramEnd"/>
            <w:r>
              <w:rPr>
                <w:rFonts w:ascii="Arial" w:hAnsi="Arial" w:cs="Arial"/>
              </w:rPr>
              <w:t xml:space="preserve"> electron micrograph</w:t>
            </w:r>
          </w:p>
        </w:tc>
      </w:tr>
      <w:tr w:rsidR="00A23078" w14:paraId="2F0A09E5" w14:textId="77777777" w:rsidTr="007726CF">
        <w:tc>
          <w:tcPr>
            <w:tcW w:w="2802" w:type="dxa"/>
          </w:tcPr>
          <w:p w14:paraId="1C26CCF1" w14:textId="77777777" w:rsidR="00A23078" w:rsidRPr="00EA09E7" w:rsidRDefault="00A23078" w:rsidP="00A23078">
            <w:pPr>
              <w:spacing w:line="480" w:lineRule="auto"/>
              <w:rPr>
                <w:rFonts w:ascii="Arial" w:hAnsi="Arial" w:cs="Arial"/>
                <w:i/>
              </w:rPr>
            </w:pPr>
            <w:proofErr w:type="gramStart"/>
            <w:r>
              <w:rPr>
                <w:rFonts w:ascii="Arial" w:hAnsi="Arial"/>
              </w:rPr>
              <w:t>sLS</w:t>
            </w:r>
            <w:proofErr w:type="gramEnd"/>
          </w:p>
        </w:tc>
        <w:tc>
          <w:tcPr>
            <w:tcW w:w="7226" w:type="dxa"/>
          </w:tcPr>
          <w:p w14:paraId="1790F4BF" w14:textId="77777777" w:rsidR="00A23078" w:rsidRPr="00EA09E7" w:rsidRDefault="00981AF9" w:rsidP="00A23078">
            <w:pPr>
              <w:spacing w:line="480" w:lineRule="auto"/>
              <w:rPr>
                <w:rFonts w:ascii="Arial" w:hAnsi="Arial" w:cs="Arial"/>
                <w:i/>
              </w:rPr>
            </w:pPr>
            <w:proofErr w:type="gramStart"/>
            <w:r>
              <w:rPr>
                <w:rFonts w:ascii="Arial" w:hAnsi="Arial"/>
              </w:rPr>
              <w:t>single</w:t>
            </w:r>
            <w:proofErr w:type="gramEnd"/>
            <w:r>
              <w:rPr>
                <w:rFonts w:ascii="Arial" w:hAnsi="Arial"/>
              </w:rPr>
              <w:t>-label</w:t>
            </w:r>
            <w:r w:rsidR="00A23078">
              <w:rPr>
                <w:rFonts w:ascii="Arial" w:hAnsi="Arial"/>
              </w:rPr>
              <w:t>ed surface</w:t>
            </w:r>
          </w:p>
        </w:tc>
      </w:tr>
      <w:tr w:rsidR="00A23078" w14:paraId="241A496C" w14:textId="77777777" w:rsidTr="007726CF">
        <w:tc>
          <w:tcPr>
            <w:tcW w:w="2802" w:type="dxa"/>
          </w:tcPr>
          <w:p w14:paraId="2F2A6D1C" w14:textId="77777777" w:rsidR="00A23078" w:rsidRPr="00EA09E7" w:rsidRDefault="00A23078" w:rsidP="00A23078">
            <w:pPr>
              <w:spacing w:line="480" w:lineRule="auto"/>
              <w:rPr>
                <w:rFonts w:ascii="Arial" w:hAnsi="Arial" w:cs="Arial"/>
                <w:i/>
              </w:rPr>
            </w:pPr>
            <w:r w:rsidRPr="00EA09E7">
              <w:rPr>
                <w:rFonts w:ascii="Arial" w:hAnsi="Arial" w:cs="Arial"/>
              </w:rPr>
              <w:t>SNS</w:t>
            </w:r>
          </w:p>
        </w:tc>
        <w:tc>
          <w:tcPr>
            <w:tcW w:w="7226" w:type="dxa"/>
          </w:tcPr>
          <w:p w14:paraId="09A899A0" w14:textId="77777777" w:rsidR="00A23078" w:rsidRPr="00EA09E7" w:rsidRDefault="00A23078" w:rsidP="00A23078">
            <w:pPr>
              <w:spacing w:line="480" w:lineRule="auto"/>
              <w:rPr>
                <w:rFonts w:ascii="Arial" w:hAnsi="Arial" w:cs="Arial"/>
                <w:i/>
              </w:rPr>
            </w:pPr>
            <w:proofErr w:type="gramStart"/>
            <w:r w:rsidRPr="00EA09E7">
              <w:rPr>
                <w:rFonts w:ascii="Arial" w:hAnsi="Arial" w:cs="Arial"/>
              </w:rPr>
              <w:t>sympathetic</w:t>
            </w:r>
            <w:proofErr w:type="gramEnd"/>
            <w:r w:rsidRPr="00EA09E7">
              <w:rPr>
                <w:rFonts w:ascii="Arial" w:hAnsi="Arial" w:cs="Arial"/>
              </w:rPr>
              <w:t xml:space="preserve"> nervous system</w:t>
            </w:r>
          </w:p>
        </w:tc>
      </w:tr>
      <w:tr w:rsidR="00A23078" w14:paraId="57C75B0F" w14:textId="77777777" w:rsidTr="007726CF">
        <w:tc>
          <w:tcPr>
            <w:tcW w:w="2802" w:type="dxa"/>
          </w:tcPr>
          <w:p w14:paraId="1F7F73DA" w14:textId="77777777" w:rsidR="00A23078" w:rsidRPr="00EA09E7" w:rsidRDefault="00A23078" w:rsidP="00A23078">
            <w:pPr>
              <w:spacing w:line="480" w:lineRule="auto"/>
              <w:rPr>
                <w:rFonts w:ascii="Arial" w:hAnsi="Arial" w:cs="Arial"/>
              </w:rPr>
            </w:pPr>
            <w:r>
              <w:rPr>
                <w:rFonts w:ascii="Arial" w:hAnsi="Arial" w:cs="Arial"/>
              </w:rPr>
              <w:t>Tb.N</w:t>
            </w:r>
          </w:p>
        </w:tc>
        <w:tc>
          <w:tcPr>
            <w:tcW w:w="7226" w:type="dxa"/>
          </w:tcPr>
          <w:p w14:paraId="778C2DD6" w14:textId="77777777" w:rsidR="00A23078" w:rsidRPr="00EA09E7" w:rsidRDefault="00A23078" w:rsidP="00A23078">
            <w:pPr>
              <w:spacing w:line="480" w:lineRule="auto"/>
              <w:rPr>
                <w:rFonts w:ascii="Arial" w:hAnsi="Arial" w:cs="Arial"/>
              </w:rPr>
            </w:pPr>
            <w:proofErr w:type="gramStart"/>
            <w:r>
              <w:rPr>
                <w:rFonts w:ascii="Arial" w:hAnsi="Arial" w:cs="Arial"/>
              </w:rPr>
              <w:t>trabecular</w:t>
            </w:r>
            <w:proofErr w:type="gramEnd"/>
            <w:r>
              <w:rPr>
                <w:rFonts w:ascii="Arial" w:hAnsi="Arial" w:cs="Arial"/>
              </w:rPr>
              <w:t xml:space="preserve"> number</w:t>
            </w:r>
          </w:p>
        </w:tc>
      </w:tr>
      <w:tr w:rsidR="00A23078" w14:paraId="0929613C" w14:textId="77777777" w:rsidTr="007726CF">
        <w:tc>
          <w:tcPr>
            <w:tcW w:w="2802" w:type="dxa"/>
          </w:tcPr>
          <w:p w14:paraId="15FD3315" w14:textId="77777777" w:rsidR="00A23078" w:rsidRDefault="00A23078" w:rsidP="00A23078">
            <w:pPr>
              <w:spacing w:line="480" w:lineRule="auto"/>
              <w:rPr>
                <w:rFonts w:ascii="Arial" w:hAnsi="Arial" w:cs="Arial"/>
              </w:rPr>
            </w:pPr>
            <w:r>
              <w:rPr>
                <w:rFonts w:ascii="Arial" w:hAnsi="Arial" w:cs="Arial"/>
              </w:rPr>
              <w:t>Tb.Pf</w:t>
            </w:r>
          </w:p>
        </w:tc>
        <w:tc>
          <w:tcPr>
            <w:tcW w:w="7226" w:type="dxa"/>
          </w:tcPr>
          <w:p w14:paraId="2D9D5DEF" w14:textId="77777777" w:rsidR="00A23078" w:rsidRDefault="00A23078" w:rsidP="00A23078">
            <w:pPr>
              <w:spacing w:line="480" w:lineRule="auto"/>
              <w:rPr>
                <w:rFonts w:ascii="Arial" w:hAnsi="Arial" w:cs="Arial"/>
              </w:rPr>
            </w:pPr>
            <w:proofErr w:type="gramStart"/>
            <w:r>
              <w:rPr>
                <w:rFonts w:ascii="Arial" w:hAnsi="Arial" w:cs="Arial"/>
              </w:rPr>
              <w:t>trabecular</w:t>
            </w:r>
            <w:proofErr w:type="gramEnd"/>
            <w:r>
              <w:rPr>
                <w:rFonts w:ascii="Arial" w:hAnsi="Arial" w:cs="Arial"/>
              </w:rPr>
              <w:t xml:space="preserve"> pattern factor</w:t>
            </w:r>
          </w:p>
        </w:tc>
      </w:tr>
      <w:tr w:rsidR="00A23078" w14:paraId="08223C0B" w14:textId="77777777" w:rsidTr="007726CF">
        <w:tc>
          <w:tcPr>
            <w:tcW w:w="2802" w:type="dxa"/>
          </w:tcPr>
          <w:p w14:paraId="1383F23F" w14:textId="77777777" w:rsidR="00A23078" w:rsidRDefault="00A23078" w:rsidP="00A23078">
            <w:pPr>
              <w:spacing w:line="480" w:lineRule="auto"/>
              <w:rPr>
                <w:rFonts w:ascii="Arial" w:hAnsi="Arial" w:cs="Arial"/>
              </w:rPr>
            </w:pPr>
            <w:r>
              <w:rPr>
                <w:rFonts w:ascii="Arial" w:hAnsi="Arial" w:cs="Arial"/>
              </w:rPr>
              <w:t>Tb.Th</w:t>
            </w:r>
          </w:p>
        </w:tc>
        <w:tc>
          <w:tcPr>
            <w:tcW w:w="7226" w:type="dxa"/>
          </w:tcPr>
          <w:p w14:paraId="47F11E3F" w14:textId="77777777" w:rsidR="00A23078" w:rsidRDefault="00A23078" w:rsidP="00A23078">
            <w:pPr>
              <w:spacing w:line="480" w:lineRule="auto"/>
              <w:rPr>
                <w:rFonts w:ascii="Arial" w:hAnsi="Arial" w:cs="Arial"/>
              </w:rPr>
            </w:pPr>
            <w:proofErr w:type="gramStart"/>
            <w:r>
              <w:rPr>
                <w:rFonts w:ascii="Arial" w:hAnsi="Arial" w:cs="Arial"/>
              </w:rPr>
              <w:t>trabecular</w:t>
            </w:r>
            <w:proofErr w:type="gramEnd"/>
            <w:r>
              <w:rPr>
                <w:rFonts w:ascii="Arial" w:hAnsi="Arial" w:cs="Arial"/>
              </w:rPr>
              <w:t xml:space="preserve"> thickness</w:t>
            </w:r>
          </w:p>
        </w:tc>
      </w:tr>
      <w:tr w:rsidR="00A23078" w14:paraId="083ACDDB" w14:textId="77777777" w:rsidTr="007726CF">
        <w:tc>
          <w:tcPr>
            <w:tcW w:w="2802" w:type="dxa"/>
          </w:tcPr>
          <w:p w14:paraId="24662DB7" w14:textId="77777777" w:rsidR="00A23078" w:rsidRDefault="00A23078" w:rsidP="00A23078">
            <w:pPr>
              <w:spacing w:line="480" w:lineRule="auto"/>
              <w:rPr>
                <w:rFonts w:ascii="Arial" w:hAnsi="Arial" w:cs="Arial"/>
              </w:rPr>
            </w:pPr>
            <w:r w:rsidRPr="005D7968">
              <w:rPr>
                <w:rFonts w:ascii="Arial" w:hAnsi="Arial" w:cs="Arial"/>
                <w:shd w:val="clear" w:color="auto" w:fill="FFFFFF"/>
              </w:rPr>
              <w:t>TMB</w:t>
            </w:r>
          </w:p>
        </w:tc>
        <w:tc>
          <w:tcPr>
            <w:tcW w:w="7226" w:type="dxa"/>
          </w:tcPr>
          <w:p w14:paraId="7EF49666" w14:textId="77777777" w:rsidR="00A23078" w:rsidRDefault="00A23078" w:rsidP="00A23078">
            <w:pPr>
              <w:spacing w:line="480" w:lineRule="auto"/>
              <w:rPr>
                <w:rFonts w:ascii="Arial" w:hAnsi="Arial" w:cs="Arial"/>
              </w:rPr>
            </w:pPr>
            <w:proofErr w:type="gramStart"/>
            <w:r>
              <w:rPr>
                <w:rFonts w:ascii="Arial" w:hAnsi="Arial" w:cs="Arial"/>
                <w:shd w:val="clear" w:color="auto" w:fill="FFFFFF"/>
              </w:rPr>
              <w:t>tetramethylbenzidine</w:t>
            </w:r>
            <w:proofErr w:type="gramEnd"/>
          </w:p>
        </w:tc>
      </w:tr>
      <w:tr w:rsidR="00A23078" w14:paraId="4EE6AB9F" w14:textId="77777777" w:rsidTr="007726CF">
        <w:tc>
          <w:tcPr>
            <w:tcW w:w="2802" w:type="dxa"/>
          </w:tcPr>
          <w:p w14:paraId="52F7F558" w14:textId="77777777" w:rsidR="00A23078" w:rsidRPr="00EA09E7" w:rsidRDefault="00A23078" w:rsidP="00A23078">
            <w:pPr>
              <w:spacing w:line="480" w:lineRule="auto"/>
              <w:rPr>
                <w:rFonts w:ascii="Arial" w:hAnsi="Arial" w:cs="Arial"/>
              </w:rPr>
            </w:pPr>
            <w:r w:rsidRPr="00EA09E7">
              <w:rPr>
                <w:rFonts w:ascii="Arial" w:hAnsi="Arial" w:cs="Arial"/>
              </w:rPr>
              <w:t>TNFα</w:t>
            </w:r>
          </w:p>
        </w:tc>
        <w:tc>
          <w:tcPr>
            <w:tcW w:w="7226" w:type="dxa"/>
          </w:tcPr>
          <w:p w14:paraId="0D8BFFF2" w14:textId="77777777" w:rsidR="00A23078" w:rsidRPr="00EA09E7" w:rsidRDefault="00A23078" w:rsidP="00A23078">
            <w:pPr>
              <w:spacing w:line="480" w:lineRule="auto"/>
              <w:rPr>
                <w:rFonts w:ascii="Arial" w:hAnsi="Arial" w:cs="Arial"/>
              </w:rPr>
            </w:pPr>
            <w:proofErr w:type="gramStart"/>
            <w:r w:rsidRPr="00EA09E7">
              <w:rPr>
                <w:rFonts w:ascii="Arial" w:hAnsi="Arial" w:cs="Arial"/>
              </w:rPr>
              <w:t>tumour</w:t>
            </w:r>
            <w:proofErr w:type="gramEnd"/>
            <w:r w:rsidRPr="00EA09E7">
              <w:rPr>
                <w:rFonts w:ascii="Arial" w:hAnsi="Arial" w:cs="Arial"/>
              </w:rPr>
              <w:t xml:space="preserve"> necrosis factor alpha </w:t>
            </w:r>
          </w:p>
        </w:tc>
      </w:tr>
      <w:tr w:rsidR="00A23078" w14:paraId="70486E30" w14:textId="77777777" w:rsidTr="007726CF">
        <w:tc>
          <w:tcPr>
            <w:tcW w:w="2802" w:type="dxa"/>
          </w:tcPr>
          <w:p w14:paraId="0252E242" w14:textId="77777777" w:rsidR="00A23078" w:rsidRPr="00EA09E7" w:rsidRDefault="00A23078" w:rsidP="00A23078">
            <w:pPr>
              <w:spacing w:line="480" w:lineRule="auto"/>
              <w:rPr>
                <w:rFonts w:ascii="Arial" w:hAnsi="Arial" w:cs="Arial"/>
              </w:rPr>
            </w:pPr>
            <w:r w:rsidRPr="00EA09E7">
              <w:rPr>
                <w:rFonts w:ascii="Arial" w:hAnsi="Arial" w:cs="Arial"/>
                <w:color w:val="000000" w:themeColor="text1"/>
              </w:rPr>
              <w:t>TRAP</w:t>
            </w:r>
          </w:p>
        </w:tc>
        <w:tc>
          <w:tcPr>
            <w:tcW w:w="7226" w:type="dxa"/>
          </w:tcPr>
          <w:p w14:paraId="40BEBC3E" w14:textId="77777777" w:rsidR="00A23078" w:rsidRPr="00EA09E7" w:rsidRDefault="00A23078" w:rsidP="00A23078">
            <w:pPr>
              <w:spacing w:line="480" w:lineRule="auto"/>
              <w:rPr>
                <w:rFonts w:ascii="Arial" w:hAnsi="Arial" w:cs="Arial"/>
              </w:rPr>
            </w:pPr>
            <w:proofErr w:type="gramStart"/>
            <w:r w:rsidRPr="00EA09E7">
              <w:rPr>
                <w:rFonts w:ascii="Arial" w:hAnsi="Arial" w:cs="Arial"/>
              </w:rPr>
              <w:t>tartrate</w:t>
            </w:r>
            <w:proofErr w:type="gramEnd"/>
            <w:r w:rsidRPr="00EA09E7">
              <w:rPr>
                <w:rFonts w:ascii="Arial" w:hAnsi="Arial" w:cs="Arial"/>
              </w:rPr>
              <w:t>-resistant acid phosphatase</w:t>
            </w:r>
          </w:p>
        </w:tc>
      </w:tr>
      <w:tr w:rsidR="00A23078" w14:paraId="76D2FBF8" w14:textId="77777777" w:rsidTr="007726CF">
        <w:tc>
          <w:tcPr>
            <w:tcW w:w="2802" w:type="dxa"/>
          </w:tcPr>
          <w:p w14:paraId="25B82C36" w14:textId="77777777" w:rsidR="00A23078" w:rsidRPr="00EA09E7" w:rsidRDefault="00A23078" w:rsidP="00A23078">
            <w:pPr>
              <w:spacing w:line="480" w:lineRule="auto"/>
              <w:rPr>
                <w:rFonts w:ascii="Arial" w:hAnsi="Arial" w:cs="Arial"/>
                <w:color w:val="000000" w:themeColor="text1"/>
              </w:rPr>
            </w:pPr>
            <w:r>
              <w:rPr>
                <w:rFonts w:ascii="Arial" w:hAnsi="Arial" w:cs="Arial"/>
                <w:color w:val="000000" w:themeColor="text1"/>
              </w:rPr>
              <w:t>Tt.Ar</w:t>
            </w:r>
          </w:p>
        </w:tc>
        <w:tc>
          <w:tcPr>
            <w:tcW w:w="7226" w:type="dxa"/>
          </w:tcPr>
          <w:p w14:paraId="2584E85D" w14:textId="77777777" w:rsidR="00A23078" w:rsidRPr="00EA09E7" w:rsidRDefault="00A23078" w:rsidP="00A23078">
            <w:pPr>
              <w:spacing w:line="480" w:lineRule="auto"/>
              <w:rPr>
                <w:rFonts w:ascii="Arial" w:hAnsi="Arial" w:cs="Arial"/>
              </w:rPr>
            </w:pPr>
            <w:proofErr w:type="gramStart"/>
            <w:r>
              <w:rPr>
                <w:rFonts w:ascii="Arial" w:hAnsi="Arial" w:cs="Arial"/>
              </w:rPr>
              <w:t>total</w:t>
            </w:r>
            <w:proofErr w:type="gramEnd"/>
            <w:r>
              <w:rPr>
                <w:rFonts w:ascii="Arial" w:hAnsi="Arial" w:cs="Arial"/>
              </w:rPr>
              <w:t xml:space="preserve"> tissue area enclosed within the periosteum</w:t>
            </w:r>
          </w:p>
        </w:tc>
      </w:tr>
      <w:tr w:rsidR="00A23078" w14:paraId="5BCDE8FF" w14:textId="77777777" w:rsidTr="007726CF">
        <w:tc>
          <w:tcPr>
            <w:tcW w:w="2802" w:type="dxa"/>
          </w:tcPr>
          <w:p w14:paraId="17193E2D" w14:textId="77777777" w:rsidR="00A23078" w:rsidRPr="00EA09E7" w:rsidRDefault="00A23078" w:rsidP="00A23078">
            <w:pPr>
              <w:spacing w:line="480" w:lineRule="auto"/>
              <w:rPr>
                <w:rFonts w:ascii="Arial" w:hAnsi="Arial" w:cs="Arial"/>
                <w:color w:val="000000" w:themeColor="text1"/>
              </w:rPr>
            </w:pPr>
            <w:r w:rsidRPr="00614AFF">
              <w:rPr>
                <w:rFonts w:ascii="Arial" w:hAnsi="Arial" w:cs="Arial"/>
                <w:color w:val="000000" w:themeColor="text1"/>
              </w:rPr>
              <w:sym w:font="Symbol" w:char="F06D"/>
            </w:r>
            <w:r w:rsidRPr="00614AFF">
              <w:rPr>
                <w:rFonts w:ascii="Arial" w:hAnsi="Arial" w:cs="Arial"/>
                <w:color w:val="000000" w:themeColor="text1"/>
              </w:rPr>
              <w:t xml:space="preserve">CT                </w:t>
            </w:r>
            <w:r>
              <w:rPr>
                <w:rFonts w:ascii="Arial" w:hAnsi="Arial" w:cs="Arial"/>
                <w:color w:val="000000" w:themeColor="text1"/>
              </w:rPr>
              <w:t xml:space="preserve">   </w:t>
            </w:r>
          </w:p>
        </w:tc>
        <w:tc>
          <w:tcPr>
            <w:tcW w:w="7226" w:type="dxa"/>
          </w:tcPr>
          <w:p w14:paraId="3E72F92C" w14:textId="77777777" w:rsidR="00A23078" w:rsidRPr="007C0241" w:rsidRDefault="00A23078" w:rsidP="00A23078">
            <w:pPr>
              <w:tabs>
                <w:tab w:val="left" w:pos="1701"/>
              </w:tabs>
              <w:spacing w:line="480" w:lineRule="auto"/>
              <w:ind w:left="1701" w:hanging="1701"/>
              <w:rPr>
                <w:rFonts w:ascii="Arial" w:hAnsi="Arial" w:cs="Arial"/>
                <w:color w:val="000000" w:themeColor="text1"/>
              </w:rPr>
            </w:pPr>
            <w:proofErr w:type="gramStart"/>
            <w:r w:rsidRPr="00614AFF">
              <w:rPr>
                <w:rFonts w:ascii="Arial" w:hAnsi="Arial" w:cs="Arial"/>
                <w:color w:val="000000" w:themeColor="text1"/>
              </w:rPr>
              <w:t>micro</w:t>
            </w:r>
            <w:proofErr w:type="gramEnd"/>
            <w:r w:rsidRPr="00614AFF">
              <w:rPr>
                <w:rFonts w:ascii="Arial" w:hAnsi="Arial" w:cs="Arial"/>
                <w:color w:val="000000" w:themeColor="text1"/>
              </w:rPr>
              <w:t>-computed tomography</w:t>
            </w:r>
          </w:p>
        </w:tc>
      </w:tr>
    </w:tbl>
    <w:p w14:paraId="05705A94" w14:textId="77777777" w:rsidR="00A23078" w:rsidRDefault="00A23078" w:rsidP="00A23078">
      <w:pPr>
        <w:rPr>
          <w:b/>
        </w:rPr>
        <w:sectPr w:rsidR="00A23078" w:rsidSect="00FF2EC5">
          <w:pgSz w:w="11900" w:h="16840"/>
          <w:pgMar w:top="1134" w:right="1134" w:bottom="1134" w:left="1134" w:header="709" w:footer="709" w:gutter="0"/>
          <w:pgNumType w:fmt="lowerRoman" w:start="1"/>
          <w:cols w:space="708"/>
          <w:docGrid w:linePitch="360"/>
        </w:sectPr>
      </w:pPr>
    </w:p>
    <w:p w14:paraId="424F8E5F" w14:textId="77777777" w:rsidR="00690A87" w:rsidRDefault="00690A87" w:rsidP="00DF036F">
      <w:pPr>
        <w:rPr>
          <w:sz w:val="36"/>
          <w:szCs w:val="36"/>
        </w:rPr>
      </w:pPr>
    </w:p>
    <w:p w14:paraId="0115AB9B" w14:textId="77777777" w:rsidR="0075019A" w:rsidRDefault="0075019A" w:rsidP="00DF036F">
      <w:pPr>
        <w:rPr>
          <w:sz w:val="36"/>
          <w:szCs w:val="36"/>
        </w:rPr>
      </w:pPr>
    </w:p>
    <w:p w14:paraId="37650BA9" w14:textId="77777777" w:rsidR="00DA59E9" w:rsidRDefault="00DA59E9" w:rsidP="00204988">
      <w:pPr>
        <w:pStyle w:val="TOCHeading"/>
      </w:pPr>
      <w:bookmarkStart w:id="6" w:name="_Toc381045562"/>
    </w:p>
    <w:p w14:paraId="3A7D2EA2" w14:textId="77777777" w:rsidR="004B51EA" w:rsidRPr="004B51EA" w:rsidRDefault="004B51EA" w:rsidP="004B51EA"/>
    <w:p w14:paraId="6F72D2CB" w14:textId="77777777" w:rsidR="004B51EA" w:rsidRDefault="004B51EA" w:rsidP="004B51EA">
      <w:pPr>
        <w:pStyle w:val="TOCHeading"/>
        <w:spacing w:line="360" w:lineRule="auto"/>
        <w:rPr>
          <w:rFonts w:eastAsia="Times New Roman"/>
          <w:bCs w:val="0"/>
          <w:color w:val="1F497D" w:themeColor="text2"/>
          <w:sz w:val="40"/>
          <w:szCs w:val="40"/>
          <w:u w:val="double"/>
        </w:rPr>
      </w:pPr>
      <w:bookmarkStart w:id="7" w:name="_Toc383723841"/>
      <w:r>
        <w:rPr>
          <w:rFonts w:eastAsia="Times New Roman"/>
          <w:bCs w:val="0"/>
          <w:color w:val="1F497D" w:themeColor="text2"/>
          <w:sz w:val="40"/>
          <w:szCs w:val="40"/>
          <w:u w:val="double"/>
        </w:rPr>
        <w:t>CHAPTER 1</w:t>
      </w:r>
    </w:p>
    <w:p w14:paraId="230D9CB3" w14:textId="77777777" w:rsidR="007B76C3" w:rsidRPr="0008605F" w:rsidRDefault="007B76C3" w:rsidP="00204988">
      <w:pPr>
        <w:pStyle w:val="Heading1"/>
      </w:pPr>
      <w:r w:rsidRPr="0008605F">
        <w:t>General introduction</w:t>
      </w:r>
      <w:bookmarkEnd w:id="6"/>
      <w:bookmarkEnd w:id="7"/>
    </w:p>
    <w:p w14:paraId="5C4148AE" w14:textId="77777777" w:rsidR="007B76C3" w:rsidRDefault="007B76C3" w:rsidP="007B76C3">
      <w:pPr>
        <w:spacing w:line="480" w:lineRule="auto"/>
        <w:jc w:val="center"/>
        <w:rPr>
          <w:rFonts w:ascii="Arial" w:hAnsi="Arial" w:cs="Arial"/>
          <w:b/>
          <w:noProof/>
          <w:color w:val="000000" w:themeColor="text1"/>
          <w:sz w:val="36"/>
          <w:szCs w:val="36"/>
        </w:rPr>
      </w:pPr>
    </w:p>
    <w:p w14:paraId="4F8E2A41" w14:textId="77777777" w:rsidR="007B76C3" w:rsidRDefault="007B76C3" w:rsidP="007B76C3">
      <w:pPr>
        <w:spacing w:line="360" w:lineRule="auto"/>
        <w:jc w:val="center"/>
        <w:rPr>
          <w:rFonts w:ascii="Arial" w:hAnsi="Arial" w:cs="Arial"/>
          <w:b/>
          <w:noProof/>
          <w:color w:val="000000" w:themeColor="text1"/>
          <w:sz w:val="36"/>
          <w:szCs w:val="36"/>
        </w:rPr>
      </w:pPr>
    </w:p>
    <w:p w14:paraId="1BF7E0CC" w14:textId="77777777" w:rsidR="007B76C3" w:rsidRDefault="007B76C3" w:rsidP="007B76C3">
      <w:pPr>
        <w:spacing w:line="360" w:lineRule="auto"/>
        <w:jc w:val="center"/>
        <w:rPr>
          <w:rFonts w:ascii="Arial" w:hAnsi="Arial" w:cs="Arial"/>
          <w:b/>
          <w:noProof/>
          <w:color w:val="000000" w:themeColor="text1"/>
          <w:sz w:val="36"/>
          <w:szCs w:val="36"/>
        </w:rPr>
      </w:pPr>
    </w:p>
    <w:p w14:paraId="0F77BC24" w14:textId="77777777" w:rsidR="007B76C3" w:rsidRDefault="007B76C3" w:rsidP="007B76C3">
      <w:pPr>
        <w:spacing w:line="360" w:lineRule="auto"/>
        <w:jc w:val="center"/>
        <w:rPr>
          <w:rFonts w:ascii="Arial" w:hAnsi="Arial" w:cs="Arial"/>
          <w:b/>
          <w:noProof/>
          <w:color w:val="000000" w:themeColor="text1"/>
          <w:sz w:val="36"/>
          <w:szCs w:val="36"/>
        </w:rPr>
      </w:pPr>
    </w:p>
    <w:p w14:paraId="7F79763C" w14:textId="77777777" w:rsidR="007B76C3" w:rsidRDefault="007B76C3" w:rsidP="007B76C3">
      <w:pPr>
        <w:spacing w:line="360" w:lineRule="auto"/>
        <w:jc w:val="center"/>
        <w:rPr>
          <w:rFonts w:ascii="Arial" w:hAnsi="Arial" w:cs="Arial"/>
          <w:b/>
          <w:noProof/>
          <w:color w:val="000000" w:themeColor="text1"/>
          <w:sz w:val="36"/>
          <w:szCs w:val="36"/>
        </w:rPr>
      </w:pPr>
    </w:p>
    <w:p w14:paraId="71B9CEBC" w14:textId="77777777" w:rsidR="007B76C3" w:rsidRDefault="007B76C3" w:rsidP="007B76C3">
      <w:pPr>
        <w:spacing w:line="360" w:lineRule="auto"/>
        <w:jc w:val="center"/>
        <w:rPr>
          <w:rFonts w:ascii="Arial" w:hAnsi="Arial" w:cs="Arial"/>
          <w:b/>
          <w:noProof/>
          <w:color w:val="000000" w:themeColor="text1"/>
          <w:sz w:val="36"/>
          <w:szCs w:val="36"/>
        </w:rPr>
      </w:pPr>
    </w:p>
    <w:p w14:paraId="003CF4B7" w14:textId="77777777" w:rsidR="007B76C3" w:rsidRDefault="007B76C3" w:rsidP="007B76C3">
      <w:pPr>
        <w:spacing w:line="360" w:lineRule="auto"/>
        <w:jc w:val="center"/>
        <w:rPr>
          <w:rFonts w:ascii="Arial" w:hAnsi="Arial" w:cs="Arial"/>
          <w:b/>
          <w:noProof/>
          <w:color w:val="000000" w:themeColor="text1"/>
          <w:sz w:val="36"/>
          <w:szCs w:val="36"/>
        </w:rPr>
      </w:pPr>
    </w:p>
    <w:p w14:paraId="3D84D20B" w14:textId="77777777" w:rsidR="007B76C3" w:rsidRDefault="007B76C3" w:rsidP="007B76C3">
      <w:pPr>
        <w:spacing w:line="360" w:lineRule="auto"/>
        <w:jc w:val="center"/>
        <w:rPr>
          <w:rFonts w:ascii="Arial" w:hAnsi="Arial" w:cs="Arial"/>
          <w:b/>
          <w:noProof/>
          <w:color w:val="000000" w:themeColor="text1"/>
          <w:sz w:val="36"/>
          <w:szCs w:val="36"/>
        </w:rPr>
      </w:pPr>
    </w:p>
    <w:p w14:paraId="2B7AC75E" w14:textId="77777777" w:rsidR="007B76C3" w:rsidRDefault="007B76C3" w:rsidP="007B76C3">
      <w:pPr>
        <w:spacing w:line="360" w:lineRule="auto"/>
        <w:jc w:val="center"/>
        <w:rPr>
          <w:rFonts w:ascii="Arial" w:hAnsi="Arial" w:cs="Arial"/>
          <w:b/>
          <w:noProof/>
          <w:color w:val="000000" w:themeColor="text1"/>
          <w:sz w:val="36"/>
          <w:szCs w:val="36"/>
        </w:rPr>
      </w:pPr>
    </w:p>
    <w:p w14:paraId="203F1B12" w14:textId="77777777" w:rsidR="007B76C3" w:rsidRDefault="007B76C3" w:rsidP="007B76C3">
      <w:pPr>
        <w:spacing w:line="360" w:lineRule="auto"/>
        <w:jc w:val="center"/>
        <w:rPr>
          <w:rFonts w:ascii="Arial" w:hAnsi="Arial" w:cs="Arial"/>
          <w:b/>
          <w:noProof/>
          <w:color w:val="000000" w:themeColor="text1"/>
          <w:sz w:val="36"/>
          <w:szCs w:val="36"/>
        </w:rPr>
      </w:pPr>
    </w:p>
    <w:p w14:paraId="2FFE44AD" w14:textId="77777777" w:rsidR="007B76C3" w:rsidRDefault="007B76C3" w:rsidP="007B76C3">
      <w:pPr>
        <w:spacing w:line="360" w:lineRule="auto"/>
        <w:jc w:val="center"/>
        <w:rPr>
          <w:rFonts w:ascii="Arial" w:hAnsi="Arial" w:cs="Arial"/>
          <w:b/>
          <w:noProof/>
          <w:color w:val="000000" w:themeColor="text1"/>
          <w:sz w:val="36"/>
          <w:szCs w:val="36"/>
        </w:rPr>
      </w:pPr>
    </w:p>
    <w:p w14:paraId="489D7118" w14:textId="77777777" w:rsidR="007B76C3" w:rsidRDefault="007B76C3" w:rsidP="007B76C3">
      <w:pPr>
        <w:spacing w:line="360" w:lineRule="auto"/>
        <w:jc w:val="center"/>
        <w:rPr>
          <w:rFonts w:ascii="Arial" w:hAnsi="Arial" w:cs="Arial"/>
          <w:b/>
          <w:noProof/>
          <w:color w:val="000000" w:themeColor="text1"/>
          <w:sz w:val="36"/>
          <w:szCs w:val="36"/>
        </w:rPr>
      </w:pPr>
    </w:p>
    <w:p w14:paraId="5B089429" w14:textId="77777777" w:rsidR="007B76C3" w:rsidRDefault="007B76C3" w:rsidP="007B76C3">
      <w:pPr>
        <w:spacing w:line="360" w:lineRule="auto"/>
        <w:jc w:val="center"/>
        <w:rPr>
          <w:rFonts w:ascii="Arial" w:hAnsi="Arial" w:cs="Arial"/>
          <w:b/>
          <w:noProof/>
          <w:color w:val="000000" w:themeColor="text1"/>
          <w:sz w:val="36"/>
          <w:szCs w:val="36"/>
        </w:rPr>
      </w:pPr>
    </w:p>
    <w:p w14:paraId="7328DF0E" w14:textId="77777777" w:rsidR="007B76C3" w:rsidRDefault="007B76C3" w:rsidP="007B76C3">
      <w:pPr>
        <w:spacing w:line="360" w:lineRule="auto"/>
        <w:jc w:val="center"/>
        <w:rPr>
          <w:rFonts w:ascii="Arial" w:hAnsi="Arial" w:cs="Arial"/>
          <w:b/>
          <w:noProof/>
          <w:color w:val="000000" w:themeColor="text1"/>
          <w:sz w:val="36"/>
          <w:szCs w:val="36"/>
        </w:rPr>
      </w:pPr>
    </w:p>
    <w:p w14:paraId="02020716" w14:textId="77777777" w:rsidR="007B76C3" w:rsidRDefault="007B76C3" w:rsidP="007B76C3">
      <w:pPr>
        <w:spacing w:line="360" w:lineRule="auto"/>
        <w:jc w:val="center"/>
        <w:rPr>
          <w:rFonts w:ascii="Arial" w:hAnsi="Arial" w:cs="Arial"/>
          <w:b/>
          <w:noProof/>
          <w:color w:val="000000" w:themeColor="text1"/>
          <w:sz w:val="36"/>
          <w:szCs w:val="36"/>
        </w:rPr>
      </w:pPr>
    </w:p>
    <w:p w14:paraId="22D69928" w14:textId="77777777" w:rsidR="007B76C3" w:rsidRDefault="007B76C3" w:rsidP="007B76C3">
      <w:pPr>
        <w:spacing w:line="360" w:lineRule="auto"/>
        <w:jc w:val="center"/>
        <w:rPr>
          <w:rFonts w:ascii="Arial" w:hAnsi="Arial" w:cs="Arial"/>
          <w:b/>
          <w:noProof/>
          <w:color w:val="000000" w:themeColor="text1"/>
          <w:sz w:val="36"/>
          <w:szCs w:val="36"/>
        </w:rPr>
      </w:pPr>
    </w:p>
    <w:p w14:paraId="1DBE55EC" w14:textId="77777777" w:rsidR="007B76C3" w:rsidRDefault="007B76C3" w:rsidP="007B76C3">
      <w:pPr>
        <w:pStyle w:val="BodyText"/>
        <w:spacing w:line="480" w:lineRule="auto"/>
        <w:ind w:right="-7"/>
        <w:jc w:val="both"/>
      </w:pPr>
      <w:r>
        <w:lastRenderedPageBreak/>
        <w:t xml:space="preserve">Musculoskeletal disorders are </w:t>
      </w:r>
      <w:r w:rsidR="001002E8">
        <w:t xml:space="preserve">the </w:t>
      </w:r>
      <w:r>
        <w:t>second most common causes of disability worldwide and are estimated to have increased by 45% in the past decade, in particular, bone disorders and continue to increase with sedentary lifestyle and ag</w:t>
      </w:r>
      <w:r w:rsidR="003043A6">
        <w:t>eing population</w:t>
      </w:r>
      <w:r w:rsidR="001F153E">
        <w:t xml:space="preserve"> </w:t>
      </w:r>
      <w:r w:rsidR="001F153E">
        <w:fldChar w:fldCharType="begin">
          <w:fldData xml:space="preserve">PEVuZE5vdGU+PENpdGU+PEF1dGhvcj5TdG9yaGVpbTwvQXV0aG9yPjxZZWFyPjIwMTQ8L1llYXI+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==
</w:fldData>
        </w:fldChar>
      </w:r>
      <w:r w:rsidR="0000415D">
        <w:instrText xml:space="preserve"> ADDIN EN.CITE </w:instrText>
      </w:r>
      <w:r w:rsidR="0000415D">
        <w:fldChar w:fldCharType="begin">
          <w:fldData xml:space="preserve">PEVuZE5vdGU+PENpdGU+PEF1dGhvcj5TdG9yaGVpbTwvQXV0aG9yPjxZZWFyPjIwMTQ8L1llYXI+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==
</w:fldData>
        </w:fldChar>
      </w:r>
      <w:r w:rsidR="0000415D">
        <w:instrText xml:space="preserve"> ADDIN EN.CITE.DATA </w:instrText>
      </w:r>
      <w:r w:rsidR="0000415D">
        <w:fldChar w:fldCharType="end"/>
      </w:r>
      <w:r w:rsidR="001F153E">
        <w:fldChar w:fldCharType="separate"/>
      </w:r>
      <w:r w:rsidR="00580FF9">
        <w:rPr>
          <w:noProof/>
        </w:rPr>
        <w:t>(Storheim and Zwart, 2014)</w:t>
      </w:r>
      <w:r w:rsidR="001F153E">
        <w:fldChar w:fldCharType="end"/>
      </w:r>
      <w:r>
        <w:t xml:space="preserve">. </w:t>
      </w:r>
      <w:r w:rsidRPr="008B0946">
        <w:t xml:space="preserve">Osteoporotic fractures belong to one of the </w:t>
      </w:r>
      <w:r>
        <w:t>main</w:t>
      </w:r>
      <w:r w:rsidRPr="008B0946">
        <w:t xml:space="preserve"> causes of disability and </w:t>
      </w:r>
      <w:r>
        <w:t xml:space="preserve">major medical care costs in the world </w:t>
      </w:r>
      <w:r>
        <w:fldChar w:fldCharType="begin"/>
      </w:r>
      <w:r w:rsidR="0000415D">
        <w:instrText xml:space="preserve"> ADDIN EN.CITE &lt;EndNote&gt;&lt;Cite&gt;&lt;Author&gt;NIH/ORBD&lt;/Author&gt;&lt;Year&gt;2018&lt;/Year&gt;&lt;RecNum&gt;290&lt;/RecNum&gt;&lt;DisplayText&gt;(NIH/ORBD, 2018)&lt;/DisplayText&gt;&lt;record&gt;&lt;rec-number&gt;290&lt;/rec-number&gt;&lt;foreign-keys&gt;&lt;key app="EN" db-id="ae9rewfrpdttrheppfxxv0p4950wpd25r09x" timestamp="1520658287"&gt;290&lt;/key&gt;&lt;/foreign-keys&gt;&lt;ref-type name="Web Page"&gt;12&lt;/ref-type&gt;&lt;contributors&gt;&lt;authors&gt;&lt;author&gt;NIH/ORBD&lt;/author&gt;&lt;/authors&gt;&lt;/contributors&gt;&lt;titles&gt;&lt;/titles&gt;&lt;volume&gt;2018&lt;/volume&gt;&lt;number&gt;19 March&lt;/number&gt;&lt;dates&gt;&lt;year&gt;2018&lt;/year&gt;&lt;/dates&gt;&lt;urls&gt;&lt;related-urls&gt;&lt;url&gt;www.osteo.org&lt;/url&gt;&lt;/related-urls&gt;&lt;/urls&gt;&lt;/record&gt;&lt;/Cite&gt;&lt;Cite&gt;&lt;Author&gt;NIH/ORBD&lt;/Author&gt;&lt;Year&gt;2018&lt;/Year&gt;&lt;RecNum&gt;290&lt;/RecNum&gt;&lt;record&gt;&lt;rec-number&gt;290&lt;/rec-number&gt;&lt;foreign-keys&gt;&lt;key app="EN" db-id="ae9rewfrpdttrheppfxxv0p4950wpd25r09x" timestamp="1520658287"&gt;290&lt;/key&gt;&lt;/foreign-keys&gt;&lt;ref-type name="Web Page"&gt;12&lt;/ref-type&gt;&lt;contributors&gt;&lt;authors&gt;&lt;author&gt;NIH/ORBD&lt;/author&gt;&lt;/authors&gt;&lt;/contributors&gt;&lt;titles&gt;&lt;/titles&gt;&lt;volume&gt;2018&lt;/volume&gt;&lt;number&gt;19 March&lt;/number&gt;&lt;dates&gt;&lt;year&gt;2018&lt;/year&gt;&lt;/dates&gt;&lt;urls&gt;&lt;related-urls&gt;&lt;url&gt;www.osteo.org&lt;/url&gt;&lt;/related-urls&gt;&lt;/urls&gt;&lt;/record&gt;&lt;/Cite&gt;&lt;/EndNote&gt;</w:instrText>
      </w:r>
      <w:r>
        <w:fldChar w:fldCharType="separate"/>
      </w:r>
      <w:r w:rsidR="00AA4B57">
        <w:rPr>
          <w:noProof/>
        </w:rPr>
        <w:t>(NIH/ORBD, 2018)</w:t>
      </w:r>
      <w:r>
        <w:fldChar w:fldCharType="end"/>
      </w:r>
      <w:r>
        <w:t xml:space="preserve">. Worldwide, osteoporosis causes more than 8.9 million fractures annually </w:t>
      </w:r>
      <w:r>
        <w:fldChar w:fldCharType="begin"/>
      </w:r>
      <w:r w:rsidR="00651EFF">
        <w:instrText xml:space="preserve"> ADDIN EN.CITE &lt;EndNote&gt;&lt;Cite&gt;&lt;Author&gt;Johnell&lt;/Author&gt;&lt;Year&gt;2006&lt;/Year&gt;&lt;RecNum&gt;291&lt;/RecNum&gt;&lt;DisplayText&gt;(Johnell and Kanis, 2006, IOF, 2018)&lt;/DisplayText&gt;&lt;record&gt;&lt;rec-number&gt;291&lt;/rec-number&gt;&lt;foreign-keys&gt;&lt;key app="EN" db-id="ae9rewfrpdttrheppfxxv0p4950wpd25r09x" timestamp="1520658287"&gt;291&lt;/key&gt;&lt;key app="ENWeb" db-id=""&gt;0&lt;/key&gt;&lt;/foreign-keys&gt;&lt;ref-type name="Journal Article"&gt;17&lt;/ref-type&gt;&lt;contributors&gt;&lt;authors&gt;&lt;author&gt;Johnell, O.&lt;/author&gt;&lt;author&gt;Kanis, J. A.&lt;/author&gt;&lt;/authors&gt;&lt;/contributors&gt;&lt;titles&gt;&lt;title&gt;An estimate of the worldwide prevalence and disability associated with osteoporotic fractures&lt;/title&gt;&lt;secondary-title&gt;Osteoporosis Internationall&lt;/secondary-title&gt;&lt;/titles&gt;&lt;periodical&gt;&lt;full-title&gt;Osteoporosis Internationall&lt;/full-title&gt;&lt;/periodical&gt;&lt;pages&gt;1726-1733&lt;/pages&gt;&lt;volume&gt;17&lt;/volume&gt;&lt;number&gt;12&lt;/number&gt;&lt;keywords&gt;&lt;keyword&gt;Disability-Adjusted Life-Years&lt;/keyword&gt;&lt;keyword&gt;Hip Fracture&lt;/keyword&gt;&lt;keyword&gt;Mortality&lt;/keyword&gt;&lt;keyword&gt;Noncommunicable Diseases&lt;/keyword&gt;&lt;/keywords&gt;&lt;dates&gt;&lt;year&gt;2006&lt;/year&gt;&lt;/dates&gt;&lt;isbn&gt;0937941X&lt;/isbn&gt;&lt;urls&gt;&lt;/urls&gt;&lt;electronic-resource-num&gt;10.1007/s00198-006-0172-4&lt;/electronic-resource-num&gt;&lt;/record&gt;&lt;/Cite&gt;&lt;Cite&gt;&lt;Author&gt;IOF&lt;/Author&gt;&lt;Year&gt;2018&lt;/Year&gt;&lt;RecNum&gt;293&lt;/RecNum&gt;&lt;record&gt;&lt;rec-number&gt;293&lt;/rec-number&gt;&lt;foreign-keys&gt;&lt;key app="EN" db-id="ae9rewfrpdttrheppfxxv0p4950wpd25r09x" timestamp="1520658290"&gt;293&lt;/key&gt;&lt;/foreign-keys&gt;&lt;ref-type name="Web Page"&gt;12&lt;/ref-type&gt;&lt;contributors&gt;&lt;authors&gt;&lt;author&gt;IOF&lt;/author&gt;&lt;/authors&gt;&lt;/contributors&gt;&lt;titles&gt;&lt;/titles&gt;&lt;volume&gt;2018&lt;/volume&gt;&lt;number&gt;19 March&lt;/number&gt;&lt;dates&gt;&lt;year&gt;2018&lt;/year&gt;&lt;/dates&gt;&lt;urls&gt;&lt;related-urls&gt;&lt;url&gt;http://www.iofbonehealth.org/&lt;/url&gt;&lt;/related-urls&gt;&lt;/urls&gt;&lt;/record&gt;&lt;/Cite&gt;&lt;/EndNote&gt;</w:instrText>
      </w:r>
      <w:r>
        <w:fldChar w:fldCharType="separate"/>
      </w:r>
      <w:r w:rsidR="001D3E4D">
        <w:rPr>
          <w:noProof/>
        </w:rPr>
        <w:t>(Johnell and Kanis, 2006, IOF, 2018)</w:t>
      </w:r>
      <w:r>
        <w:fldChar w:fldCharType="end"/>
      </w:r>
      <w:r>
        <w:t xml:space="preserve">. Although many mechanisms have been proposed to be involved in osteoporosis and age-related bone loss, evidently there is no single pathway that regulates bone loss with ageing and, therefore, there is no single treatment available to prevent its occurrence. </w:t>
      </w:r>
    </w:p>
    <w:p w14:paraId="29F306AB" w14:textId="77777777" w:rsidR="007B76C3" w:rsidRDefault="007B76C3" w:rsidP="007B76C3">
      <w:pPr>
        <w:pStyle w:val="BodyText"/>
        <w:spacing w:line="480" w:lineRule="auto"/>
        <w:jc w:val="both"/>
      </w:pPr>
    </w:p>
    <w:p w14:paraId="6B538FFB" w14:textId="77777777" w:rsidR="007B76C3" w:rsidRDefault="007B76C3" w:rsidP="007B76C3">
      <w:pPr>
        <w:pStyle w:val="BodyText"/>
        <w:spacing w:line="480" w:lineRule="auto"/>
        <w:ind w:right="-7"/>
        <w:jc w:val="both"/>
      </w:pPr>
      <w:r>
        <w:t xml:space="preserve">As the skeleton ages, the imbalance between bone formation and resorption results in net bone loss both in men and women </w:t>
      </w:r>
      <w:r>
        <w:fldChar w:fldCharType="begin">
          <w:fldData xml:space="preserve">PEVuZE5vdGU+PENpdGU+PEF1dGhvcj5QYXJmaXR0PC9BdXRob3I+PFllYXI+MTk4NDwvWWVhcj48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</w:fldData>
        </w:fldChar>
      </w:r>
      <w:r w:rsidR="0000415D">
        <w:instrText xml:space="preserve"> ADDIN EN.CITE </w:instrText>
      </w:r>
      <w:r w:rsidR="0000415D">
        <w:fldChar w:fldCharType="begin">
          <w:fldData xml:space="preserve">PEVuZE5vdGU+PENpdGU+PEF1dGhvcj5QYXJmaXR0PC9BdXRob3I+PFllYXI+MTk4NDwvWWVhcj48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</w:fldData>
        </w:fldChar>
      </w:r>
      <w:r w:rsidR="0000415D">
        <w:instrText xml:space="preserve"> ADDIN EN.CITE.DATA </w:instrText>
      </w:r>
      <w:r w:rsidR="0000415D">
        <w:fldChar w:fldCharType="end"/>
      </w:r>
      <w:r>
        <w:fldChar w:fldCharType="separate"/>
      </w:r>
      <w:r>
        <w:rPr>
          <w:noProof/>
        </w:rPr>
        <w:t>(Parfitt, 1984, Chavassieux and Meunier, 2001)</w:t>
      </w:r>
      <w:r>
        <w:fldChar w:fldCharType="end"/>
      </w:r>
      <w:r>
        <w:t xml:space="preserve">. The imbalance can be dramatic, leading to systemic skeletal disorder osteoporosis. Osteoporosis is characterised by low bone mass and microarchitectural deterioration of bone tissue with an increase in bone fragility and predisposition to fractures. The bone loss can start when peak bone mass is attained and increase in women during the menopause due to low oestrogen levels </w:t>
      </w:r>
      <w:r>
        <w:fldChar w:fldCharType="begin">
          <w:fldData xml:space="preserve">PEVuZE5vdGU+PENpdGU+PEF1dGhvcj5MYW55b248L0F1dGhvcj48WWVhcj4yMDAxPC9ZZWFyPjxS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</w:fldData>
        </w:fldChar>
      </w:r>
      <w:r w:rsidR="0000415D">
        <w:instrText xml:space="preserve"> ADDIN EN.CITE </w:instrText>
      </w:r>
      <w:r w:rsidR="0000415D">
        <w:fldChar w:fldCharType="begin">
          <w:fldData xml:space="preserve">PEVuZE5vdGU+PENpdGU+PEF1dGhvcj5MYW55b248L0F1dGhvcj48WWVhcj4yMDAxPC9ZZWFyPjxS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</w:fldData>
        </w:fldChar>
      </w:r>
      <w:r w:rsidR="0000415D">
        <w:instrText xml:space="preserve"> ADDIN EN.CITE.DATA </w:instrText>
      </w:r>
      <w:r w:rsidR="0000415D">
        <w:fldChar w:fldCharType="end"/>
      </w:r>
      <w:r>
        <w:fldChar w:fldCharType="separate"/>
      </w:r>
      <w:r>
        <w:rPr>
          <w:noProof/>
        </w:rPr>
        <w:t>(Lanyon and Skerry, 2001, Bouxsein et al., 2010)</w:t>
      </w:r>
      <w:r>
        <w:fldChar w:fldCharType="end"/>
      </w:r>
      <w:r>
        <w:t xml:space="preserve">. </w:t>
      </w:r>
    </w:p>
    <w:p w14:paraId="7FC7836B" w14:textId="77777777" w:rsidR="007B76C3" w:rsidRDefault="007B76C3" w:rsidP="007B76C3">
      <w:pPr>
        <w:pStyle w:val="BodyText"/>
        <w:spacing w:line="480" w:lineRule="auto"/>
        <w:jc w:val="both"/>
      </w:pPr>
    </w:p>
    <w:p w14:paraId="2409AE29" w14:textId="77777777" w:rsidR="007B76C3" w:rsidRDefault="007B76C3" w:rsidP="007B76C3">
      <w:pPr>
        <w:pStyle w:val="BodyText"/>
        <w:spacing w:line="480" w:lineRule="auto"/>
        <w:ind w:right="-7"/>
        <w:jc w:val="both"/>
      </w:pPr>
      <w:r>
        <w:t xml:space="preserve">Bone is a dynamic tissue, and many factors including exercise and metabolic hormones regulate bone homeostasis. Bone mass and microarchitecture are maintained at the level that make bones sufficiently strong to withstand habitual loading and protect against falls and fractures </w:t>
      </w:r>
      <w:r>
        <w:fldChar w:fldCharType="begin">
          <w:fldData xml:space="preserve">PEVuZE5vdGU+PENpdGU+PEF1dGhvcj5DdXJyZXk8L0F1dGhvcj48WWVhcj4xOTg0PC9ZZWFyPjxS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</w:fldData>
        </w:fldChar>
      </w:r>
      <w:r w:rsidR="0000415D">
        <w:instrText xml:space="preserve"> ADDIN EN.CITE </w:instrText>
      </w:r>
      <w:r w:rsidR="0000415D">
        <w:fldChar w:fldCharType="begin">
          <w:fldData xml:space="preserve">PEVuZE5vdGU+PENpdGU+PEF1dGhvcj5DdXJyZXk8L0F1dGhvcj48WWVhcj4xOTg0PC9ZZWFyPjxS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</w:fldData>
        </w:fldChar>
      </w:r>
      <w:r w:rsidR="0000415D">
        <w:instrText xml:space="preserve"> ADDIN EN.CITE.DATA </w:instrText>
      </w:r>
      <w:r w:rsidR="0000415D">
        <w:fldChar w:fldCharType="end"/>
      </w:r>
      <w:r>
        <w:fldChar w:fldCharType="separate"/>
      </w:r>
      <w:r>
        <w:rPr>
          <w:noProof/>
        </w:rPr>
        <w:t>(Currey, 1984, Skerry, 1999, Skerry, 2008)</w:t>
      </w:r>
      <w:r>
        <w:fldChar w:fldCharType="end"/>
      </w:r>
      <w:r>
        <w:t xml:space="preserve">. A balanced diet rich in calcium and vitamin D is important for healthy bones providing building blocks for bone tissue </w:t>
      </w:r>
      <w:r>
        <w:fldChar w:fldCharType="begin"/>
      </w:r>
      <w:r w:rsidR="00651EFF">
        <w:instrText xml:space="preserve"> ADDIN EN.CITE &lt;EndNote&gt;&lt;Cite&gt;&lt;Author&gt;IOF&lt;/Author&gt;&lt;Year&gt;2018&lt;/Year&gt;&lt;RecNum&gt;293&lt;/RecNum&gt;&lt;DisplayText&gt;(IOF, 2018)&lt;/DisplayText&gt;&lt;record&gt;&lt;rec-number&gt;293&lt;/rec-number&gt;&lt;foreign-keys&gt;&lt;key app="EN" db-id="ae9rewfrpdttrheppfxxv0p4950wpd25r09x" timestamp="1520658290"&gt;293&lt;/key&gt;&lt;/foreign-keys&gt;&lt;ref-type name="Web Page"&gt;12&lt;/ref-type&gt;&lt;contributors&gt;&lt;authors&gt;&lt;author&gt;IOF&lt;/author&gt;&lt;/authors&gt;&lt;/contributors&gt;&lt;titles&gt;&lt;/titles&gt;&lt;volume&gt;2018&lt;/volume&gt;&lt;number&gt;19 March&lt;/number&gt;&lt;dates&gt;&lt;year&gt;2018&lt;/year&gt;&lt;/dates&gt;&lt;urls&gt;&lt;related-urls&gt;&lt;url&gt;http://www.iofbonehealth.org/&lt;/url&gt;&lt;/related-urls&gt;&lt;/urls&gt;&lt;/record&gt;&lt;/Cite&gt;&lt;/EndNote&gt;</w:instrText>
      </w:r>
      <w:r>
        <w:fldChar w:fldCharType="separate"/>
      </w:r>
      <w:r w:rsidR="001D3E4D">
        <w:rPr>
          <w:noProof/>
        </w:rPr>
        <w:t>(IOF, 2018)</w:t>
      </w:r>
      <w:r>
        <w:fldChar w:fldCharType="end"/>
      </w:r>
      <w:r>
        <w:t xml:space="preserve">. Therefore, physical activity and nutrition make essential components of osteoporosis prevention and treatment program. </w:t>
      </w:r>
    </w:p>
    <w:p w14:paraId="226B3257" w14:textId="77777777" w:rsidR="000C3AA8" w:rsidRDefault="007B76C3" w:rsidP="00FE148F">
      <w:pPr>
        <w:pStyle w:val="BodyText"/>
        <w:spacing w:line="480" w:lineRule="auto"/>
        <w:ind w:right="-7"/>
        <w:jc w:val="both"/>
      </w:pPr>
      <w:r w:rsidRPr="00A3430E">
        <w:lastRenderedPageBreak/>
        <w:t xml:space="preserve">The </w:t>
      </w:r>
      <w:r w:rsidR="00CA68EB">
        <w:t xml:space="preserve">main </w:t>
      </w:r>
      <w:r w:rsidRPr="00A3430E">
        <w:t xml:space="preserve">aim of this </w:t>
      </w:r>
      <w:r>
        <w:t>PhD is to examine the effect of timing of feeding on known responses to mechanical loading, which mimics exercise in bone with a long-term aim of informing lifestyle changes for prevention and treatment of age-related bone loss in elderly adults.</w:t>
      </w:r>
      <w:r w:rsidR="000C3AA8">
        <w:t xml:space="preserve"> </w:t>
      </w:r>
      <w:r w:rsidR="000C3AA8" w:rsidRPr="00842660">
        <w:t xml:space="preserve">The introduction to this thesis will provide a brief overview about the effects of ageing on the skeleton. It will describe the basic concepts of bone biology, review the known effects of exercise/mechanical loading on bone adaptation in humans and model organisms followed by the systemic regulation of bone homeostasis, before stating the hypothesis and the aims of the project. </w:t>
      </w:r>
    </w:p>
    <w:p w14:paraId="0576E61C" w14:textId="77777777" w:rsidR="000C3AA8" w:rsidRPr="002A0780" w:rsidRDefault="008D0093" w:rsidP="00D40E59">
      <w:pPr>
        <w:pStyle w:val="Heading2"/>
      </w:pPr>
      <w:bookmarkStart w:id="8" w:name="_Toc383723842"/>
      <w:r w:rsidRPr="002A0780">
        <w:t xml:space="preserve">1.1 </w:t>
      </w:r>
      <w:r w:rsidR="007B76C3" w:rsidRPr="002A0780">
        <w:t>Ageing and the human skeleton</w:t>
      </w:r>
      <w:bookmarkEnd w:id="8"/>
    </w:p>
    <w:p w14:paraId="3D6683FC" w14:textId="77777777" w:rsidR="007B76C3" w:rsidRPr="0008605F" w:rsidRDefault="007B76C3" w:rsidP="005C5698">
      <w:pPr>
        <w:pStyle w:val="Heading3"/>
        <w:spacing w:line="480" w:lineRule="auto"/>
        <w:jc w:val="both"/>
        <w:rPr>
          <w:rFonts w:ascii="Arial" w:hAnsi="Arial" w:cs="Arial"/>
          <w:color w:val="auto"/>
        </w:rPr>
      </w:pPr>
      <w:bookmarkStart w:id="9" w:name="_Toc383723843"/>
      <w:r w:rsidRPr="0008605F">
        <w:rPr>
          <w:rFonts w:ascii="Arial" w:hAnsi="Arial" w:cs="Arial"/>
          <w:color w:val="auto"/>
        </w:rPr>
        <w:t>1.1.1 Anatomy and physiology of the skeleton</w:t>
      </w:r>
      <w:bookmarkEnd w:id="9"/>
    </w:p>
    <w:p w14:paraId="20E21CC9" w14:textId="77777777" w:rsidR="007B76C3" w:rsidRDefault="007B76C3" w:rsidP="007B76C3">
      <w:pPr>
        <w:spacing w:line="480" w:lineRule="auto"/>
        <w:jc w:val="both"/>
        <w:rPr>
          <w:rFonts w:ascii="Arial" w:hAnsi="Arial" w:cs="Arial"/>
          <w:color w:val="000000" w:themeColor="text1"/>
        </w:rPr>
      </w:pPr>
      <w:r>
        <w:rPr>
          <w:rFonts w:ascii="Arial" w:hAnsi="Arial" w:cs="Arial"/>
          <w:color w:val="000000" w:themeColor="text1"/>
        </w:rPr>
        <w:t>The major</w:t>
      </w:r>
      <w:r w:rsidRPr="005F2ABD">
        <w:rPr>
          <w:rFonts w:ascii="Arial" w:hAnsi="Arial" w:cs="Arial"/>
          <w:color w:val="000000" w:themeColor="text1"/>
        </w:rPr>
        <w:t xml:space="preserve"> function </w:t>
      </w:r>
      <w:r>
        <w:rPr>
          <w:rFonts w:ascii="Arial" w:hAnsi="Arial" w:cs="Arial"/>
          <w:color w:val="000000" w:themeColor="text1"/>
        </w:rPr>
        <w:t>of the skeleton is to provide protection and mechanical support for vital internal organs that are essential for the maintenance of life. The skeleton provides support structure through which mechanical forces generated by muscular contractions are transmitted assisting with locomotion, respiration and reproduction. The skeleton is the main reservoir of calcium and phosphorus and is involved in homeostatic regulation of these minerals. The marrow cavities of the bone inside the cortex provide sites for haematopoiesis to occur</w:t>
      </w:r>
      <w:r w:rsidR="00C20587">
        <w:rPr>
          <w:rFonts w:ascii="Arial" w:hAnsi="Arial" w:cs="Arial"/>
          <w:color w:val="000000" w:themeColor="text1"/>
        </w:rPr>
        <w:t xml:space="preserve"> </w:t>
      </w:r>
      <w:r w:rsidR="00C20587">
        <w:rPr>
          <w:rFonts w:ascii="Arial" w:hAnsi="Arial" w:cs="Arial"/>
          <w:color w:val="000000" w:themeColor="text1"/>
        </w:rPr>
        <w:fldChar w:fldCharType="begin">
          <w:fldData xml:space="preserve">PEVuZE5vdGU+PENpdGU+PEF1dGhvcj5NYXJ0aW48L0F1dGhvcj48WWVhcj4xOTg5PC9ZZWFyPjxS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==
</w:fldData>
        </w:fldChar>
      </w:r>
      <w:r w:rsidR="0000415D">
        <w:rPr>
          <w:rFonts w:ascii="Arial" w:hAnsi="Arial" w:cs="Arial"/>
          <w:color w:val="000000" w:themeColor="text1"/>
        </w:rPr>
        <w:instrText xml:space="preserve"> ADDIN EN.CITE </w:instrText>
      </w:r>
      <w:r w:rsidR="0000415D">
        <w:rPr>
          <w:rFonts w:ascii="Arial" w:hAnsi="Arial" w:cs="Arial"/>
          <w:color w:val="000000" w:themeColor="text1"/>
        </w:rPr>
        <w:fldChar w:fldCharType="begin">
          <w:fldData xml:space="preserve">PEVuZE5vdGU+PENpdGU+PEF1dGhvcj5NYXJ0aW48L0F1dGhvcj48WWVhcj4xOTg5PC9ZZWFyPjxS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==
</w:fldData>
        </w:fldChar>
      </w:r>
      <w:r w:rsidR="0000415D">
        <w:rPr>
          <w:rFonts w:ascii="Arial" w:hAnsi="Arial" w:cs="Arial"/>
          <w:color w:val="000000" w:themeColor="text1"/>
        </w:rPr>
        <w:instrText xml:space="preserve"> ADDIN EN.CITE.DATA </w:instrText>
      </w:r>
      <w:r w:rsidR="0000415D">
        <w:rPr>
          <w:rFonts w:ascii="Arial" w:hAnsi="Arial" w:cs="Arial"/>
          <w:color w:val="000000" w:themeColor="text1"/>
        </w:rPr>
      </w:r>
      <w:r w:rsidR="0000415D">
        <w:rPr>
          <w:rFonts w:ascii="Arial" w:hAnsi="Arial" w:cs="Arial"/>
          <w:color w:val="000000" w:themeColor="text1"/>
        </w:rPr>
        <w:fldChar w:fldCharType="end"/>
      </w:r>
      <w:r w:rsidR="00C20587">
        <w:rPr>
          <w:rFonts w:ascii="Arial" w:hAnsi="Arial" w:cs="Arial"/>
          <w:color w:val="000000" w:themeColor="text1"/>
        </w:rPr>
      </w:r>
      <w:r w:rsidR="00C20587">
        <w:rPr>
          <w:rFonts w:ascii="Arial" w:hAnsi="Arial" w:cs="Arial"/>
          <w:color w:val="000000" w:themeColor="text1"/>
        </w:rPr>
        <w:fldChar w:fldCharType="separate"/>
      </w:r>
      <w:r w:rsidR="00C40915">
        <w:rPr>
          <w:rFonts w:ascii="Arial" w:hAnsi="Arial" w:cs="Arial"/>
          <w:noProof/>
          <w:color w:val="000000" w:themeColor="text1"/>
        </w:rPr>
        <w:t>(Martin et al., 1989, Jee, 2000, Frost, 2003)</w:t>
      </w:r>
      <w:r w:rsidR="00C20587">
        <w:rPr>
          <w:rFonts w:ascii="Arial" w:hAnsi="Arial" w:cs="Arial"/>
          <w:color w:val="000000" w:themeColor="text1"/>
        </w:rPr>
        <w:fldChar w:fldCharType="end"/>
      </w:r>
      <w:r>
        <w:rPr>
          <w:rFonts w:ascii="Arial" w:hAnsi="Arial" w:cs="Arial"/>
          <w:color w:val="000000" w:themeColor="text1"/>
        </w:rPr>
        <w:t>.</w:t>
      </w:r>
      <w:r w:rsidR="00C20587">
        <w:rPr>
          <w:rFonts w:ascii="Arial" w:hAnsi="Arial" w:cs="Arial"/>
          <w:color w:val="000000" w:themeColor="text1"/>
        </w:rPr>
        <w:t xml:space="preserve"> </w:t>
      </w:r>
    </w:p>
    <w:p w14:paraId="1D771460" w14:textId="77777777" w:rsidR="007B76C3" w:rsidRDefault="007B76C3" w:rsidP="007B76C3">
      <w:pPr>
        <w:spacing w:line="480" w:lineRule="auto"/>
        <w:jc w:val="both"/>
        <w:rPr>
          <w:rFonts w:ascii="Arial" w:hAnsi="Arial" w:cs="Arial"/>
          <w:color w:val="000000" w:themeColor="text1"/>
        </w:rPr>
      </w:pPr>
    </w:p>
    <w:p w14:paraId="7C557A0B" w14:textId="77777777" w:rsidR="007B76C3" w:rsidRDefault="007B76C3" w:rsidP="007B76C3">
      <w:pPr>
        <w:spacing w:line="480" w:lineRule="auto"/>
        <w:jc w:val="both"/>
        <w:rPr>
          <w:rFonts w:ascii="Arial" w:hAnsi="Arial" w:cs="Arial"/>
          <w:color w:val="000000" w:themeColor="text1"/>
        </w:rPr>
      </w:pPr>
      <w:r>
        <w:rPr>
          <w:rFonts w:ascii="Arial" w:hAnsi="Arial" w:cs="Arial"/>
          <w:color w:val="000000" w:themeColor="text1"/>
        </w:rPr>
        <w:t xml:space="preserve">Bone is a major endocrine organ; it is a source of endocrine hormones and growth factors including fibroblast growth factor 23 (FGF23), osteocalcin and sclerostin </w:t>
      </w:r>
      <w:r>
        <w:rPr>
          <w:rFonts w:ascii="Arial" w:hAnsi="Arial" w:cs="Arial"/>
          <w:color w:val="000000" w:themeColor="text1"/>
        </w:rPr>
        <w:fldChar w:fldCharType="begin">
          <w:fldData xml:space="preserve">PEVuZE5vdGU+PENpdGU+PEF1dGhvcj5RdWFybGVzPC9BdXRob3I+PFllYXI+MjAwMzwvWWVhcj48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</w:fldData>
        </w:fldChar>
      </w:r>
      <w:r w:rsidR="00A108A1">
        <w:rPr>
          <w:rFonts w:ascii="Arial" w:hAnsi="Arial" w:cs="Arial"/>
          <w:color w:val="000000" w:themeColor="text1"/>
        </w:rPr>
        <w:instrText xml:space="preserve"> ADDIN EN.CITE </w:instrText>
      </w:r>
      <w:r w:rsidR="00A108A1">
        <w:rPr>
          <w:rFonts w:ascii="Arial" w:hAnsi="Arial" w:cs="Arial"/>
          <w:color w:val="000000" w:themeColor="text1"/>
        </w:rPr>
        <w:fldChar w:fldCharType="begin">
          <w:fldData xml:space="preserve">PEVuZE5vdGU+PENpdGU+PEF1dGhvcj5RdWFybGVzPC9BdXRob3I+PFllYXI+MjAwMzwvWWVhcj48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</w:fldData>
        </w:fldChar>
      </w:r>
      <w:r w:rsidR="00A108A1">
        <w:rPr>
          <w:rFonts w:ascii="Arial" w:hAnsi="Arial" w:cs="Arial"/>
          <w:color w:val="000000" w:themeColor="text1"/>
        </w:rPr>
        <w:instrText xml:space="preserve"> ADDIN EN.CITE.DATA </w:instrText>
      </w:r>
      <w:r w:rsidR="00A108A1">
        <w:rPr>
          <w:rFonts w:ascii="Arial" w:hAnsi="Arial" w:cs="Arial"/>
          <w:color w:val="000000" w:themeColor="text1"/>
        </w:rPr>
      </w:r>
      <w:r w:rsidR="00A108A1">
        <w:rPr>
          <w:rFonts w:ascii="Arial" w:hAnsi="Arial" w:cs="Arial"/>
          <w:color w:val="000000" w:themeColor="text1"/>
        </w:rPr>
        <w:fldChar w:fldCharType="end"/>
      </w:r>
      <w:r>
        <w:rPr>
          <w:rFonts w:ascii="Arial" w:hAnsi="Arial" w:cs="Arial"/>
          <w:color w:val="000000" w:themeColor="text1"/>
        </w:rPr>
      </w:r>
      <w:r>
        <w:rPr>
          <w:rFonts w:ascii="Arial" w:hAnsi="Arial" w:cs="Arial"/>
          <w:color w:val="000000" w:themeColor="text1"/>
        </w:rPr>
        <w:fldChar w:fldCharType="separate"/>
      </w:r>
      <w:r>
        <w:rPr>
          <w:rFonts w:ascii="Arial" w:hAnsi="Arial" w:cs="Arial"/>
          <w:noProof/>
          <w:color w:val="000000" w:themeColor="text1"/>
        </w:rPr>
        <w:t>(Quarles, 2003, Crockett et al., 2011, Karsenty and Ferron, 2012</w:t>
      </w:r>
      <w:r w:rsidR="00663E20">
        <w:rPr>
          <w:rFonts w:ascii="Arial" w:hAnsi="Arial" w:cs="Arial"/>
          <w:noProof/>
          <w:color w:val="000000" w:themeColor="text1"/>
        </w:rPr>
        <w:t>, Wein et al., 2016</w:t>
      </w:r>
      <w:r>
        <w:rPr>
          <w:rFonts w:ascii="Arial" w:hAnsi="Arial" w:cs="Arial"/>
          <w:noProof/>
          <w:color w:val="000000" w:themeColor="text1"/>
        </w:rPr>
        <w:t>)</w:t>
      </w:r>
      <w:r>
        <w:rPr>
          <w:rFonts w:ascii="Arial" w:hAnsi="Arial" w:cs="Arial"/>
          <w:color w:val="000000" w:themeColor="text1"/>
        </w:rPr>
        <w:fldChar w:fldCharType="end"/>
      </w:r>
      <w:r>
        <w:rPr>
          <w:rFonts w:ascii="Arial" w:hAnsi="Arial" w:cs="Arial"/>
          <w:color w:val="000000" w:themeColor="text1"/>
        </w:rPr>
        <w:t>. The most abundant cells within bone matrix ost</w:t>
      </w:r>
      <w:r w:rsidR="00753108">
        <w:rPr>
          <w:rFonts w:ascii="Arial" w:hAnsi="Arial" w:cs="Arial"/>
          <w:color w:val="000000" w:themeColor="text1"/>
        </w:rPr>
        <w:t>eocytes and bone-</w:t>
      </w:r>
      <w:r>
        <w:rPr>
          <w:rFonts w:ascii="Arial" w:hAnsi="Arial" w:cs="Arial"/>
          <w:color w:val="000000" w:themeColor="text1"/>
        </w:rPr>
        <w:t xml:space="preserve">forming cells osteoblasts secrete FGF23 </w:t>
      </w:r>
      <w:r w:rsidR="00395B46">
        <w:rPr>
          <w:rFonts w:ascii="Arial" w:hAnsi="Arial" w:cs="Arial"/>
          <w:color w:val="000000" w:themeColor="text1"/>
        </w:rPr>
        <w:fldChar w:fldCharType="begin">
          <w:fldData xml:space="preserve">PEVuZE5vdGU+PENpdGU+PEF1dGhvcj5RdWFybGVzPC9BdXRob3I+PFllYXI+MjAxMjwvWWVhcj48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</w:fldData>
        </w:fldChar>
      </w:r>
      <w:r w:rsidR="00651EFF">
        <w:rPr>
          <w:rFonts w:ascii="Arial" w:hAnsi="Arial" w:cs="Arial"/>
          <w:color w:val="000000" w:themeColor="text1"/>
        </w:rPr>
        <w:instrText xml:space="preserve"> ADDIN EN.CITE </w:instrText>
      </w:r>
      <w:r w:rsidR="00651EFF">
        <w:rPr>
          <w:rFonts w:ascii="Arial" w:hAnsi="Arial" w:cs="Arial"/>
          <w:color w:val="000000" w:themeColor="text1"/>
        </w:rPr>
        <w:fldChar w:fldCharType="begin">
          <w:fldData xml:space="preserve">PEVuZE5vdGU+PENpdGU+PEF1dGhvcj5RdWFybGVzPC9BdXRob3I+PFllYXI+MjAxMjwvWWVhcj48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</w:fldData>
        </w:fldChar>
      </w:r>
      <w:r w:rsidR="00651EFF">
        <w:rPr>
          <w:rFonts w:ascii="Arial" w:hAnsi="Arial" w:cs="Arial"/>
          <w:color w:val="000000" w:themeColor="text1"/>
        </w:rPr>
        <w:instrText xml:space="preserve"> ADDIN EN.CITE.DATA </w:instrText>
      </w:r>
      <w:r w:rsidR="00651EFF">
        <w:rPr>
          <w:rFonts w:ascii="Arial" w:hAnsi="Arial" w:cs="Arial"/>
          <w:color w:val="000000" w:themeColor="text1"/>
        </w:rPr>
      </w:r>
      <w:r w:rsidR="00651EFF">
        <w:rPr>
          <w:rFonts w:ascii="Arial" w:hAnsi="Arial" w:cs="Arial"/>
          <w:color w:val="000000" w:themeColor="text1"/>
        </w:rPr>
        <w:fldChar w:fldCharType="end"/>
      </w:r>
      <w:r w:rsidR="00395B46">
        <w:rPr>
          <w:rFonts w:ascii="Arial" w:hAnsi="Arial" w:cs="Arial"/>
          <w:color w:val="000000" w:themeColor="text1"/>
        </w:rPr>
      </w:r>
      <w:r w:rsidR="00395B46">
        <w:rPr>
          <w:rFonts w:ascii="Arial" w:hAnsi="Arial" w:cs="Arial"/>
          <w:color w:val="000000" w:themeColor="text1"/>
        </w:rPr>
        <w:fldChar w:fldCharType="separate"/>
      </w:r>
      <w:r w:rsidR="00651EFF">
        <w:rPr>
          <w:rFonts w:ascii="Arial" w:hAnsi="Arial" w:cs="Arial"/>
          <w:noProof/>
          <w:color w:val="000000" w:themeColor="text1"/>
        </w:rPr>
        <w:t>(Quarles, 2012, De Paula and Rosen, 2013)</w:t>
      </w:r>
      <w:r w:rsidR="00395B46">
        <w:rPr>
          <w:rFonts w:ascii="Arial" w:hAnsi="Arial" w:cs="Arial"/>
          <w:color w:val="000000" w:themeColor="text1"/>
        </w:rPr>
        <w:fldChar w:fldCharType="end"/>
      </w:r>
      <w:r>
        <w:rPr>
          <w:rFonts w:ascii="Arial" w:hAnsi="Arial" w:cs="Arial"/>
          <w:color w:val="000000" w:themeColor="text1"/>
        </w:rPr>
        <w:t xml:space="preserve">. FGF23 is </w:t>
      </w:r>
      <w:r w:rsidR="00CD564D">
        <w:rPr>
          <w:rFonts w:ascii="Arial" w:hAnsi="Arial" w:cs="Arial"/>
          <w:color w:val="000000" w:themeColor="text1"/>
        </w:rPr>
        <w:t xml:space="preserve">an </w:t>
      </w:r>
      <w:r>
        <w:rPr>
          <w:rFonts w:ascii="Arial" w:hAnsi="Arial" w:cs="Arial"/>
          <w:color w:val="000000" w:themeColor="text1"/>
        </w:rPr>
        <w:t xml:space="preserve">essential </w:t>
      </w:r>
      <w:r w:rsidR="00CD564D">
        <w:rPr>
          <w:rFonts w:ascii="Arial" w:hAnsi="Arial" w:cs="Arial"/>
          <w:color w:val="000000" w:themeColor="text1"/>
        </w:rPr>
        <w:t>component of the</w:t>
      </w:r>
      <w:r>
        <w:rPr>
          <w:rFonts w:ascii="Arial" w:hAnsi="Arial" w:cs="Arial"/>
          <w:color w:val="000000" w:themeColor="text1"/>
        </w:rPr>
        <w:t xml:space="preserve"> endocrine feedback</w:t>
      </w:r>
      <w:r w:rsidR="009F6D15">
        <w:rPr>
          <w:rFonts w:ascii="Arial" w:hAnsi="Arial" w:cs="Arial"/>
          <w:color w:val="000000" w:themeColor="text1"/>
        </w:rPr>
        <w:t xml:space="preserve"> </w:t>
      </w:r>
      <w:r w:rsidR="00CD564D">
        <w:rPr>
          <w:rFonts w:ascii="Arial" w:hAnsi="Arial" w:cs="Arial"/>
          <w:color w:val="000000" w:themeColor="text1"/>
        </w:rPr>
        <w:t>loop</w:t>
      </w:r>
      <w:r>
        <w:rPr>
          <w:rFonts w:ascii="Arial" w:hAnsi="Arial" w:cs="Arial"/>
          <w:color w:val="000000" w:themeColor="text1"/>
        </w:rPr>
        <w:t xml:space="preserve"> between bone and kidney; it directly reduces renal reabsorption of phosphate in response to hyperphosphataemia </w:t>
      </w:r>
      <w:r w:rsidR="009F6D15">
        <w:rPr>
          <w:rFonts w:ascii="Arial" w:hAnsi="Arial" w:cs="Arial"/>
          <w:color w:val="000000" w:themeColor="text1"/>
        </w:rPr>
        <w:t>provoking</w:t>
      </w:r>
      <w:r>
        <w:rPr>
          <w:rFonts w:ascii="Arial" w:hAnsi="Arial" w:cs="Arial"/>
          <w:color w:val="000000" w:themeColor="text1"/>
        </w:rPr>
        <w:t xml:space="preserve"> urinary loss of phosphorus and indirectly suppresses 1,25-dihydroxyvitamin D production down-regulating intestinal </w:t>
      </w:r>
      <w:r>
        <w:rPr>
          <w:rFonts w:ascii="Arial" w:hAnsi="Arial" w:cs="Arial"/>
          <w:color w:val="000000" w:themeColor="text1"/>
        </w:rPr>
        <w:lastRenderedPageBreak/>
        <w:t>calcium and phosphorus absorption</w:t>
      </w:r>
      <w:r w:rsidR="00E976AF">
        <w:rPr>
          <w:rFonts w:ascii="Arial" w:hAnsi="Arial" w:cs="Arial"/>
          <w:color w:val="000000" w:themeColor="text1"/>
        </w:rPr>
        <w:t xml:space="preserve"> </w:t>
      </w:r>
      <w:r w:rsidR="00E976AF">
        <w:rPr>
          <w:rFonts w:ascii="Arial" w:hAnsi="Arial" w:cs="Arial"/>
          <w:color w:val="000000" w:themeColor="text1"/>
        </w:rPr>
        <w:fldChar w:fldCharType="begin"/>
      </w:r>
      <w:r w:rsidR="00B97465">
        <w:rPr>
          <w:rFonts w:ascii="Arial" w:hAnsi="Arial" w:cs="Arial"/>
          <w:color w:val="000000" w:themeColor="text1"/>
        </w:rPr>
        <w:instrText xml:space="preserve"> ADDIN EN.CITE &lt;EndNote&gt;&lt;Cite&gt;&lt;Author&gt;Bergwitz&lt;/Author&gt;&lt;Year&gt;2010&lt;/Year&gt;&lt;RecNum&gt;295&lt;/RecNum&gt;&lt;DisplayText&gt;(Bergwitz and Jüppner, 2010)&lt;/DisplayText&gt;&lt;record&gt;&lt;rec-number&gt;295&lt;/rec-number&gt;&lt;foreign-keys&gt;&lt;key app="EN" db-id="ae9rewfrpdttrheppfxxv0p4950wpd25r09x" timestamp="1520658290"&gt;295&lt;/key&gt;&lt;/foreign-keys&gt;&lt;ref-type name="Journal Article"&gt;17&lt;/ref-type&gt;&lt;contributors&gt;&lt;authors&gt;&lt;author&gt;Bergwitz, Clemens&lt;/author&gt;&lt;author&gt;Jüppner, Harald&lt;/author&gt;&lt;/authors&gt;&lt;/contributors&gt;&lt;titles&gt;&lt;title&gt;Regulation of Phosphate Homeostasis by PTH, Vitamin D, and FGF23&lt;/title&gt;&lt;secondary-title&gt;Annual Review of  Medicine&lt;/secondary-title&gt;&lt;/titles&gt;&lt;periodical&gt;&lt;full-title&gt;Annual Review of  Medicine&lt;/full-title&gt;&lt;/periodical&gt;&lt;pages&gt;91-104&lt;/pages&gt;&lt;volume&gt;61&lt;/volume&gt;&lt;keywords&gt;&lt;keyword&gt;PTH&lt;/keyword&gt;&lt;keyword&gt;1,25(OH)-vitamin D&lt;/keyword&gt;&lt;keyword&gt;FGF23&lt;/keyword&gt;&lt;keyword&gt;phosphate homeostasis&lt;/keyword&gt;&lt;/keywords&gt;&lt;dates&gt;&lt;year&gt;2010&lt;/year&gt;&lt;/dates&gt;&lt;isbn&gt;0066-4219&lt;/isbn&gt;&lt;urls&gt;&lt;/urls&gt;&lt;electronic-resource-num&gt;10.1146/annurev.med.051308.111339&lt;/electronic-resource-num&gt;&lt;/record&gt;&lt;/Cite&gt;&lt;/EndNote&gt;</w:instrText>
      </w:r>
      <w:r w:rsidR="00E976AF">
        <w:rPr>
          <w:rFonts w:ascii="Arial" w:hAnsi="Arial" w:cs="Arial"/>
          <w:color w:val="000000" w:themeColor="text1"/>
        </w:rPr>
        <w:fldChar w:fldCharType="separate"/>
      </w:r>
      <w:r w:rsidR="00E976AF">
        <w:rPr>
          <w:rFonts w:ascii="Arial" w:hAnsi="Arial" w:cs="Arial"/>
          <w:noProof/>
          <w:color w:val="000000" w:themeColor="text1"/>
        </w:rPr>
        <w:t>(Bergwitz and Jüppner, 2010)</w:t>
      </w:r>
      <w:r w:rsidR="00E976AF">
        <w:rPr>
          <w:rFonts w:ascii="Arial" w:hAnsi="Arial" w:cs="Arial"/>
          <w:color w:val="000000" w:themeColor="text1"/>
        </w:rPr>
        <w:fldChar w:fldCharType="end"/>
      </w:r>
      <w:r w:rsidR="00E976AF">
        <w:rPr>
          <w:rFonts w:ascii="Arial" w:hAnsi="Arial" w:cs="Arial"/>
          <w:color w:val="000000" w:themeColor="text1"/>
        </w:rPr>
        <w:t xml:space="preserve">. </w:t>
      </w:r>
      <w:r w:rsidRPr="007E57D0">
        <w:rPr>
          <w:rFonts w:ascii="Arial" w:hAnsi="Arial" w:cs="Arial"/>
          <w:color w:val="000000" w:themeColor="text1"/>
        </w:rPr>
        <w:t>The calciotropic hormone 1,25-</w:t>
      </w:r>
      <w:r>
        <w:rPr>
          <w:rFonts w:ascii="Arial" w:hAnsi="Arial" w:cs="Arial"/>
          <w:color w:val="000000" w:themeColor="text1"/>
        </w:rPr>
        <w:t>(</w:t>
      </w:r>
      <w:proofErr w:type="gramStart"/>
      <w:r>
        <w:rPr>
          <w:rFonts w:ascii="Arial" w:hAnsi="Arial" w:cs="Arial"/>
          <w:color w:val="000000" w:themeColor="text1"/>
        </w:rPr>
        <w:t>OH)</w:t>
      </w:r>
      <w:r>
        <w:rPr>
          <w:rFonts w:ascii="Arial" w:hAnsi="Arial" w:cs="Arial"/>
          <w:color w:val="000000" w:themeColor="text1"/>
          <w:vertAlign w:val="subscript"/>
        </w:rPr>
        <w:t>2</w:t>
      </w:r>
      <w:r w:rsidRPr="007E57D0">
        <w:rPr>
          <w:rFonts w:ascii="Arial" w:hAnsi="Arial" w:cs="Arial"/>
          <w:color w:val="000000" w:themeColor="text1"/>
        </w:rPr>
        <w:t>D</w:t>
      </w:r>
      <w:proofErr w:type="gramEnd"/>
      <w:r w:rsidRPr="007E57D0">
        <w:rPr>
          <w:rFonts w:ascii="Arial" w:hAnsi="Arial" w:cs="Arial"/>
          <w:color w:val="000000" w:themeColor="text1"/>
        </w:rPr>
        <w:t xml:space="preserve"> for the stimulation of calcium and phosphorus absorption</w:t>
      </w:r>
      <w:r w:rsidR="00552F5B">
        <w:rPr>
          <w:rFonts w:ascii="Arial" w:hAnsi="Arial" w:cs="Arial"/>
          <w:color w:val="000000" w:themeColor="text1"/>
        </w:rPr>
        <w:t>, triggers</w:t>
      </w:r>
      <w:r w:rsidRPr="007E57D0">
        <w:rPr>
          <w:rFonts w:ascii="Arial" w:hAnsi="Arial" w:cs="Arial"/>
          <w:color w:val="000000" w:themeColor="text1"/>
        </w:rPr>
        <w:t xml:space="preserve"> lipogenesis in the adipose </w:t>
      </w:r>
      <w:r>
        <w:rPr>
          <w:rFonts w:ascii="Arial" w:hAnsi="Arial" w:cs="Arial"/>
          <w:color w:val="000000" w:themeColor="text1"/>
        </w:rPr>
        <w:t>t</w:t>
      </w:r>
      <w:r w:rsidRPr="007E57D0">
        <w:rPr>
          <w:rFonts w:ascii="Arial" w:hAnsi="Arial" w:cs="Arial"/>
          <w:color w:val="000000" w:themeColor="text1"/>
        </w:rPr>
        <w:t>issue</w:t>
      </w:r>
      <w:r w:rsidR="00161FEA">
        <w:rPr>
          <w:rFonts w:ascii="Arial" w:hAnsi="Arial" w:cs="Arial"/>
          <w:color w:val="000000" w:themeColor="text1"/>
        </w:rPr>
        <w:t xml:space="preserve"> as depicted in Figure </w:t>
      </w:r>
      <w:r>
        <w:rPr>
          <w:rFonts w:ascii="Arial" w:hAnsi="Arial" w:cs="Arial"/>
          <w:color w:val="000000" w:themeColor="text1"/>
        </w:rPr>
        <w:t>1.</w:t>
      </w:r>
      <w:r w:rsidRPr="00DE7EB5">
        <w:rPr>
          <w:rFonts w:ascii="Arial" w:hAnsi="Arial" w:cs="Arial"/>
          <w:color w:val="000000" w:themeColor="text1"/>
        </w:rPr>
        <w:t xml:space="preserve"> </w:t>
      </w:r>
    </w:p>
    <w:p w14:paraId="7637E9A9" w14:textId="77777777" w:rsidR="009034B9" w:rsidRDefault="009034B9" w:rsidP="007B76C3">
      <w:pPr>
        <w:spacing w:line="480" w:lineRule="auto"/>
        <w:jc w:val="both"/>
        <w:rPr>
          <w:rFonts w:ascii="Arial" w:hAnsi="Arial" w:cs="Arial"/>
          <w:color w:val="000000" w:themeColor="text1"/>
        </w:rPr>
      </w:pPr>
    </w:p>
    <w:p w14:paraId="5A0BE75D" w14:textId="77777777" w:rsidR="007B76C3" w:rsidRDefault="007B76C3" w:rsidP="007B76C3">
      <w:pPr>
        <w:spacing w:line="480" w:lineRule="auto"/>
        <w:jc w:val="both"/>
        <w:rPr>
          <w:rFonts w:ascii="Arial" w:hAnsi="Arial" w:cs="Arial"/>
          <w:color w:val="000000" w:themeColor="text1"/>
        </w:rPr>
      </w:pPr>
    </w:p>
    <w:p w14:paraId="15B7B514" w14:textId="77777777" w:rsidR="00643D43" w:rsidRDefault="007B76C3" w:rsidP="00643D43">
      <w:pPr>
        <w:keepNext/>
        <w:spacing w:line="480" w:lineRule="auto"/>
        <w:ind w:left="426"/>
        <w:jc w:val="both"/>
      </w:pPr>
      <w:r w:rsidRPr="00136724">
        <w:rPr>
          <w:rFonts w:ascii="Arial" w:hAnsi="Arial" w:cs="Arial"/>
          <w:noProof/>
          <w:color w:val="000000" w:themeColor="text1"/>
          <w:lang w:val="en-US"/>
        </w:rPr>
        <w:drawing>
          <wp:inline distT="0" distB="0" distL="0" distR="0" wp14:anchorId="7703BF94" wp14:editId="65D97AF0">
            <wp:extent cx="5574870" cy="3278806"/>
            <wp:effectExtent l="0" t="0" r="0" b="0"/>
            <wp:docPr id="4" name="Content Placeholder 3" descr="boneres20135-f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boneres20135-f2.jpg"/>
                    <pic:cNvPicPr>
                      <a:picLocks noGrp="1" noChangeAspect="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10050" r="-10050"/>
                    <a:stretch>
                      <a:fillRect/>
                    </a:stretch>
                  </pic:blipFill>
                  <pic:spPr>
                    <a:xfrm>
                      <a:off x="0" y="0"/>
                      <a:ext cx="5575315" cy="3279068"/>
                    </a:xfrm>
                    <a:prstGeom prst="rect">
                      <a:avLst/>
                    </a:prstGeom>
                  </pic:spPr>
                </pic:pic>
              </a:graphicData>
            </a:graphic>
          </wp:inline>
        </w:drawing>
      </w:r>
    </w:p>
    <w:p w14:paraId="43AA6F05" w14:textId="77777777" w:rsidR="00643D43" w:rsidRPr="00CD4880" w:rsidRDefault="00643D43" w:rsidP="00643D43">
      <w:pPr>
        <w:pStyle w:val="Caption"/>
        <w:jc w:val="both"/>
        <w:rPr>
          <w:rFonts w:ascii="Arial" w:hAnsi="Arial" w:cs="Arial"/>
          <w:color w:val="244061" w:themeColor="accent1" w:themeShade="80"/>
          <w:sz w:val="24"/>
          <w:szCs w:val="24"/>
        </w:rPr>
      </w:pPr>
    </w:p>
    <w:p w14:paraId="7C71F9D7" w14:textId="77777777" w:rsidR="007B76C3" w:rsidRPr="00A5656E" w:rsidRDefault="00643D43" w:rsidP="00643D43">
      <w:pPr>
        <w:pStyle w:val="Caption"/>
        <w:jc w:val="both"/>
        <w:rPr>
          <w:rFonts w:ascii="Arial" w:hAnsi="Arial" w:cs="Arial"/>
          <w:color w:val="244061" w:themeColor="accent1" w:themeShade="80"/>
          <w:sz w:val="24"/>
          <w:szCs w:val="24"/>
        </w:rPr>
      </w:pPr>
      <w:bookmarkStart w:id="10" w:name="_Toc383544592"/>
      <w:r w:rsidRPr="00A5656E">
        <w:rPr>
          <w:rFonts w:ascii="Arial" w:hAnsi="Arial" w:cs="Arial"/>
          <w:color w:val="244061" w:themeColor="accent1" w:themeShade="80"/>
          <w:sz w:val="24"/>
          <w:szCs w:val="24"/>
        </w:rPr>
        <w:t xml:space="preserve">Figure </w:t>
      </w:r>
      <w:r w:rsidRPr="00A5656E">
        <w:rPr>
          <w:rFonts w:ascii="Arial" w:hAnsi="Arial" w:cs="Arial"/>
          <w:color w:val="244061" w:themeColor="accent1" w:themeShade="80"/>
          <w:sz w:val="24"/>
          <w:szCs w:val="24"/>
        </w:rPr>
        <w:fldChar w:fldCharType="begin"/>
      </w:r>
      <w:r w:rsidRPr="00A5656E">
        <w:rPr>
          <w:rFonts w:ascii="Arial" w:hAnsi="Arial" w:cs="Arial"/>
          <w:color w:val="244061" w:themeColor="accent1" w:themeShade="80"/>
          <w:sz w:val="24"/>
          <w:szCs w:val="24"/>
        </w:rPr>
        <w:instrText xml:space="preserve"> SEQ Figure \* ARABIC </w:instrText>
      </w:r>
      <w:r w:rsidRPr="00A5656E">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w:t>
      </w:r>
      <w:r w:rsidRPr="00A5656E">
        <w:rPr>
          <w:rFonts w:ascii="Arial" w:hAnsi="Arial" w:cs="Arial"/>
          <w:color w:val="244061" w:themeColor="accent1" w:themeShade="80"/>
          <w:sz w:val="24"/>
          <w:szCs w:val="24"/>
        </w:rPr>
        <w:fldChar w:fldCharType="end"/>
      </w:r>
      <w:r w:rsidRPr="00A5656E">
        <w:rPr>
          <w:rFonts w:ascii="Arial" w:hAnsi="Arial" w:cs="Arial"/>
          <w:color w:val="244061" w:themeColor="accent1" w:themeShade="80"/>
          <w:sz w:val="24"/>
          <w:szCs w:val="24"/>
        </w:rPr>
        <w:t xml:space="preserve"> Bone and energy metabolism feedback loop</w:t>
      </w:r>
      <w:bookmarkEnd w:id="10"/>
    </w:p>
    <w:p w14:paraId="3B8AA3F1" w14:textId="77777777" w:rsidR="007B76C3" w:rsidRDefault="007B76C3" w:rsidP="007B76C3">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Increased serum phosphate leads to increased secretion of FGF-23 by the bone. A</w:t>
      </w:r>
      <w:r w:rsidRPr="00291C0B">
        <w:rPr>
          <w:rFonts w:ascii="Arial" w:hAnsi="Arial" w:cs="Arial"/>
          <w:color w:val="000000" w:themeColor="text1"/>
          <w:sz w:val="22"/>
          <w:szCs w:val="22"/>
        </w:rPr>
        <w:t xml:space="preserve">dipocyte-derived peptide </w:t>
      </w:r>
      <w:r>
        <w:rPr>
          <w:rFonts w:ascii="Arial" w:hAnsi="Arial" w:cs="Arial"/>
          <w:color w:val="000000" w:themeColor="text1"/>
          <w:sz w:val="22"/>
          <w:szCs w:val="22"/>
        </w:rPr>
        <w:t xml:space="preserve">leptin, which is involved in regulation of the </w:t>
      </w:r>
      <w:r w:rsidRPr="00291C0B">
        <w:rPr>
          <w:rFonts w:ascii="Arial" w:hAnsi="Arial" w:cs="Arial"/>
          <w:color w:val="000000" w:themeColor="text1"/>
          <w:sz w:val="22"/>
          <w:szCs w:val="22"/>
        </w:rPr>
        <w:t xml:space="preserve">energy </w:t>
      </w:r>
      <w:r>
        <w:rPr>
          <w:rFonts w:ascii="Arial" w:hAnsi="Arial" w:cs="Arial"/>
          <w:color w:val="000000" w:themeColor="text1"/>
          <w:sz w:val="22"/>
          <w:szCs w:val="22"/>
        </w:rPr>
        <w:t xml:space="preserve">expenditure, also stimulates </w:t>
      </w:r>
      <w:r w:rsidRPr="00291C0B">
        <w:rPr>
          <w:rFonts w:ascii="Arial" w:hAnsi="Arial" w:cs="Arial"/>
          <w:color w:val="000000" w:themeColor="text1"/>
          <w:sz w:val="22"/>
          <w:szCs w:val="22"/>
        </w:rPr>
        <w:t xml:space="preserve">endocrine production of FGF-23 by osteocytes. FGF-23 directly </w:t>
      </w:r>
      <w:r>
        <w:rPr>
          <w:rFonts w:ascii="Arial" w:hAnsi="Arial" w:cs="Arial"/>
          <w:color w:val="000000" w:themeColor="text1"/>
          <w:sz w:val="22"/>
          <w:szCs w:val="22"/>
        </w:rPr>
        <w:t xml:space="preserve">acts </w:t>
      </w:r>
      <w:r w:rsidRPr="00291C0B">
        <w:rPr>
          <w:rFonts w:ascii="Arial" w:hAnsi="Arial" w:cs="Arial"/>
          <w:color w:val="000000" w:themeColor="text1"/>
          <w:sz w:val="22"/>
          <w:szCs w:val="22"/>
        </w:rPr>
        <w:t>on the kidney inciting urinary loss of phosphorus and decre</w:t>
      </w:r>
      <w:r>
        <w:rPr>
          <w:rFonts w:ascii="Arial" w:hAnsi="Arial" w:cs="Arial"/>
          <w:color w:val="000000" w:themeColor="text1"/>
          <w:sz w:val="22"/>
          <w:szCs w:val="22"/>
        </w:rPr>
        <w:t>ases synthesis of 1,25-(</w:t>
      </w:r>
      <w:proofErr w:type="gramStart"/>
      <w:r>
        <w:rPr>
          <w:rFonts w:ascii="Arial" w:hAnsi="Arial" w:cs="Arial"/>
          <w:color w:val="000000" w:themeColor="text1"/>
          <w:sz w:val="22"/>
          <w:szCs w:val="22"/>
        </w:rPr>
        <w:t>OH)</w:t>
      </w:r>
      <w:r>
        <w:rPr>
          <w:rFonts w:ascii="Arial" w:hAnsi="Arial" w:cs="Arial"/>
          <w:color w:val="000000" w:themeColor="text1"/>
          <w:sz w:val="22"/>
          <w:szCs w:val="22"/>
          <w:vertAlign w:val="subscript"/>
        </w:rPr>
        <w:t>2</w:t>
      </w:r>
      <w:r w:rsidRPr="00291C0B">
        <w:rPr>
          <w:rFonts w:ascii="Arial" w:hAnsi="Arial" w:cs="Arial"/>
          <w:color w:val="000000" w:themeColor="text1"/>
          <w:sz w:val="22"/>
          <w:szCs w:val="22"/>
        </w:rPr>
        <w:t>D</w:t>
      </w:r>
      <w:proofErr w:type="gramEnd"/>
      <w:r>
        <w:rPr>
          <w:rFonts w:ascii="Arial" w:hAnsi="Arial" w:cs="Arial"/>
          <w:color w:val="000000" w:themeColor="text1"/>
          <w:sz w:val="22"/>
          <w:szCs w:val="22"/>
        </w:rPr>
        <w:t xml:space="preserve"> which</w:t>
      </w:r>
      <w:r w:rsidRPr="00291C0B">
        <w:rPr>
          <w:rFonts w:ascii="Arial" w:hAnsi="Arial" w:cs="Arial"/>
          <w:color w:val="000000" w:themeColor="text1"/>
          <w:sz w:val="22"/>
          <w:szCs w:val="22"/>
        </w:rPr>
        <w:t xml:space="preserve"> </w:t>
      </w:r>
      <w:r>
        <w:rPr>
          <w:rFonts w:ascii="Arial" w:hAnsi="Arial" w:cs="Arial"/>
          <w:color w:val="000000" w:themeColor="text1"/>
          <w:sz w:val="22"/>
          <w:szCs w:val="22"/>
        </w:rPr>
        <w:t xml:space="preserve">in turn </w:t>
      </w:r>
      <w:r w:rsidRPr="00291C0B">
        <w:rPr>
          <w:rFonts w:ascii="Arial" w:hAnsi="Arial" w:cs="Arial"/>
          <w:color w:val="000000" w:themeColor="text1"/>
          <w:sz w:val="22"/>
          <w:szCs w:val="22"/>
        </w:rPr>
        <w:t>stimulates lipogenesis in the adipose tissue</w:t>
      </w:r>
      <w:r w:rsidRPr="005A0E52">
        <w:rPr>
          <w:rFonts w:ascii="Arial" w:hAnsi="Arial" w:cs="Arial"/>
          <w:color w:val="000000" w:themeColor="text1"/>
          <w:sz w:val="22"/>
          <w:szCs w:val="22"/>
        </w:rPr>
        <w:t xml:space="preserve"> </w:t>
      </w:r>
      <w:r>
        <w:rPr>
          <w:rFonts w:ascii="Arial" w:hAnsi="Arial" w:cs="Arial"/>
          <w:color w:val="000000" w:themeColor="text1"/>
          <w:sz w:val="22"/>
          <w:szCs w:val="22"/>
        </w:rPr>
        <w:t xml:space="preserve">for </w:t>
      </w:r>
      <w:r w:rsidRPr="00291C0B">
        <w:rPr>
          <w:rFonts w:ascii="Arial" w:hAnsi="Arial" w:cs="Arial"/>
          <w:color w:val="000000" w:themeColor="text1"/>
          <w:sz w:val="22"/>
          <w:szCs w:val="22"/>
        </w:rPr>
        <w:t>calcium and phosphorus absorption.</w:t>
      </w:r>
    </w:p>
    <w:p w14:paraId="50C031B0" w14:textId="77777777" w:rsidR="007B76C3" w:rsidRDefault="007B76C3" w:rsidP="007B76C3">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 xml:space="preserve">Image </w:t>
      </w:r>
      <w:r w:rsidR="0062209E">
        <w:rPr>
          <w:rFonts w:ascii="Arial" w:hAnsi="Arial" w:cs="Arial"/>
          <w:color w:val="000000" w:themeColor="text1"/>
          <w:sz w:val="22"/>
          <w:szCs w:val="22"/>
        </w:rPr>
        <w:t>reproduced</w:t>
      </w:r>
      <w:r>
        <w:rPr>
          <w:rFonts w:ascii="Arial" w:hAnsi="Arial" w:cs="Arial"/>
          <w:color w:val="000000" w:themeColor="text1"/>
          <w:sz w:val="22"/>
          <w:szCs w:val="22"/>
        </w:rPr>
        <w:t xml:space="preserve"> with permission from </w:t>
      </w:r>
      <w:r w:rsidR="0077028D">
        <w:rPr>
          <w:rFonts w:ascii="Arial" w:hAnsi="Arial" w:cs="Arial"/>
          <w:color w:val="000000" w:themeColor="text1"/>
          <w:sz w:val="22"/>
          <w:szCs w:val="22"/>
        </w:rPr>
        <w:fldChar w:fldCharType="begin"/>
      </w:r>
      <w:r w:rsidR="00651EFF">
        <w:rPr>
          <w:rFonts w:ascii="Arial" w:hAnsi="Arial" w:cs="Arial"/>
          <w:color w:val="000000" w:themeColor="text1"/>
          <w:sz w:val="22"/>
          <w:szCs w:val="22"/>
        </w:rPr>
        <w:instrText xml:space="preserve"> ADDIN EN.CITE &lt;EndNote&gt;&lt;Cite&gt;&lt;Author&gt;de Paula&lt;/Author&gt;&lt;Year&gt;2013&lt;/Year&gt;&lt;RecNum&gt;294&lt;/RecNum&gt;&lt;DisplayText&gt;(De Paula and Rosen, 2013)&lt;/DisplayText&gt;&lt;record&gt;&lt;rec-number&gt;294&lt;/rec-number&gt;&lt;foreign-keys&gt;&lt;key app="EN" db-id="ae9rewfrpdttrheppfxxv0p4950wpd25r09x" timestamp="1520658290"&gt;294&lt;/key&gt;&lt;/foreign-keys&gt;&lt;ref-type name="Journal Article"&gt;17&lt;/ref-type&gt;&lt;contributors&gt;&lt;authors&gt;&lt;author&gt;De Paula, Francisco J. A.&lt;/author&gt;&lt;author&gt;Rosen, Clifford J.&lt;/author&gt;&lt;/authors&gt;&lt;/contributors&gt;&lt;titles&gt;&lt;title&gt;Bone Remodeling and Energy Metabolism: New Perspectives&lt;/title&gt;&lt;secondary-title&gt;Bone research&lt;/secondary-title&gt;&lt;/titles&gt;&lt;periodical&gt;&lt;full-title&gt;Bone research&lt;/full-title&gt;&lt;/periodical&gt;&lt;pages&gt;72-84&lt;/pages&gt;&lt;volume&gt;1&lt;/volume&gt;&lt;number&gt;1&lt;/number&gt;&lt;keywords&gt;&lt;keyword&gt;Adipose Tissue&lt;/keyword&gt;&lt;keyword&gt;Bone&lt;/keyword&gt;&lt;keyword&gt;Energy Metabolism&lt;/keyword&gt;&lt;keyword&gt;Leptin&lt;/keyword&gt;&lt;keyword&gt;Mineral Metabolism&lt;/keyword&gt;&lt;keyword&gt;Osteocalcin&lt;/keyword&gt;&lt;/keywords&gt;&lt;dates&gt;&lt;year&gt;2013&lt;/year&gt;&lt;/dates&gt;&lt;isbn&gt;2095-4700&lt;/isbn&gt;&lt;urls&gt;&lt;/urls&gt;&lt;electronic-resource-num&gt;10.4248/BR201301005&lt;/electronic-resource-num&gt;&lt;/record&gt;&lt;/Cite&gt;&lt;/EndNote&gt;</w:instrText>
      </w:r>
      <w:r w:rsidR="0077028D">
        <w:rPr>
          <w:rFonts w:ascii="Arial" w:hAnsi="Arial" w:cs="Arial"/>
          <w:color w:val="000000" w:themeColor="text1"/>
          <w:sz w:val="22"/>
          <w:szCs w:val="22"/>
        </w:rPr>
        <w:fldChar w:fldCharType="separate"/>
      </w:r>
      <w:r w:rsidR="00651EFF">
        <w:rPr>
          <w:rFonts w:ascii="Arial" w:hAnsi="Arial" w:cs="Arial"/>
          <w:noProof/>
          <w:color w:val="000000" w:themeColor="text1"/>
          <w:sz w:val="22"/>
          <w:szCs w:val="22"/>
        </w:rPr>
        <w:t>(De Paula and Rosen, 2013)</w:t>
      </w:r>
      <w:r w:rsidR="0077028D">
        <w:rPr>
          <w:rFonts w:ascii="Arial" w:hAnsi="Arial" w:cs="Arial"/>
          <w:color w:val="000000" w:themeColor="text1"/>
          <w:sz w:val="22"/>
          <w:szCs w:val="22"/>
        </w:rPr>
        <w:fldChar w:fldCharType="end"/>
      </w:r>
      <w:r>
        <w:rPr>
          <w:rFonts w:ascii="Arial" w:hAnsi="Arial" w:cs="Arial"/>
          <w:color w:val="000000" w:themeColor="text1"/>
          <w:sz w:val="22"/>
          <w:szCs w:val="22"/>
        </w:rPr>
        <w:t xml:space="preserve"> </w:t>
      </w:r>
    </w:p>
    <w:p w14:paraId="783EFE4E" w14:textId="77777777" w:rsidR="009034B9" w:rsidRPr="005A0E52" w:rsidRDefault="009034B9" w:rsidP="007B76C3">
      <w:pPr>
        <w:spacing w:line="360" w:lineRule="auto"/>
        <w:jc w:val="both"/>
        <w:rPr>
          <w:rFonts w:ascii="Arial" w:hAnsi="Arial" w:cs="Arial"/>
          <w:color w:val="000000" w:themeColor="text1"/>
          <w:sz w:val="22"/>
          <w:szCs w:val="22"/>
        </w:rPr>
      </w:pPr>
    </w:p>
    <w:p w14:paraId="23AF0095" w14:textId="77777777" w:rsidR="007B76C3" w:rsidRPr="00291C0B" w:rsidRDefault="007B76C3" w:rsidP="007B76C3">
      <w:pPr>
        <w:spacing w:line="480" w:lineRule="auto"/>
        <w:jc w:val="both"/>
        <w:rPr>
          <w:rFonts w:ascii="Arial" w:hAnsi="Arial" w:cs="Arial"/>
          <w:color w:val="000000" w:themeColor="text1"/>
          <w:sz w:val="22"/>
          <w:szCs w:val="22"/>
        </w:rPr>
      </w:pPr>
    </w:p>
    <w:p w14:paraId="0BB60C8E" w14:textId="77777777" w:rsidR="007B76C3" w:rsidRDefault="007B76C3" w:rsidP="007B76C3">
      <w:pPr>
        <w:spacing w:line="480" w:lineRule="auto"/>
        <w:jc w:val="both"/>
        <w:rPr>
          <w:rFonts w:ascii="Arial" w:hAnsi="Arial" w:cs="Arial"/>
          <w:color w:val="000000" w:themeColor="text1"/>
        </w:rPr>
      </w:pPr>
      <w:r>
        <w:rPr>
          <w:rFonts w:ascii="Arial" w:hAnsi="Arial" w:cs="Arial"/>
          <w:color w:val="000000" w:themeColor="text1"/>
        </w:rPr>
        <w:t>Osteocalcin (</w:t>
      </w:r>
      <w:r w:rsidRPr="00605773">
        <w:rPr>
          <w:rFonts w:ascii="Arial" w:hAnsi="Arial" w:cs="Arial"/>
          <w:bCs/>
          <w:color w:val="222222"/>
        </w:rPr>
        <w:t>bone gamma-carboxyglutamic acid-containing protein</w:t>
      </w:r>
      <w:r>
        <w:rPr>
          <w:rFonts w:ascii="Helvetica" w:hAnsi="Helvetica"/>
          <w:color w:val="222222"/>
          <w:sz w:val="21"/>
          <w:szCs w:val="21"/>
          <w:shd w:val="clear" w:color="auto" w:fill="FFFFFF"/>
        </w:rPr>
        <w:t xml:space="preserve">, </w:t>
      </w:r>
      <w:r>
        <w:rPr>
          <w:rFonts w:ascii="Arial" w:hAnsi="Arial" w:cs="Arial"/>
          <w:color w:val="000000" w:themeColor="text1"/>
        </w:rPr>
        <w:t xml:space="preserve">BGLAP) is a osteoblast-derived multifunctional hormone, which appears to induce insulin secretion by promoting β-cell proliferation, increase insulin sensitivity in muscle, liver and adipose tissue and energy </w:t>
      </w:r>
      <w:r w:rsidR="00161FEA">
        <w:rPr>
          <w:rFonts w:ascii="Arial" w:hAnsi="Arial" w:cs="Arial"/>
          <w:color w:val="000000" w:themeColor="text1"/>
        </w:rPr>
        <w:t xml:space="preserve">expenditure by muscle (Figure </w:t>
      </w:r>
      <w:r>
        <w:rPr>
          <w:rFonts w:ascii="Arial" w:hAnsi="Arial" w:cs="Arial"/>
          <w:color w:val="000000" w:themeColor="text1"/>
        </w:rPr>
        <w:t xml:space="preserve">2) </w:t>
      </w:r>
      <w:r w:rsidR="00BA2709">
        <w:rPr>
          <w:rFonts w:ascii="Arial" w:hAnsi="Arial" w:cs="Arial"/>
          <w:color w:val="000000" w:themeColor="text1"/>
        </w:rPr>
        <w:fldChar w:fldCharType="begin">
          <w:fldData xml:space="preserve">PEVuZE5vdGU+PENpdGU+PEF1dGhvcj5MZWU8L0F1dGhvcj48WWVhcj4yMDA3PC9ZZWFyPjxSZWNO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</w:fldData>
        </w:fldChar>
      </w:r>
      <w:r w:rsidR="00B97465">
        <w:rPr>
          <w:rFonts w:ascii="Arial" w:hAnsi="Arial" w:cs="Arial"/>
          <w:color w:val="000000" w:themeColor="text1"/>
        </w:rPr>
        <w:instrText xml:space="preserve"> ADDIN EN.CITE </w:instrText>
      </w:r>
      <w:r w:rsidR="00B97465">
        <w:rPr>
          <w:rFonts w:ascii="Arial" w:hAnsi="Arial" w:cs="Arial"/>
          <w:color w:val="000000" w:themeColor="text1"/>
        </w:rPr>
        <w:fldChar w:fldCharType="begin">
          <w:fldData xml:space="preserve">PEVuZE5vdGU+PENpdGU+PEF1dGhvcj5MZWU8L0F1dGhvcj48WWVhcj4yMDA3PC9ZZWFyPjxSZWNO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</w:fldData>
        </w:fldChar>
      </w:r>
      <w:r w:rsidR="00B97465">
        <w:rPr>
          <w:rFonts w:ascii="Arial" w:hAnsi="Arial" w:cs="Arial"/>
          <w:color w:val="000000" w:themeColor="text1"/>
        </w:rPr>
        <w:instrText xml:space="preserve"> ADDIN EN.CITE.DATA </w:instrText>
      </w:r>
      <w:r w:rsidR="00B97465">
        <w:rPr>
          <w:rFonts w:ascii="Arial" w:hAnsi="Arial" w:cs="Arial"/>
          <w:color w:val="000000" w:themeColor="text1"/>
        </w:rPr>
      </w:r>
      <w:r w:rsidR="00B97465">
        <w:rPr>
          <w:rFonts w:ascii="Arial" w:hAnsi="Arial" w:cs="Arial"/>
          <w:color w:val="000000" w:themeColor="text1"/>
        </w:rPr>
        <w:fldChar w:fldCharType="end"/>
      </w:r>
      <w:r w:rsidR="00BA2709">
        <w:rPr>
          <w:rFonts w:ascii="Arial" w:hAnsi="Arial" w:cs="Arial"/>
          <w:color w:val="000000" w:themeColor="text1"/>
        </w:rPr>
      </w:r>
      <w:r w:rsidR="00BA2709">
        <w:rPr>
          <w:rFonts w:ascii="Arial" w:hAnsi="Arial" w:cs="Arial"/>
          <w:color w:val="000000" w:themeColor="text1"/>
        </w:rPr>
        <w:fldChar w:fldCharType="separate"/>
      </w:r>
      <w:r w:rsidR="00C75DC6">
        <w:rPr>
          <w:rFonts w:ascii="Arial" w:hAnsi="Arial" w:cs="Arial"/>
          <w:noProof/>
          <w:color w:val="000000" w:themeColor="text1"/>
        </w:rPr>
        <w:t>(Lee et al., 2007, Booth et al., 2012)</w:t>
      </w:r>
      <w:r w:rsidR="00BA2709">
        <w:rPr>
          <w:rFonts w:ascii="Arial" w:hAnsi="Arial" w:cs="Arial"/>
          <w:color w:val="000000" w:themeColor="text1"/>
        </w:rPr>
        <w:fldChar w:fldCharType="end"/>
      </w:r>
      <w:r>
        <w:rPr>
          <w:rFonts w:ascii="Arial" w:hAnsi="Arial" w:cs="Arial"/>
          <w:color w:val="000000" w:themeColor="text1"/>
        </w:rPr>
        <w:t xml:space="preserve">. </w:t>
      </w:r>
      <w:r>
        <w:rPr>
          <w:rFonts w:ascii="Arial" w:hAnsi="Arial" w:cs="Arial"/>
          <w:color w:val="000000" w:themeColor="text1"/>
        </w:rPr>
        <w:lastRenderedPageBreak/>
        <w:t>A study of osteocalcin gene deficient mice revealed that osteocalcin promotes fertility in male mice by regulating t</w:t>
      </w:r>
      <w:r w:rsidR="00A96606">
        <w:rPr>
          <w:rFonts w:ascii="Arial" w:hAnsi="Arial" w:cs="Arial"/>
          <w:color w:val="000000" w:themeColor="text1"/>
        </w:rPr>
        <w:t>estosterone production in the Le</w:t>
      </w:r>
      <w:r>
        <w:rPr>
          <w:rFonts w:ascii="Arial" w:hAnsi="Arial" w:cs="Arial"/>
          <w:color w:val="000000" w:themeColor="text1"/>
        </w:rPr>
        <w:t xml:space="preserve">ydig cells of testis </w:t>
      </w:r>
      <w:r w:rsidR="002A0E4A">
        <w:rPr>
          <w:rFonts w:ascii="Arial" w:hAnsi="Arial" w:cs="Arial"/>
          <w:color w:val="000000" w:themeColor="text1"/>
        </w:rPr>
        <w:fldChar w:fldCharType="begin">
          <w:fldData xml:space="preserve">PEVuZE5vdGU+PENpdGU+PEF1dGhvcj5LYXJzZW50eTwvQXV0aG9yPjxZZWFyPjIwMTE8L1llYXI+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==
</w:fldData>
        </w:fldChar>
      </w:r>
      <w:r w:rsidR="00A108A1">
        <w:rPr>
          <w:rFonts w:ascii="Arial" w:hAnsi="Arial" w:cs="Arial"/>
          <w:color w:val="000000" w:themeColor="text1"/>
        </w:rPr>
        <w:instrText xml:space="preserve"> ADDIN EN.CITE </w:instrText>
      </w:r>
      <w:r w:rsidR="00A108A1">
        <w:rPr>
          <w:rFonts w:ascii="Arial" w:hAnsi="Arial" w:cs="Arial"/>
          <w:color w:val="000000" w:themeColor="text1"/>
        </w:rPr>
        <w:fldChar w:fldCharType="begin">
          <w:fldData xml:space="preserve">PEVuZE5vdGU+PENpdGU+PEF1dGhvcj5LYXJzZW50eTwvQXV0aG9yPjxZZWFyPjIwMTE8L1llYXI+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==
</w:fldData>
        </w:fldChar>
      </w:r>
      <w:r w:rsidR="00A108A1">
        <w:rPr>
          <w:rFonts w:ascii="Arial" w:hAnsi="Arial" w:cs="Arial"/>
          <w:color w:val="000000" w:themeColor="text1"/>
        </w:rPr>
        <w:instrText xml:space="preserve"> ADDIN EN.CITE.DATA </w:instrText>
      </w:r>
      <w:r w:rsidR="00A108A1">
        <w:rPr>
          <w:rFonts w:ascii="Arial" w:hAnsi="Arial" w:cs="Arial"/>
          <w:color w:val="000000" w:themeColor="text1"/>
        </w:rPr>
      </w:r>
      <w:r w:rsidR="00A108A1">
        <w:rPr>
          <w:rFonts w:ascii="Arial" w:hAnsi="Arial" w:cs="Arial"/>
          <w:color w:val="000000" w:themeColor="text1"/>
        </w:rPr>
        <w:fldChar w:fldCharType="end"/>
      </w:r>
      <w:r w:rsidR="002A0E4A">
        <w:rPr>
          <w:rFonts w:ascii="Arial" w:hAnsi="Arial" w:cs="Arial"/>
          <w:color w:val="000000" w:themeColor="text1"/>
        </w:rPr>
      </w:r>
      <w:r w:rsidR="002A0E4A">
        <w:rPr>
          <w:rFonts w:ascii="Arial" w:hAnsi="Arial" w:cs="Arial"/>
          <w:color w:val="000000" w:themeColor="text1"/>
        </w:rPr>
        <w:fldChar w:fldCharType="separate"/>
      </w:r>
      <w:r w:rsidR="00164807">
        <w:rPr>
          <w:rFonts w:ascii="Arial" w:hAnsi="Arial" w:cs="Arial"/>
          <w:noProof/>
          <w:color w:val="000000" w:themeColor="text1"/>
        </w:rPr>
        <w:t>(Karsenty, 2011, Oury et al., 2011)</w:t>
      </w:r>
      <w:r w:rsidR="002A0E4A">
        <w:rPr>
          <w:rFonts w:ascii="Arial" w:hAnsi="Arial" w:cs="Arial"/>
          <w:color w:val="000000" w:themeColor="text1"/>
        </w:rPr>
        <w:fldChar w:fldCharType="end"/>
      </w:r>
      <w:r w:rsidR="002A0E4A">
        <w:rPr>
          <w:rFonts w:ascii="Arial" w:hAnsi="Arial" w:cs="Arial"/>
          <w:color w:val="000000" w:themeColor="text1"/>
        </w:rPr>
        <w:t>.</w:t>
      </w:r>
    </w:p>
    <w:p w14:paraId="620C4E71" w14:textId="77777777" w:rsidR="00A96606" w:rsidRDefault="00A96606" w:rsidP="007B76C3">
      <w:pPr>
        <w:spacing w:line="480" w:lineRule="auto"/>
        <w:jc w:val="both"/>
        <w:rPr>
          <w:rFonts w:ascii="Arial" w:hAnsi="Arial" w:cs="Arial"/>
          <w:color w:val="000000" w:themeColor="text1"/>
        </w:rPr>
      </w:pPr>
    </w:p>
    <w:p w14:paraId="0D2A415C" w14:textId="77777777" w:rsidR="00A661AC" w:rsidRDefault="00A661AC" w:rsidP="007B76C3">
      <w:pPr>
        <w:spacing w:line="480" w:lineRule="auto"/>
        <w:jc w:val="both"/>
        <w:rPr>
          <w:rFonts w:ascii="Arial" w:hAnsi="Arial" w:cs="Arial"/>
          <w:color w:val="000000" w:themeColor="text1"/>
        </w:rPr>
      </w:pPr>
      <w:r w:rsidRPr="00A661AC">
        <w:rPr>
          <w:rFonts w:ascii="Arial" w:hAnsi="Arial" w:cs="Arial"/>
          <w:noProof/>
          <w:color w:val="000000" w:themeColor="text1"/>
          <w:lang w:val="en-US"/>
        </w:rPr>
        <w:drawing>
          <wp:inline distT="0" distB="0" distL="0" distR="0" wp14:anchorId="634E31DC" wp14:editId="49DBBB9C">
            <wp:extent cx="6115034" cy="3709219"/>
            <wp:effectExtent l="0" t="0" r="0" b="0"/>
            <wp:docPr id="20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7">
                      <a:extLst>
                        <a:ext uri="{28A0092B-C50C-407E-A947-70E740481C1C}">
                          <a14:useLocalDpi xmlns:a14="http://schemas.microsoft.com/office/drawing/2010/main" val="0"/>
                        </a:ext>
                      </a:extLst>
                    </a:blip>
                    <a:srcRect b="4853"/>
                    <a:stretch/>
                  </pic:blipFill>
                  <pic:spPr bwMode="auto">
                    <a:xfrm>
                      <a:off x="0" y="0"/>
                      <a:ext cx="6116320" cy="3709999"/>
                    </a:xfrm>
                    <a:prstGeom prst="rect">
                      <a:avLst/>
                    </a:prstGeom>
                    <a:noFill/>
                    <a:ln>
                      <a:noFill/>
                    </a:ln>
                    <a:extLst>
                      <a:ext uri="{53640926-AAD7-44d8-BBD7-CCE9431645EC}">
                        <a14:shadowObscured xmlns:a14="http://schemas.microsoft.com/office/drawing/2010/main"/>
                      </a:ext>
                    </a:extLst>
                  </pic:spPr>
                </pic:pic>
              </a:graphicData>
            </a:graphic>
          </wp:inline>
        </w:drawing>
      </w:r>
    </w:p>
    <w:p w14:paraId="291A2703" w14:textId="77777777" w:rsidR="004527B6" w:rsidRDefault="004527B6" w:rsidP="00643D43">
      <w:pPr>
        <w:pStyle w:val="Caption"/>
        <w:jc w:val="both"/>
        <w:rPr>
          <w:rFonts w:ascii="Arial" w:hAnsi="Arial" w:cs="Arial"/>
          <w:color w:val="1F497D" w:themeColor="text2"/>
          <w:sz w:val="24"/>
          <w:szCs w:val="24"/>
        </w:rPr>
      </w:pPr>
    </w:p>
    <w:p w14:paraId="6B576798" w14:textId="77777777" w:rsidR="007B76C3" w:rsidRPr="00B60D17" w:rsidRDefault="00643D43" w:rsidP="00B60D17">
      <w:pPr>
        <w:pStyle w:val="Caption"/>
        <w:spacing w:line="360" w:lineRule="auto"/>
        <w:jc w:val="both"/>
        <w:rPr>
          <w:rFonts w:ascii="Arial" w:hAnsi="Arial" w:cs="Arial"/>
          <w:color w:val="244061" w:themeColor="accent1" w:themeShade="80"/>
          <w:sz w:val="24"/>
          <w:szCs w:val="24"/>
        </w:rPr>
      </w:pPr>
      <w:bookmarkStart w:id="11" w:name="_Toc383544593"/>
      <w:r w:rsidRPr="00B60D17">
        <w:rPr>
          <w:rFonts w:ascii="Arial" w:hAnsi="Arial" w:cs="Arial"/>
          <w:color w:val="244061" w:themeColor="accent1" w:themeShade="80"/>
          <w:sz w:val="24"/>
          <w:szCs w:val="24"/>
        </w:rPr>
        <w:t xml:space="preserve">Figure </w:t>
      </w:r>
      <w:r w:rsidRPr="00B60D17">
        <w:rPr>
          <w:rFonts w:ascii="Arial" w:hAnsi="Arial" w:cs="Arial"/>
          <w:color w:val="244061" w:themeColor="accent1" w:themeShade="80"/>
          <w:sz w:val="24"/>
          <w:szCs w:val="24"/>
        </w:rPr>
        <w:fldChar w:fldCharType="begin"/>
      </w:r>
      <w:r w:rsidRPr="00B60D17">
        <w:rPr>
          <w:rFonts w:ascii="Arial" w:hAnsi="Arial" w:cs="Arial"/>
          <w:color w:val="244061" w:themeColor="accent1" w:themeShade="80"/>
          <w:sz w:val="24"/>
          <w:szCs w:val="24"/>
        </w:rPr>
        <w:instrText xml:space="preserve"> SEQ Figure \* ARABIC </w:instrText>
      </w:r>
      <w:r w:rsidRPr="00B60D17">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w:t>
      </w:r>
      <w:r w:rsidRPr="00B60D17">
        <w:rPr>
          <w:rFonts w:ascii="Arial" w:hAnsi="Arial" w:cs="Arial"/>
          <w:color w:val="244061" w:themeColor="accent1" w:themeShade="80"/>
          <w:sz w:val="24"/>
          <w:szCs w:val="24"/>
        </w:rPr>
        <w:fldChar w:fldCharType="end"/>
      </w:r>
      <w:r w:rsidR="004527B6" w:rsidRPr="00B60D17">
        <w:rPr>
          <w:rFonts w:ascii="Arial" w:hAnsi="Arial" w:cs="Arial"/>
          <w:color w:val="244061" w:themeColor="accent1" w:themeShade="80"/>
          <w:sz w:val="24"/>
          <w:szCs w:val="24"/>
        </w:rPr>
        <w:t xml:space="preserve"> The eff</w:t>
      </w:r>
      <w:r w:rsidRPr="00B60D17">
        <w:rPr>
          <w:rFonts w:ascii="Arial" w:hAnsi="Arial" w:cs="Arial"/>
          <w:color w:val="244061" w:themeColor="accent1" w:themeShade="80"/>
          <w:sz w:val="24"/>
          <w:szCs w:val="24"/>
        </w:rPr>
        <w:t>e</w:t>
      </w:r>
      <w:r w:rsidR="004527B6" w:rsidRPr="00B60D17">
        <w:rPr>
          <w:rFonts w:ascii="Arial" w:hAnsi="Arial" w:cs="Arial"/>
          <w:color w:val="244061" w:themeColor="accent1" w:themeShade="80"/>
          <w:sz w:val="24"/>
          <w:szCs w:val="24"/>
        </w:rPr>
        <w:t>c</w:t>
      </w:r>
      <w:r w:rsidRPr="00B60D17">
        <w:rPr>
          <w:rFonts w:ascii="Arial" w:hAnsi="Arial" w:cs="Arial"/>
          <w:color w:val="244061" w:themeColor="accent1" w:themeShade="80"/>
          <w:sz w:val="24"/>
          <w:szCs w:val="24"/>
        </w:rPr>
        <w:t>ts of bone-derived multifunctional hormone osteocalcin</w:t>
      </w:r>
      <w:bookmarkEnd w:id="11"/>
    </w:p>
    <w:p w14:paraId="132E1354" w14:textId="77777777" w:rsidR="007B76C3" w:rsidRPr="0054479C" w:rsidRDefault="007B76C3" w:rsidP="007B76C3">
      <w:pPr>
        <w:spacing w:line="360" w:lineRule="auto"/>
        <w:jc w:val="both"/>
        <w:rPr>
          <w:rFonts w:ascii="Arial" w:hAnsi="Arial" w:cs="Arial"/>
          <w:sz w:val="22"/>
          <w:szCs w:val="22"/>
        </w:rPr>
      </w:pPr>
      <w:r w:rsidRPr="0054479C">
        <w:rPr>
          <w:rFonts w:ascii="Arial" w:hAnsi="Arial" w:cs="Arial"/>
          <w:sz w:val="22"/>
          <w:szCs w:val="22"/>
        </w:rPr>
        <w:t xml:space="preserve">Osteocalcin stimulates </w:t>
      </w:r>
      <w:r>
        <w:rPr>
          <w:rFonts w:ascii="Arial" w:hAnsi="Arial" w:cs="Arial"/>
          <w:sz w:val="22"/>
          <w:szCs w:val="22"/>
        </w:rPr>
        <w:t>pancreatic β-cell proliferation and insulin secretion, increases insulin sensitivity in muscle, liver and adipose tissue and energy expenditure in muscle. It regulates male fertility and stimula</w:t>
      </w:r>
      <w:r w:rsidR="00BD71C4">
        <w:rPr>
          <w:rFonts w:ascii="Arial" w:hAnsi="Arial" w:cs="Arial"/>
          <w:sz w:val="22"/>
          <w:szCs w:val="22"/>
        </w:rPr>
        <w:t>tes testosterone synthesis by Le</w:t>
      </w:r>
      <w:r>
        <w:rPr>
          <w:rFonts w:ascii="Arial" w:hAnsi="Arial" w:cs="Arial"/>
          <w:sz w:val="22"/>
          <w:szCs w:val="22"/>
        </w:rPr>
        <w:t xml:space="preserve">ydig cells of the testis. </w:t>
      </w:r>
    </w:p>
    <w:p w14:paraId="69A84093" w14:textId="77777777" w:rsidR="007B76C3" w:rsidRPr="00A074EB" w:rsidRDefault="00B60D17" w:rsidP="00B60D17">
      <w:pPr>
        <w:tabs>
          <w:tab w:val="left" w:pos="7906"/>
        </w:tabs>
        <w:spacing w:line="360" w:lineRule="auto"/>
        <w:jc w:val="both"/>
        <w:rPr>
          <w:rFonts w:ascii="Arial" w:hAnsi="Arial" w:cs="Arial"/>
          <w:b/>
          <w:color w:val="000000" w:themeColor="text1"/>
        </w:rPr>
      </w:pPr>
      <w:r>
        <w:rPr>
          <w:rFonts w:ascii="Arial" w:hAnsi="Arial" w:cs="Arial"/>
          <w:b/>
          <w:color w:val="000000" w:themeColor="text1"/>
        </w:rPr>
        <w:tab/>
      </w:r>
    </w:p>
    <w:p w14:paraId="76C2370B" w14:textId="77777777" w:rsidR="007B76C3" w:rsidRDefault="007B76C3" w:rsidP="007B76C3">
      <w:pPr>
        <w:spacing w:line="480" w:lineRule="auto"/>
        <w:jc w:val="both"/>
        <w:rPr>
          <w:rFonts w:ascii="Arial" w:hAnsi="Arial" w:cs="Arial"/>
          <w:color w:val="000000" w:themeColor="text1"/>
        </w:rPr>
      </w:pPr>
      <w:r>
        <w:rPr>
          <w:rFonts w:ascii="Arial" w:hAnsi="Arial" w:cs="Arial"/>
          <w:color w:val="000000" w:themeColor="text1"/>
        </w:rPr>
        <w:t xml:space="preserve"> </w:t>
      </w:r>
    </w:p>
    <w:p w14:paraId="13C69391" w14:textId="77777777" w:rsidR="007B76C3" w:rsidRDefault="007B76C3" w:rsidP="007B76C3">
      <w:pPr>
        <w:spacing w:line="480" w:lineRule="auto"/>
        <w:jc w:val="both"/>
        <w:rPr>
          <w:rFonts w:ascii="Arial" w:hAnsi="Arial" w:cs="Arial"/>
          <w:color w:val="000000" w:themeColor="text1"/>
        </w:rPr>
      </w:pPr>
      <w:r>
        <w:rPr>
          <w:rFonts w:ascii="Arial" w:hAnsi="Arial" w:cs="Arial"/>
          <w:color w:val="000000" w:themeColor="text1"/>
        </w:rPr>
        <w:t>At the macrostructure level of its hierarchical structural organisation, bone is composed of two major components cortica</w:t>
      </w:r>
      <w:r w:rsidR="00161FEA">
        <w:rPr>
          <w:rFonts w:ascii="Arial" w:hAnsi="Arial" w:cs="Arial"/>
          <w:color w:val="000000" w:themeColor="text1"/>
        </w:rPr>
        <w:t xml:space="preserve">l and trabecular bone, Figure </w:t>
      </w:r>
      <w:r>
        <w:rPr>
          <w:rFonts w:ascii="Arial" w:hAnsi="Arial" w:cs="Arial"/>
          <w:color w:val="000000" w:themeColor="text1"/>
        </w:rPr>
        <w:t xml:space="preserve">3 </w:t>
      </w:r>
      <w:r w:rsidR="008728CB">
        <w:rPr>
          <w:rFonts w:ascii="Arial" w:hAnsi="Arial" w:cs="Arial"/>
          <w:color w:val="000000" w:themeColor="text1"/>
        </w:rPr>
        <w:fldChar w:fldCharType="begin"/>
      </w:r>
      <w:r w:rsidR="008728CB">
        <w:rPr>
          <w:rFonts w:ascii="Arial" w:hAnsi="Arial" w:cs="Arial"/>
          <w:color w:val="000000" w:themeColor="text1"/>
        </w:rPr>
        <w:instrText xml:space="preserve"> ADDIN EN.CITE &lt;EndNote&gt;&lt;Cite&gt;&lt;Author&gt;Rho&lt;/Author&gt;&lt;Year&gt;1998&lt;/Year&gt;&lt;RecNum&gt;111&lt;/RecNum&gt;&lt;DisplayText&gt;(Rho et al., 1998)&lt;/DisplayText&gt;&lt;record&gt;&lt;rec-number&gt;111&lt;/rec-number&gt;&lt;foreign-keys&gt;&lt;key app="EN" db-id="wpsvwwtdrfvxshef2e5prez9td52f02rxz5p" timestamp="1418349804"&gt;111&lt;/key&gt;&lt;/foreign-keys&gt;&lt;ref-type name="Journal Article"&gt;17&lt;/ref-type&gt;&lt;contributors&gt;&lt;authors&gt;&lt;author&gt;Rho, Jae-Young&lt;/author&gt;&lt;author&gt;Kuhn-Spearing, Liisa&lt;/author&gt;&lt;author&gt;Zioupos, Peter&lt;/author&gt;&lt;/authors&gt;&lt;/contributors&gt;&lt;titles&gt;&lt;title&gt;Mechanical properties and the hierarchical structure of bone&lt;/title&gt;&lt;secondary-title&gt;Medical Engineering and Physics&lt;/secondary-title&gt;&lt;/titles&gt;&lt;periodical&gt;&lt;full-title&gt;Medical Engineering and Physics&lt;/full-title&gt;&lt;/periodical&gt;&lt;pages&gt;92-102&lt;/pages&gt;&lt;volume&gt;20&lt;/volume&gt;&lt;number&gt;2&lt;/number&gt;&lt;keywords&gt;&lt;keyword&gt;Cancellous Bone&lt;/keyword&gt;&lt;keyword&gt;Cortical Bone&lt;/keyword&gt;&lt;keyword&gt;Hierarchical Organization&lt;/keyword&gt;&lt;keyword&gt;Material Properties&lt;/keyword&gt;&lt;keyword&gt;Mechanical Properties&lt;/keyword&gt;&lt;keyword&gt;Structural Properties&lt;/keyword&gt;&lt;/keywords&gt;&lt;dates&gt;&lt;year&gt;1998&lt;/year&gt;&lt;/dates&gt;&lt;isbn&gt;13504533&lt;/isbn&gt;&lt;urls&gt;&lt;/urls&gt;&lt;electronic-resource-num&gt;10.1016/S1350-4533(98)00007-1&lt;/electronic-resource-num&gt;&lt;/record&gt;&lt;/Cite&gt;&lt;/EndNote&gt;</w:instrText>
      </w:r>
      <w:r w:rsidR="008728CB">
        <w:rPr>
          <w:rFonts w:ascii="Arial" w:hAnsi="Arial" w:cs="Arial"/>
          <w:color w:val="000000" w:themeColor="text1"/>
        </w:rPr>
        <w:fldChar w:fldCharType="separate"/>
      </w:r>
      <w:r w:rsidR="008728CB">
        <w:rPr>
          <w:rFonts w:ascii="Arial" w:hAnsi="Arial" w:cs="Arial"/>
          <w:noProof/>
          <w:color w:val="000000" w:themeColor="text1"/>
        </w:rPr>
        <w:t>(Rho et al., 1998)</w:t>
      </w:r>
      <w:r w:rsidR="008728CB">
        <w:rPr>
          <w:rFonts w:ascii="Arial" w:hAnsi="Arial" w:cs="Arial"/>
          <w:color w:val="000000" w:themeColor="text1"/>
        </w:rPr>
        <w:fldChar w:fldCharType="end"/>
      </w:r>
      <w:r w:rsidR="008728CB">
        <w:rPr>
          <w:rFonts w:ascii="Arial" w:hAnsi="Arial" w:cs="Arial"/>
          <w:color w:val="000000" w:themeColor="text1"/>
        </w:rPr>
        <w:t xml:space="preserve">. </w:t>
      </w:r>
      <w:r>
        <w:rPr>
          <w:rFonts w:ascii="Arial" w:hAnsi="Arial" w:cs="Arial"/>
          <w:color w:val="000000" w:themeColor="text1"/>
        </w:rPr>
        <w:t xml:space="preserve">In an adult human skeleton 80% of the total bone mass consists of the cortical bone, whereas the remaining 20% accounts for the trabecular or cancellous bone. The cortical bone creates the outer shell of the bone and is mechanically strong due to its compact structure and thickness, </w:t>
      </w:r>
      <w:r w:rsidR="00F0758B">
        <w:rPr>
          <w:rFonts w:ascii="Arial" w:hAnsi="Arial" w:cs="Arial"/>
          <w:color w:val="000000" w:themeColor="text1"/>
        </w:rPr>
        <w:t>varying between 1 and 5mm in an</w:t>
      </w:r>
      <w:r>
        <w:rPr>
          <w:rFonts w:ascii="Arial" w:hAnsi="Arial" w:cs="Arial"/>
          <w:color w:val="000000" w:themeColor="text1"/>
        </w:rPr>
        <w:t xml:space="preserve"> adult human</w:t>
      </w:r>
      <w:r w:rsidRPr="003D15E9">
        <w:rPr>
          <w:rFonts w:ascii="Arial" w:hAnsi="Arial" w:cs="Arial"/>
          <w:noProof/>
          <w:color w:val="000000" w:themeColor="text1"/>
        </w:rPr>
        <w:t xml:space="preserve"> </w:t>
      </w:r>
      <w:r w:rsidR="00271ECF">
        <w:rPr>
          <w:rFonts w:ascii="Arial" w:hAnsi="Arial" w:cs="Arial"/>
          <w:noProof/>
          <w:color w:val="000000" w:themeColor="text1"/>
        </w:rPr>
        <w:fldChar w:fldCharType="begin"/>
      </w:r>
      <w:r w:rsidR="00A108A1">
        <w:rPr>
          <w:rFonts w:ascii="Arial" w:hAnsi="Arial" w:cs="Arial"/>
          <w:noProof/>
          <w:color w:val="000000" w:themeColor="text1"/>
        </w:rPr>
        <w:instrText xml:space="preserve"> ADDIN EN.CITE &lt;EndNote&gt;&lt;Cite&gt;&lt;Author&gt;Wehrli&lt;/Author&gt;&lt;Year&gt;2007&lt;/Year&gt;&lt;RecNum&gt;51&lt;/RecNum&gt;&lt;DisplayText&gt;(Wehrli, 2007)&lt;/DisplayText&gt;&lt;record&gt;&lt;rec-number&gt;51&lt;/rec-number&gt;&lt;foreign-keys&gt;&lt;key app="EN" db-id="ae9rewfrpdttrheppfxxv0p4950wpd25r09x" timestamp="1520657617"&gt;51&lt;/key&gt;&lt;key app="ENWeb" db-id=""&gt;0&lt;/key&gt;&lt;/foreign-keys&gt;&lt;ref-type name="Journal Article"&gt;17&lt;/ref-type&gt;&lt;contributors&gt;&lt;authors&gt;&lt;author&gt;Wehrli, Felix W.&lt;/author&gt;&lt;/authors&gt;&lt;/contributors&gt;&lt;titles&gt;&lt;title&gt;Structural and functional assessment of trabecular and cortical bone by micro magnetic resonance imaging&lt;/title&gt;&lt;secondary-title&gt;Journal of Magnetic Resonance Imaging&lt;/secondary-title&gt;&lt;/titles&gt;&lt;periodical&gt;&lt;full-title&gt;Journal of Magnetic Resonance Imaging&lt;/full-title&gt;&lt;/periodical&gt;&lt;pages&gt;390-409&lt;/pages&gt;&lt;volume&gt;25&lt;/volume&gt;&lt;number&gt;2&lt;/number&gt;&lt;keywords&gt;&lt;keyword&gt;Bone&lt;/keyword&gt;&lt;keyword&gt;Micro Mri&lt;/keyword&gt;&lt;keyword&gt;Osteoporosis&lt;/keyword&gt;&lt;keyword&gt;Prevention&lt;/keyword&gt;&lt;keyword&gt;Structure Analysis&lt;/keyword&gt;&lt;keyword&gt;Treatment&lt;/keyword&gt;&lt;/keywords&gt;&lt;dates&gt;&lt;year&gt;2007&lt;/year&gt;&lt;/dates&gt;&lt;isbn&gt;10531807&lt;/isbn&gt;&lt;urls&gt;&lt;/urls&gt;&lt;electronic-resource-num&gt;10.1002/jmri.20807&lt;/electronic-resource-num&gt;&lt;/record&gt;&lt;/Cite&gt;&lt;/EndNote&gt;</w:instrText>
      </w:r>
      <w:r w:rsidR="00271ECF">
        <w:rPr>
          <w:rFonts w:ascii="Arial" w:hAnsi="Arial" w:cs="Arial"/>
          <w:noProof/>
          <w:color w:val="000000" w:themeColor="text1"/>
        </w:rPr>
        <w:fldChar w:fldCharType="separate"/>
      </w:r>
      <w:r w:rsidR="00271ECF">
        <w:rPr>
          <w:rFonts w:ascii="Arial" w:hAnsi="Arial" w:cs="Arial"/>
          <w:noProof/>
          <w:color w:val="000000" w:themeColor="text1"/>
        </w:rPr>
        <w:t>(Wehrli, 2007)</w:t>
      </w:r>
      <w:r w:rsidR="00271ECF">
        <w:rPr>
          <w:rFonts w:ascii="Arial" w:hAnsi="Arial" w:cs="Arial"/>
          <w:noProof/>
          <w:color w:val="000000" w:themeColor="text1"/>
        </w:rPr>
        <w:fldChar w:fldCharType="end"/>
      </w:r>
      <w:r w:rsidR="00271ECF">
        <w:rPr>
          <w:rFonts w:ascii="Arial" w:hAnsi="Arial" w:cs="Arial"/>
          <w:noProof/>
          <w:color w:val="000000" w:themeColor="text1"/>
        </w:rPr>
        <w:t xml:space="preserve">. </w:t>
      </w:r>
      <w:r>
        <w:rPr>
          <w:rFonts w:ascii="Arial" w:hAnsi="Arial" w:cs="Arial"/>
          <w:color w:val="000000" w:themeColor="text1"/>
        </w:rPr>
        <w:t xml:space="preserve">The </w:t>
      </w:r>
      <w:r>
        <w:rPr>
          <w:rFonts w:ascii="Arial" w:hAnsi="Arial" w:cs="Arial"/>
          <w:color w:val="000000" w:themeColor="text1"/>
        </w:rPr>
        <w:lastRenderedPageBreak/>
        <w:t>trabecular bone, located at the ends of long bones and encased in cortical bone, is composed of a network of interconnected plates and struts with thickness varying from 100 to 150</w:t>
      </w:r>
      <w:r>
        <w:rPr>
          <w:rFonts w:ascii="Arial" w:hAnsi="Arial" w:cs="Arial"/>
          <w:color w:val="000000" w:themeColor="text1"/>
        </w:rPr>
        <w:sym w:font="Symbol" w:char="F06D"/>
      </w:r>
      <w:r>
        <w:rPr>
          <w:rFonts w:ascii="Arial" w:hAnsi="Arial" w:cs="Arial"/>
          <w:color w:val="000000" w:themeColor="text1"/>
        </w:rPr>
        <w:t>m. It has an open honeycomb structure where cavities consisting of bone marrow</w:t>
      </w:r>
      <w:r w:rsidR="00271ECF">
        <w:rPr>
          <w:rFonts w:ascii="Arial" w:hAnsi="Arial" w:cs="Arial"/>
          <w:color w:val="000000" w:themeColor="text1"/>
        </w:rPr>
        <w:t>,</w:t>
      </w:r>
      <w:r>
        <w:rPr>
          <w:rFonts w:ascii="Arial" w:hAnsi="Arial" w:cs="Arial"/>
          <w:color w:val="000000" w:themeColor="text1"/>
        </w:rPr>
        <w:t xml:space="preserve"> fat, blood vessels and sites for haematopoiesis are interspersed. Trabecular bone gives a supporting strength to the ends of weight bearing long bones without adding greatly to the mass of the bone </w:t>
      </w:r>
      <w:r>
        <w:rPr>
          <w:rFonts w:ascii="Arial" w:hAnsi="Arial" w:cs="Arial"/>
          <w:color w:val="000000" w:themeColor="text1"/>
        </w:rPr>
        <w:fldChar w:fldCharType="begin">
          <w:fldData xml:space="preserve">PEVuZE5vdGU+PENpdGU+PEF1dGhvcj5SaG88L0F1dGhvcj48WWVhcj4xOTk4PC9ZZWFyPjxSZWNO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</w:fldData>
        </w:fldChar>
      </w:r>
      <w:r w:rsidR="00A108A1">
        <w:rPr>
          <w:rFonts w:ascii="Arial" w:hAnsi="Arial" w:cs="Arial"/>
          <w:color w:val="000000" w:themeColor="text1"/>
        </w:rPr>
        <w:instrText xml:space="preserve"> ADDIN EN.CITE </w:instrText>
      </w:r>
      <w:r w:rsidR="00A108A1">
        <w:rPr>
          <w:rFonts w:ascii="Arial" w:hAnsi="Arial" w:cs="Arial"/>
          <w:color w:val="000000" w:themeColor="text1"/>
        </w:rPr>
        <w:fldChar w:fldCharType="begin">
          <w:fldData xml:space="preserve">PEVuZE5vdGU+PENpdGU+PEF1dGhvcj5SaG88L0F1dGhvcj48WWVhcj4xOTk4PC9ZZWFyPjxSZWNO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</w:fldData>
        </w:fldChar>
      </w:r>
      <w:r w:rsidR="00A108A1">
        <w:rPr>
          <w:rFonts w:ascii="Arial" w:hAnsi="Arial" w:cs="Arial"/>
          <w:color w:val="000000" w:themeColor="text1"/>
        </w:rPr>
        <w:instrText xml:space="preserve"> ADDIN EN.CITE.DATA </w:instrText>
      </w:r>
      <w:r w:rsidR="00A108A1">
        <w:rPr>
          <w:rFonts w:ascii="Arial" w:hAnsi="Arial" w:cs="Arial"/>
          <w:color w:val="000000" w:themeColor="text1"/>
        </w:rPr>
      </w:r>
      <w:r w:rsidR="00A108A1">
        <w:rPr>
          <w:rFonts w:ascii="Arial" w:hAnsi="Arial" w:cs="Arial"/>
          <w:color w:val="000000" w:themeColor="text1"/>
        </w:rPr>
        <w:fldChar w:fldCharType="end"/>
      </w:r>
      <w:r>
        <w:rPr>
          <w:rFonts w:ascii="Arial" w:hAnsi="Arial" w:cs="Arial"/>
          <w:color w:val="000000" w:themeColor="text1"/>
        </w:rPr>
      </w:r>
      <w:r>
        <w:rPr>
          <w:rFonts w:ascii="Arial" w:hAnsi="Arial" w:cs="Arial"/>
          <w:color w:val="000000" w:themeColor="text1"/>
        </w:rPr>
        <w:fldChar w:fldCharType="separate"/>
      </w:r>
      <w:r>
        <w:rPr>
          <w:rFonts w:ascii="Arial" w:hAnsi="Arial" w:cs="Arial"/>
          <w:noProof/>
          <w:color w:val="000000" w:themeColor="text1"/>
        </w:rPr>
        <w:t>(Rho et al., 1998, Wehrli, 2007)</w:t>
      </w:r>
      <w:r>
        <w:rPr>
          <w:rFonts w:ascii="Arial" w:hAnsi="Arial" w:cs="Arial"/>
          <w:color w:val="000000" w:themeColor="text1"/>
        </w:rPr>
        <w:fldChar w:fldCharType="end"/>
      </w:r>
      <w:r>
        <w:rPr>
          <w:rFonts w:ascii="Arial" w:hAnsi="Arial" w:cs="Arial"/>
          <w:color w:val="000000" w:themeColor="text1"/>
        </w:rPr>
        <w:t xml:space="preserve">. </w:t>
      </w:r>
    </w:p>
    <w:p w14:paraId="4417CAD0" w14:textId="77777777" w:rsidR="007B76C3" w:rsidRDefault="007B76C3" w:rsidP="007B76C3">
      <w:pPr>
        <w:spacing w:line="480" w:lineRule="auto"/>
        <w:jc w:val="both"/>
        <w:rPr>
          <w:rFonts w:ascii="Arial" w:hAnsi="Arial" w:cs="Arial"/>
          <w:color w:val="000000" w:themeColor="text1"/>
        </w:rPr>
      </w:pPr>
    </w:p>
    <w:p w14:paraId="5FCC5CAF" w14:textId="77777777" w:rsidR="004527B6" w:rsidRDefault="007B76C3" w:rsidP="004527B6">
      <w:pPr>
        <w:keepNext/>
        <w:spacing w:line="480" w:lineRule="auto"/>
        <w:ind w:left="567"/>
        <w:jc w:val="both"/>
      </w:pPr>
      <w:r w:rsidRPr="00923734">
        <w:rPr>
          <w:rFonts w:ascii="Arial" w:hAnsi="Arial" w:cs="Arial"/>
          <w:noProof/>
          <w:color w:val="000000" w:themeColor="text1"/>
          <w:lang w:val="en-US"/>
        </w:rPr>
        <w:drawing>
          <wp:inline distT="0" distB="0" distL="0" distR="0" wp14:anchorId="0DB91EBA" wp14:editId="11DC6AE3">
            <wp:extent cx="5580848" cy="4311288"/>
            <wp:effectExtent l="0" t="0" r="7620" b="6985"/>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lum bright="5000"/>
                      <a:extLst>
                        <a:ext uri="{28A0092B-C50C-407E-A947-70E740481C1C}">
                          <a14:useLocalDpi xmlns:a14="http://schemas.microsoft.com/office/drawing/2010/main" val="0"/>
                        </a:ext>
                      </a:extLst>
                    </a:blip>
                    <a:srcRect/>
                    <a:stretch>
                      <a:fillRect/>
                    </a:stretch>
                  </pic:blipFill>
                  <pic:spPr bwMode="auto">
                    <a:xfrm>
                      <a:off x="0" y="0"/>
                      <a:ext cx="5580848" cy="4311288"/>
                    </a:xfrm>
                    <a:prstGeom prst="rect">
                      <a:avLst/>
                    </a:prstGeom>
                    <a:noFill/>
                    <a:ln>
                      <a:noFill/>
                    </a:ln>
                  </pic:spPr>
                </pic:pic>
              </a:graphicData>
            </a:graphic>
          </wp:inline>
        </w:drawing>
      </w:r>
    </w:p>
    <w:p w14:paraId="3E0C9E95" w14:textId="77777777" w:rsidR="007B76C3" w:rsidRPr="00CD4880" w:rsidRDefault="004527B6" w:rsidP="004527B6">
      <w:pPr>
        <w:pStyle w:val="Caption"/>
        <w:spacing w:line="360" w:lineRule="auto"/>
        <w:jc w:val="both"/>
        <w:rPr>
          <w:rFonts w:ascii="Arial" w:hAnsi="Arial" w:cs="Arial"/>
          <w:color w:val="244061" w:themeColor="accent1" w:themeShade="80"/>
          <w:sz w:val="24"/>
          <w:szCs w:val="24"/>
        </w:rPr>
      </w:pPr>
      <w:bookmarkStart w:id="12" w:name="_Toc383544594"/>
      <w:r w:rsidRPr="00CD4880">
        <w:rPr>
          <w:rFonts w:ascii="Arial" w:hAnsi="Arial" w:cs="Arial"/>
          <w:color w:val="244061" w:themeColor="accent1" w:themeShade="80"/>
          <w:sz w:val="24"/>
          <w:szCs w:val="24"/>
        </w:rPr>
        <w:t xml:space="preserve">Figure </w:t>
      </w:r>
      <w:r w:rsidRPr="00CD4880">
        <w:rPr>
          <w:rFonts w:ascii="Arial" w:hAnsi="Arial" w:cs="Arial"/>
          <w:color w:val="244061" w:themeColor="accent1" w:themeShade="80"/>
          <w:sz w:val="24"/>
          <w:szCs w:val="24"/>
        </w:rPr>
        <w:fldChar w:fldCharType="begin"/>
      </w:r>
      <w:r w:rsidRPr="00CD4880">
        <w:rPr>
          <w:rFonts w:ascii="Arial" w:hAnsi="Arial" w:cs="Arial"/>
          <w:color w:val="244061" w:themeColor="accent1" w:themeShade="80"/>
          <w:sz w:val="24"/>
          <w:szCs w:val="24"/>
        </w:rPr>
        <w:instrText xml:space="preserve"> SEQ Figure \* ARABIC </w:instrText>
      </w:r>
      <w:r w:rsidRPr="00CD4880">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3</w:t>
      </w:r>
      <w:r w:rsidRPr="00CD4880">
        <w:rPr>
          <w:rFonts w:ascii="Arial" w:hAnsi="Arial" w:cs="Arial"/>
          <w:color w:val="244061" w:themeColor="accent1" w:themeShade="80"/>
          <w:sz w:val="24"/>
          <w:szCs w:val="24"/>
        </w:rPr>
        <w:fldChar w:fldCharType="end"/>
      </w:r>
      <w:r w:rsidRPr="00CD4880">
        <w:rPr>
          <w:rFonts w:ascii="Arial" w:hAnsi="Arial" w:cs="Arial"/>
          <w:color w:val="244061" w:themeColor="accent1" w:themeShade="80"/>
          <w:sz w:val="24"/>
          <w:szCs w:val="24"/>
        </w:rPr>
        <w:t xml:space="preserve"> 3D reconstructed images of a mouse tibia micro-computed tomography (</w:t>
      </w:r>
      <w:r w:rsidRPr="00CD4880">
        <w:rPr>
          <w:rFonts w:ascii="Arial" w:hAnsi="Arial" w:cs="Arial"/>
          <w:b w:val="0"/>
          <w:color w:val="244061" w:themeColor="accent1" w:themeShade="80"/>
          <w:sz w:val="24"/>
          <w:szCs w:val="24"/>
        </w:rPr>
        <w:sym w:font="Symbol" w:char="F06D"/>
      </w:r>
      <w:r w:rsidRPr="00CD4880">
        <w:rPr>
          <w:rFonts w:ascii="Arial" w:hAnsi="Arial" w:cs="Arial"/>
          <w:color w:val="244061" w:themeColor="accent1" w:themeShade="80"/>
          <w:sz w:val="24"/>
          <w:szCs w:val="24"/>
        </w:rPr>
        <w:t xml:space="preserve">CT) scan demonstrating cortical and trabecular </w:t>
      </w:r>
      <w:r w:rsidR="00C1403E">
        <w:rPr>
          <w:rFonts w:ascii="Arial" w:hAnsi="Arial" w:cs="Arial"/>
          <w:color w:val="244061" w:themeColor="accent1" w:themeShade="80"/>
          <w:sz w:val="24"/>
          <w:szCs w:val="24"/>
        </w:rPr>
        <w:t xml:space="preserve">bone </w:t>
      </w:r>
      <w:r w:rsidRPr="00CD4880">
        <w:rPr>
          <w:rFonts w:ascii="Arial" w:hAnsi="Arial" w:cs="Arial"/>
          <w:color w:val="244061" w:themeColor="accent1" w:themeShade="80"/>
          <w:sz w:val="24"/>
          <w:szCs w:val="24"/>
        </w:rPr>
        <w:t>compartments</w:t>
      </w:r>
      <w:bookmarkEnd w:id="12"/>
    </w:p>
    <w:p w14:paraId="052CA162" w14:textId="77777777" w:rsidR="007B76C3" w:rsidRPr="004A26C5" w:rsidRDefault="007B76C3" w:rsidP="007B76C3">
      <w:pPr>
        <w:rPr>
          <w:rFonts w:ascii="Arial" w:hAnsi="Arial" w:cs="Arial"/>
        </w:rPr>
      </w:pPr>
      <w:bookmarkStart w:id="13" w:name="_Toc290513119"/>
    </w:p>
    <w:p w14:paraId="1C37EB9E" w14:textId="77777777" w:rsidR="007B76C3" w:rsidRDefault="007B76C3" w:rsidP="007B76C3">
      <w:pPr>
        <w:rPr>
          <w:rFonts w:ascii="Arial" w:hAnsi="Arial" w:cs="Arial"/>
        </w:rPr>
      </w:pPr>
    </w:p>
    <w:p w14:paraId="2856DD06" w14:textId="77777777" w:rsidR="009034B9" w:rsidRDefault="009034B9" w:rsidP="007B76C3">
      <w:pPr>
        <w:rPr>
          <w:rFonts w:ascii="Arial" w:hAnsi="Arial" w:cs="Arial"/>
          <w:color w:val="000000" w:themeColor="text1"/>
        </w:rPr>
      </w:pPr>
    </w:p>
    <w:p w14:paraId="2769F3BE" w14:textId="77777777" w:rsidR="007B76C3" w:rsidRDefault="009034B9" w:rsidP="00E33A00">
      <w:pPr>
        <w:spacing w:line="480" w:lineRule="auto"/>
        <w:jc w:val="both"/>
        <w:rPr>
          <w:rFonts w:ascii="Arial" w:hAnsi="Arial"/>
        </w:rPr>
      </w:pPr>
      <w:r>
        <w:rPr>
          <w:rFonts w:ascii="Arial" w:hAnsi="Arial" w:cs="Arial"/>
          <w:color w:val="000000" w:themeColor="text1"/>
        </w:rPr>
        <w:t>At the microstructure level, i</w:t>
      </w:r>
      <w:r w:rsidRPr="00BA219D">
        <w:rPr>
          <w:rFonts w:ascii="Arial" w:hAnsi="Arial" w:cs="Arial"/>
          <w:color w:val="000000" w:themeColor="text1"/>
        </w:rPr>
        <w:t>n humans and larger animals the cortical bone is comprised of</w:t>
      </w:r>
      <w:r w:rsidR="00E33A00">
        <w:rPr>
          <w:rFonts w:ascii="Arial" w:hAnsi="Arial" w:cs="Arial"/>
          <w:color w:val="000000" w:themeColor="text1"/>
        </w:rPr>
        <w:t xml:space="preserve"> </w:t>
      </w:r>
      <w:r w:rsidR="007B76C3" w:rsidRPr="00BA219D">
        <w:rPr>
          <w:rFonts w:ascii="Arial" w:hAnsi="Arial" w:cs="Arial"/>
          <w:color w:val="000000" w:themeColor="text1"/>
        </w:rPr>
        <w:t xml:space="preserve">numerous dense osteons or Haversian systems. These are cylinder like structural </w:t>
      </w:r>
      <w:r w:rsidR="00E33A00">
        <w:rPr>
          <w:rFonts w:ascii="Arial" w:hAnsi="Arial" w:cs="Arial"/>
          <w:color w:val="000000" w:themeColor="text1"/>
        </w:rPr>
        <w:t xml:space="preserve">units, </w:t>
      </w:r>
      <w:r w:rsidR="00E33A00" w:rsidRPr="00BA219D">
        <w:rPr>
          <w:rFonts w:ascii="Arial" w:hAnsi="Arial" w:cs="Arial"/>
          <w:color w:val="000000" w:themeColor="text1"/>
        </w:rPr>
        <w:t>tubes</w:t>
      </w:r>
      <w:r w:rsidR="007B76C3" w:rsidRPr="00BA219D">
        <w:rPr>
          <w:rFonts w:ascii="Arial" w:hAnsi="Arial" w:cs="Arial"/>
          <w:color w:val="000000" w:themeColor="text1"/>
        </w:rPr>
        <w:t xml:space="preserve"> of bones consisting of concentric uniform layers of lamellae with central Haversian </w:t>
      </w:r>
      <w:r w:rsidR="007B76C3" w:rsidRPr="00BA219D">
        <w:rPr>
          <w:rFonts w:ascii="Arial" w:hAnsi="Arial" w:cs="Arial"/>
          <w:color w:val="000000" w:themeColor="text1"/>
        </w:rPr>
        <w:lastRenderedPageBreak/>
        <w:t>canal, which contains bone’s vascular and neu</w:t>
      </w:r>
      <w:r w:rsidR="00161FEA">
        <w:rPr>
          <w:rFonts w:ascii="Arial" w:hAnsi="Arial" w:cs="Arial"/>
          <w:color w:val="000000" w:themeColor="text1"/>
        </w:rPr>
        <w:t xml:space="preserve">ral supply as shown in Figure </w:t>
      </w:r>
      <w:r w:rsidR="007B76C3" w:rsidRPr="00BA219D">
        <w:rPr>
          <w:rFonts w:ascii="Arial" w:hAnsi="Arial" w:cs="Arial"/>
          <w:color w:val="000000" w:themeColor="text1"/>
        </w:rPr>
        <w:t xml:space="preserve">4. </w:t>
      </w:r>
      <w:r w:rsidR="007B76C3" w:rsidRPr="00BA219D">
        <w:rPr>
          <w:rFonts w:ascii="Arial" w:hAnsi="Arial"/>
        </w:rPr>
        <w:t>It is important to distinguish Haversian systems, or secondary osteons, from the primary osteons seen in younger growing animals</w:t>
      </w:r>
      <w:r w:rsidR="007B76C3">
        <w:rPr>
          <w:rFonts w:ascii="Arial" w:hAnsi="Arial"/>
        </w:rPr>
        <w:t>.</w:t>
      </w:r>
      <w:r w:rsidR="007B76C3" w:rsidRPr="00BA219D">
        <w:rPr>
          <w:rFonts w:ascii="Arial" w:hAnsi="Arial"/>
        </w:rPr>
        <w:t xml:space="preserve"> Primary osteons are characterised by concentric lamellae of bone that do not interrupt the more linear lamellae, in appearance similar to knots in</w:t>
      </w:r>
      <w:r w:rsidR="00161FEA">
        <w:rPr>
          <w:rFonts w:ascii="Arial" w:hAnsi="Arial"/>
        </w:rPr>
        <w:t xml:space="preserve"> wood, as shown in the Figure </w:t>
      </w:r>
      <w:r w:rsidR="007B76C3" w:rsidRPr="00BA219D">
        <w:rPr>
          <w:rFonts w:ascii="Arial" w:hAnsi="Arial"/>
        </w:rPr>
        <w:t xml:space="preserve">5. The secondary osteons, or Haversian systems, like the primary osteons, contain concentric lamellae, however, the concentric lamellae is cut through the pre-existing lamellae of the bone. </w:t>
      </w:r>
      <w:r w:rsidR="007B76C3">
        <w:rPr>
          <w:rFonts w:ascii="Arial" w:hAnsi="Arial"/>
        </w:rPr>
        <w:t>The s</w:t>
      </w:r>
      <w:r w:rsidR="007B76C3" w:rsidRPr="00BA219D">
        <w:rPr>
          <w:rFonts w:ascii="Arial" w:hAnsi="Arial"/>
        </w:rPr>
        <w:t xml:space="preserve">econdary osteons arise when group of osteoclasts, bone-resorbing cells, </w:t>
      </w:r>
      <w:proofErr w:type="gramStart"/>
      <w:r w:rsidR="007B76C3" w:rsidRPr="00BA219D">
        <w:rPr>
          <w:rFonts w:ascii="Arial" w:hAnsi="Arial"/>
        </w:rPr>
        <w:t>tunnel</w:t>
      </w:r>
      <w:proofErr w:type="gramEnd"/>
      <w:r w:rsidR="007B76C3" w:rsidRPr="00BA219D">
        <w:rPr>
          <w:rFonts w:ascii="Arial" w:hAnsi="Arial"/>
        </w:rPr>
        <w:t xml:space="preserve"> into the bone surface. Immediately behind the osteoclasts osteoblasts lay down new bone and gradually become lining cells covering the bone surface. </w:t>
      </w:r>
      <w:r w:rsidR="00A96606">
        <w:rPr>
          <w:rFonts w:ascii="Arial" w:hAnsi="Arial"/>
        </w:rPr>
        <w:t>Most</w:t>
      </w:r>
      <w:r w:rsidR="007B76C3" w:rsidRPr="00BA219D">
        <w:rPr>
          <w:rFonts w:ascii="Arial" w:hAnsi="Arial"/>
        </w:rPr>
        <w:t xml:space="preserve"> of the osteoblasts become embedded within the new bone matrix as osteocytes</w:t>
      </w:r>
      <w:r w:rsidR="007B76C3">
        <w:rPr>
          <w:rFonts w:ascii="Arial" w:hAnsi="Arial"/>
        </w:rPr>
        <w:t xml:space="preserve"> </w:t>
      </w:r>
      <w:r w:rsidR="007B76C3" w:rsidRPr="00BA219D">
        <w:rPr>
          <w:rFonts w:ascii="Arial" w:hAnsi="Arial"/>
        </w:rPr>
        <w:fldChar w:fldCharType="begin"/>
      </w:r>
      <w:r w:rsidR="00A108A1">
        <w:rPr>
          <w:rFonts w:ascii="Arial" w:hAnsi="Arial"/>
        </w:rPr>
        <w:instrText xml:space="preserve"> ADDIN EN.CITE &lt;EndNote&gt;&lt;Cite&gt;&lt;Author&gt;Skerry&lt;/Author&gt;&lt;Year&gt;2006&lt;/Year&gt;&lt;RecNum&gt;192&lt;/RecNum&gt;&lt;DisplayText&gt;(Skerry, 2006a)&lt;/DisplayText&gt;&lt;record&gt;&lt;rec-number&gt;192&lt;/rec-number&gt;&lt;foreign-keys&gt;&lt;key app="EN" db-id="ae9rewfrpdttrheppfxxv0p4950wpd25r09x" timestamp="1520658055"&gt;192&lt;/key&gt;&lt;/foreign-keys&gt;&lt;ref-type name="Book Section"&gt;5&lt;/ref-type&gt;&lt;contributors&gt;&lt;authors&gt;&lt;author&gt;Skerry, T. M.&lt;/author&gt;&lt;/authors&gt;&lt;secondary-authors&gt;&lt;author&gt;Coughlan, A. R.&lt;/author&gt;&lt;author&gt;Miller, A.&lt;/author&gt;&lt;/secondary-authors&gt;&lt;/contributors&gt;&lt;titles&gt;&lt;title&gt;Fracture healing&lt;/title&gt;&lt;secondary-title&gt;BSAVA Manual of Small Animal Fracture Repair and Management (revised reprint)&lt;/secondary-title&gt;&lt;/titles&gt;&lt;pages&gt;25-31&lt;/pages&gt;&lt;section&gt;4&lt;/section&gt;&lt;dates&gt;&lt;year&gt;2006&lt;/year&gt;&lt;/dates&gt;&lt;publisher&gt;British Small Animal Veterinary Association&lt;/publisher&gt;&lt;urls&gt;&lt;/urls&gt;&lt;/record&gt;&lt;/Cite&gt;&lt;/EndNote&gt;</w:instrText>
      </w:r>
      <w:r w:rsidR="007B76C3" w:rsidRPr="00BA219D">
        <w:rPr>
          <w:rFonts w:ascii="Arial" w:hAnsi="Arial"/>
        </w:rPr>
        <w:fldChar w:fldCharType="separate"/>
      </w:r>
      <w:r w:rsidR="001F153E">
        <w:rPr>
          <w:rFonts w:ascii="Arial" w:hAnsi="Arial"/>
          <w:noProof/>
        </w:rPr>
        <w:t>(Skerry, 2006a)</w:t>
      </w:r>
      <w:r w:rsidR="007B76C3" w:rsidRPr="00BA219D">
        <w:rPr>
          <w:rFonts w:ascii="Arial" w:hAnsi="Arial"/>
        </w:rPr>
        <w:fldChar w:fldCharType="end"/>
      </w:r>
      <w:r w:rsidR="007B76C3" w:rsidRPr="00BA219D">
        <w:rPr>
          <w:rFonts w:ascii="Arial" w:hAnsi="Arial"/>
        </w:rPr>
        <w:t>.</w:t>
      </w:r>
    </w:p>
    <w:p w14:paraId="26B87B38" w14:textId="77777777" w:rsidR="00E33A00" w:rsidRPr="00E33A00" w:rsidRDefault="00E33A00" w:rsidP="00E33A00">
      <w:pPr>
        <w:spacing w:line="480" w:lineRule="auto"/>
        <w:jc w:val="both"/>
        <w:rPr>
          <w:rFonts w:ascii="Arial" w:hAnsi="Arial" w:cs="Arial"/>
        </w:rPr>
      </w:pPr>
    </w:p>
    <w:p w14:paraId="0E5BD9DB" w14:textId="77777777" w:rsidR="007B76C3" w:rsidRPr="004A26C5" w:rsidRDefault="007B76C3" w:rsidP="007B76C3">
      <w:pPr>
        <w:spacing w:line="480" w:lineRule="auto"/>
        <w:jc w:val="both"/>
        <w:rPr>
          <w:rFonts w:ascii="Arial" w:hAnsi="Arial" w:cs="Arial"/>
        </w:rPr>
      </w:pPr>
    </w:p>
    <w:bookmarkEnd w:id="13"/>
    <w:p w14:paraId="74C1571C" w14:textId="77777777" w:rsidR="004527B6" w:rsidRDefault="007B76C3" w:rsidP="004527B6">
      <w:pPr>
        <w:keepNext/>
        <w:spacing w:line="480" w:lineRule="auto"/>
        <w:ind w:left="709"/>
        <w:jc w:val="both"/>
      </w:pPr>
      <w:r>
        <w:rPr>
          <w:rFonts w:ascii="Arial" w:hAnsi="Arial" w:cs="Arial"/>
          <w:noProof/>
          <w:color w:val="000000" w:themeColor="text1"/>
          <w:lang w:val="en-US"/>
        </w:rPr>
        <w:drawing>
          <wp:inline distT="0" distB="0" distL="0" distR="0" wp14:anchorId="4FFD4B79" wp14:editId="434545F6">
            <wp:extent cx="5259070" cy="2743200"/>
            <wp:effectExtent l="0" t="0" r="0" b="0"/>
            <wp:docPr id="1" name="Picture 1" descr="JASMINE:Illu_compact_spongy_b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SMINE:Illu_compact_spongy_bone.jp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59396" cy="2743370"/>
                    </a:xfrm>
                    <a:prstGeom prst="rect">
                      <a:avLst/>
                    </a:prstGeom>
                    <a:noFill/>
                    <a:ln>
                      <a:noFill/>
                    </a:ln>
                  </pic:spPr>
                </pic:pic>
              </a:graphicData>
            </a:graphic>
          </wp:inline>
        </w:drawing>
      </w:r>
    </w:p>
    <w:p w14:paraId="3837C1FC" w14:textId="77777777" w:rsidR="00161FEA" w:rsidRDefault="00161FEA" w:rsidP="004527B6">
      <w:pPr>
        <w:pStyle w:val="Caption"/>
        <w:jc w:val="both"/>
        <w:rPr>
          <w:rFonts w:ascii="Arial" w:hAnsi="Arial" w:cs="Arial"/>
          <w:color w:val="244061" w:themeColor="accent1" w:themeShade="80"/>
          <w:sz w:val="24"/>
          <w:szCs w:val="24"/>
        </w:rPr>
      </w:pPr>
    </w:p>
    <w:p w14:paraId="4E19C147" w14:textId="77777777" w:rsidR="007B76C3" w:rsidRPr="00CD4880" w:rsidRDefault="004A37C7" w:rsidP="004527B6">
      <w:pPr>
        <w:pStyle w:val="Caption"/>
        <w:jc w:val="both"/>
        <w:rPr>
          <w:rFonts w:ascii="Arial" w:hAnsi="Arial" w:cs="Arial"/>
          <w:color w:val="244061" w:themeColor="accent1" w:themeShade="80"/>
          <w:sz w:val="24"/>
          <w:szCs w:val="24"/>
        </w:rPr>
      </w:pPr>
      <w:bookmarkStart w:id="14" w:name="_Toc383544595"/>
      <w:r>
        <w:rPr>
          <w:rFonts w:ascii="Arial" w:hAnsi="Arial" w:cs="Arial"/>
          <w:color w:val="244061" w:themeColor="accent1" w:themeShade="80"/>
          <w:sz w:val="24"/>
          <w:szCs w:val="24"/>
        </w:rPr>
        <w:t xml:space="preserve">Figure </w:t>
      </w:r>
      <w:r w:rsidR="004527B6" w:rsidRPr="00CD4880">
        <w:rPr>
          <w:rFonts w:ascii="Arial" w:hAnsi="Arial" w:cs="Arial"/>
          <w:color w:val="244061" w:themeColor="accent1" w:themeShade="80"/>
          <w:sz w:val="24"/>
          <w:szCs w:val="24"/>
        </w:rPr>
        <w:fldChar w:fldCharType="begin"/>
      </w:r>
      <w:r w:rsidR="004527B6" w:rsidRPr="00CD4880">
        <w:rPr>
          <w:rFonts w:ascii="Arial" w:hAnsi="Arial" w:cs="Arial"/>
          <w:color w:val="244061" w:themeColor="accent1" w:themeShade="80"/>
          <w:sz w:val="24"/>
          <w:szCs w:val="24"/>
        </w:rPr>
        <w:instrText xml:space="preserve"> SEQ Figure \* ARABIC </w:instrText>
      </w:r>
      <w:r w:rsidR="004527B6" w:rsidRPr="00CD4880">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4</w:t>
      </w:r>
      <w:r w:rsidR="004527B6" w:rsidRPr="00CD4880">
        <w:rPr>
          <w:rFonts w:ascii="Arial" w:hAnsi="Arial" w:cs="Arial"/>
          <w:color w:val="244061" w:themeColor="accent1" w:themeShade="80"/>
          <w:sz w:val="24"/>
          <w:szCs w:val="24"/>
        </w:rPr>
        <w:fldChar w:fldCharType="end"/>
      </w:r>
      <w:r w:rsidR="004527B6" w:rsidRPr="00CD4880">
        <w:rPr>
          <w:rFonts w:ascii="Arial" w:hAnsi="Arial" w:cs="Arial"/>
          <w:color w:val="244061" w:themeColor="accent1" w:themeShade="80"/>
          <w:sz w:val="24"/>
          <w:szCs w:val="24"/>
        </w:rPr>
        <w:t xml:space="preserve"> Schematic representation of bone microarchitecture</w:t>
      </w:r>
      <w:bookmarkEnd w:id="14"/>
    </w:p>
    <w:p w14:paraId="4D18ADBD" w14:textId="77777777" w:rsidR="007B76C3" w:rsidRPr="00395B94" w:rsidRDefault="007B76C3" w:rsidP="00395B94">
      <w:pPr>
        <w:spacing w:line="360" w:lineRule="auto"/>
        <w:jc w:val="both"/>
        <w:rPr>
          <w:rFonts w:ascii="Arial" w:hAnsi="Arial" w:cs="Arial"/>
          <w:b/>
          <w:color w:val="1F497D" w:themeColor="text2"/>
        </w:rPr>
      </w:pPr>
      <w:r>
        <w:rPr>
          <w:rFonts w:ascii="Arial" w:hAnsi="Arial" w:cs="Arial"/>
          <w:sz w:val="22"/>
          <w:szCs w:val="22"/>
        </w:rPr>
        <w:t>Image reproduced</w:t>
      </w:r>
      <w:r w:rsidRPr="008753A7">
        <w:rPr>
          <w:rFonts w:ascii="Arial" w:hAnsi="Arial" w:cs="Arial"/>
          <w:sz w:val="22"/>
          <w:szCs w:val="22"/>
        </w:rPr>
        <w:t xml:space="preserve"> from </w:t>
      </w:r>
      <w:r w:rsidRPr="008753A7">
        <w:rPr>
          <w:rFonts w:ascii="Arial" w:hAnsi="Arial" w:cs="Arial"/>
          <w:color w:val="1C1C1C"/>
          <w:sz w:val="22"/>
          <w:szCs w:val="22"/>
          <w:lang w:eastAsia="en-GB"/>
        </w:rPr>
        <w:t>U.S. National Cancer Institute's Surveillance, Epidemiology and End Results (SEER) Program</w:t>
      </w:r>
      <w:r>
        <w:rPr>
          <w:rFonts w:ascii="Arial" w:hAnsi="Arial" w:cs="Arial"/>
          <w:b/>
          <w:color w:val="1F497D" w:themeColor="text2"/>
        </w:rPr>
        <w:t xml:space="preserve"> </w:t>
      </w:r>
      <w:r>
        <w:rPr>
          <w:rFonts w:ascii="Arial" w:hAnsi="Arial" w:cs="Arial"/>
        </w:rPr>
        <w:t>(</w:t>
      </w:r>
      <w:hyperlink r:id="rId21" w:history="1">
        <w:r w:rsidRPr="000E2561">
          <w:rPr>
            <w:rStyle w:val="Hyperlink"/>
            <w:rFonts w:ascii="Arial" w:hAnsi="Arial" w:cs="Arial"/>
            <w:sz w:val="22"/>
            <w:szCs w:val="22"/>
          </w:rPr>
          <w:t>https://www.training.seer.cancer.gov/anatomy/skeletal/tissue.html</w:t>
        </w:r>
      </w:hyperlink>
      <w:r w:rsidR="00335AD3">
        <w:rPr>
          <w:rFonts w:ascii="Arial" w:hAnsi="Arial" w:cs="Arial"/>
          <w:color w:val="000000" w:themeColor="text1"/>
          <w:sz w:val="22"/>
          <w:szCs w:val="22"/>
        </w:rPr>
        <w:t xml:space="preserve"> accessed on 19 March</w:t>
      </w:r>
      <w:r>
        <w:rPr>
          <w:rFonts w:ascii="Arial" w:hAnsi="Arial" w:cs="Arial"/>
          <w:color w:val="000000" w:themeColor="text1"/>
          <w:sz w:val="22"/>
          <w:szCs w:val="22"/>
        </w:rPr>
        <w:t xml:space="preserve"> 2018)</w:t>
      </w:r>
    </w:p>
    <w:p w14:paraId="46CE098C" w14:textId="77777777" w:rsidR="004527B6" w:rsidRDefault="007B76C3" w:rsidP="004527B6">
      <w:pPr>
        <w:keepNext/>
        <w:spacing w:line="480" w:lineRule="auto"/>
        <w:ind w:left="284"/>
        <w:jc w:val="both"/>
      </w:pPr>
      <w:r>
        <w:rPr>
          <w:rFonts w:ascii="Arial" w:hAnsi="Arial"/>
          <w:noProof/>
          <w:lang w:val="en-US"/>
        </w:rPr>
        <w:lastRenderedPageBreak/>
        <w:drawing>
          <wp:inline distT="0" distB="0" distL="0" distR="0" wp14:anchorId="5399C283" wp14:editId="4CC7F4C1">
            <wp:extent cx="3742373" cy="3023937"/>
            <wp:effectExtent l="0" t="0" r="0" b="0"/>
            <wp:docPr id="21" name="Picture 21" descr="Macintosh HD:Users:appleuser:Desktop:Scan figure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ppleuser:Desktop:Scan figure 1.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43925" cy="3025191"/>
                    </a:xfrm>
                    <a:prstGeom prst="rect">
                      <a:avLst/>
                    </a:prstGeom>
                    <a:noFill/>
                    <a:ln>
                      <a:noFill/>
                    </a:ln>
                  </pic:spPr>
                </pic:pic>
              </a:graphicData>
            </a:graphic>
          </wp:inline>
        </w:drawing>
      </w:r>
    </w:p>
    <w:p w14:paraId="69510A30" w14:textId="77777777" w:rsidR="007B76C3" w:rsidRPr="00CD4880" w:rsidRDefault="004527B6" w:rsidP="004527B6">
      <w:pPr>
        <w:pStyle w:val="Caption"/>
        <w:jc w:val="both"/>
        <w:rPr>
          <w:rFonts w:ascii="Arial" w:hAnsi="Arial" w:cs="Arial"/>
          <w:color w:val="244061" w:themeColor="accent1" w:themeShade="80"/>
          <w:sz w:val="24"/>
          <w:szCs w:val="24"/>
        </w:rPr>
      </w:pPr>
      <w:bookmarkStart w:id="15" w:name="_Toc383544596"/>
      <w:r w:rsidRPr="00CD4880">
        <w:rPr>
          <w:rFonts w:ascii="Arial" w:hAnsi="Arial" w:cs="Arial"/>
          <w:color w:val="244061" w:themeColor="accent1" w:themeShade="80"/>
          <w:sz w:val="24"/>
          <w:szCs w:val="24"/>
        </w:rPr>
        <w:t xml:space="preserve">Figure </w:t>
      </w:r>
      <w:r w:rsidRPr="00CD4880">
        <w:rPr>
          <w:rFonts w:ascii="Arial" w:hAnsi="Arial" w:cs="Arial"/>
          <w:color w:val="244061" w:themeColor="accent1" w:themeShade="80"/>
          <w:sz w:val="24"/>
          <w:szCs w:val="24"/>
        </w:rPr>
        <w:fldChar w:fldCharType="begin"/>
      </w:r>
      <w:r w:rsidRPr="00CD4880">
        <w:rPr>
          <w:rFonts w:ascii="Arial" w:hAnsi="Arial" w:cs="Arial"/>
          <w:color w:val="244061" w:themeColor="accent1" w:themeShade="80"/>
          <w:sz w:val="24"/>
          <w:szCs w:val="24"/>
        </w:rPr>
        <w:instrText xml:space="preserve"> SEQ Figure \* ARABIC </w:instrText>
      </w:r>
      <w:r w:rsidRPr="00CD4880">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5</w:t>
      </w:r>
      <w:r w:rsidRPr="00CD4880">
        <w:rPr>
          <w:rFonts w:ascii="Arial" w:hAnsi="Arial" w:cs="Arial"/>
          <w:color w:val="244061" w:themeColor="accent1" w:themeShade="80"/>
          <w:sz w:val="24"/>
          <w:szCs w:val="24"/>
        </w:rPr>
        <w:fldChar w:fldCharType="end"/>
      </w:r>
      <w:proofErr w:type="gramStart"/>
      <w:r w:rsidR="004A37C7">
        <w:rPr>
          <w:rFonts w:ascii="Arial" w:hAnsi="Arial" w:cs="Arial"/>
          <w:color w:val="244061" w:themeColor="accent1" w:themeShade="80"/>
          <w:sz w:val="24"/>
          <w:szCs w:val="24"/>
        </w:rPr>
        <w:t xml:space="preserve"> </w:t>
      </w:r>
      <w:r w:rsidRPr="00CD4880">
        <w:rPr>
          <w:rFonts w:ascii="Arial" w:hAnsi="Arial" w:cs="Arial"/>
          <w:color w:val="244061" w:themeColor="accent1" w:themeShade="80"/>
          <w:sz w:val="24"/>
          <w:szCs w:val="24"/>
        </w:rPr>
        <w:t>Schematic representation</w:t>
      </w:r>
      <w:proofErr w:type="gramEnd"/>
      <w:r w:rsidRPr="00CD4880">
        <w:rPr>
          <w:rFonts w:ascii="Arial" w:hAnsi="Arial" w:cs="Arial"/>
          <w:color w:val="244061" w:themeColor="accent1" w:themeShade="80"/>
          <w:sz w:val="24"/>
          <w:szCs w:val="24"/>
        </w:rPr>
        <w:t xml:space="preserve"> of the primary osteons</w:t>
      </w:r>
      <w:bookmarkEnd w:id="15"/>
    </w:p>
    <w:p w14:paraId="6500B478" w14:textId="77777777" w:rsidR="007B76C3" w:rsidRPr="00E83C85" w:rsidRDefault="007B76C3" w:rsidP="007B76C3">
      <w:pPr>
        <w:spacing w:line="360" w:lineRule="auto"/>
        <w:jc w:val="both"/>
        <w:rPr>
          <w:rFonts w:ascii="Arial" w:hAnsi="Arial"/>
          <w:sz w:val="22"/>
          <w:szCs w:val="22"/>
        </w:rPr>
      </w:pPr>
      <w:r>
        <w:rPr>
          <w:rFonts w:ascii="Arial" w:hAnsi="Arial"/>
          <w:sz w:val="22"/>
          <w:szCs w:val="22"/>
        </w:rPr>
        <w:t>B</w:t>
      </w:r>
      <w:r w:rsidRPr="00F60FAE">
        <w:rPr>
          <w:rFonts w:ascii="Arial" w:hAnsi="Arial"/>
          <w:sz w:val="22"/>
          <w:szCs w:val="22"/>
        </w:rPr>
        <w:t>one forming c</w:t>
      </w:r>
      <w:r>
        <w:rPr>
          <w:rFonts w:ascii="Arial" w:hAnsi="Arial"/>
          <w:sz w:val="22"/>
          <w:szCs w:val="22"/>
        </w:rPr>
        <w:t xml:space="preserve">ells, the </w:t>
      </w:r>
      <w:r w:rsidRPr="00F60FAE">
        <w:rPr>
          <w:rFonts w:ascii="Arial" w:hAnsi="Arial"/>
          <w:sz w:val="22"/>
          <w:szCs w:val="22"/>
        </w:rPr>
        <w:t xml:space="preserve">osteoblasts </w:t>
      </w:r>
      <w:r>
        <w:rPr>
          <w:rFonts w:ascii="Arial" w:hAnsi="Arial"/>
          <w:sz w:val="22"/>
          <w:szCs w:val="22"/>
        </w:rPr>
        <w:t xml:space="preserve">appose new bone on a rapidly expanding periosteal bone surface in young growing animals. The osteoblasts in periosteum form the osteoid matrix in an irregular way so that the front of formation advances unevenly. As a result, the gaps lined with osteoblasts are left in the new bone </w:t>
      </w:r>
      <w:proofErr w:type="gramStart"/>
      <w:r>
        <w:rPr>
          <w:rFonts w:ascii="Arial" w:hAnsi="Arial"/>
          <w:sz w:val="22"/>
          <w:szCs w:val="22"/>
        </w:rPr>
        <w:t>surface, which are</w:t>
      </w:r>
      <w:proofErr w:type="gramEnd"/>
      <w:r>
        <w:rPr>
          <w:rFonts w:ascii="Arial" w:hAnsi="Arial"/>
          <w:sz w:val="22"/>
          <w:szCs w:val="22"/>
        </w:rPr>
        <w:t xml:space="preserve"> filled in concentrically. Numbers show the order of lamellae deposition</w:t>
      </w:r>
      <w:r w:rsidR="00583F03">
        <w:rPr>
          <w:rFonts w:ascii="Arial" w:hAnsi="Arial"/>
          <w:sz w:val="22"/>
          <w:szCs w:val="22"/>
        </w:rPr>
        <w:t>.</w:t>
      </w:r>
    </w:p>
    <w:p w14:paraId="6718420C" w14:textId="77777777" w:rsidR="007B76C3" w:rsidRDefault="007B76C3" w:rsidP="007B76C3">
      <w:pPr>
        <w:spacing w:line="360" w:lineRule="auto"/>
        <w:jc w:val="both"/>
        <w:rPr>
          <w:rFonts w:ascii="Arial" w:hAnsi="Arial"/>
        </w:rPr>
      </w:pPr>
      <w:r w:rsidRPr="00E87495">
        <w:rPr>
          <w:rFonts w:ascii="Arial" w:hAnsi="Arial"/>
          <w:sz w:val="22"/>
          <w:szCs w:val="22"/>
        </w:rPr>
        <w:t xml:space="preserve">Image </w:t>
      </w:r>
      <w:r w:rsidR="00616297">
        <w:rPr>
          <w:rFonts w:ascii="Arial" w:hAnsi="Arial"/>
          <w:sz w:val="22"/>
          <w:szCs w:val="22"/>
        </w:rPr>
        <w:t>reproduced</w:t>
      </w:r>
      <w:r>
        <w:rPr>
          <w:rFonts w:ascii="Arial" w:hAnsi="Arial"/>
          <w:sz w:val="22"/>
          <w:szCs w:val="22"/>
        </w:rPr>
        <w:t xml:space="preserve"> with permission from </w:t>
      </w:r>
      <w:r>
        <w:rPr>
          <w:rFonts w:ascii="Arial" w:hAnsi="Arial"/>
          <w:sz w:val="22"/>
          <w:szCs w:val="22"/>
        </w:rPr>
        <w:fldChar w:fldCharType="begin"/>
      </w:r>
      <w:r w:rsidR="00A108A1">
        <w:rPr>
          <w:rFonts w:ascii="Arial" w:hAnsi="Arial"/>
          <w:sz w:val="22"/>
          <w:szCs w:val="22"/>
        </w:rPr>
        <w:instrText xml:space="preserve"> ADDIN EN.CITE &lt;EndNote&gt;&lt;Cite&gt;&lt;Author&gt;Skerry&lt;/Author&gt;&lt;Year&gt;2006&lt;/Year&gt;&lt;RecNum&gt;192&lt;/RecNum&gt;&lt;DisplayText&gt;(Skerry, 2006a)&lt;/DisplayText&gt;&lt;record&gt;&lt;rec-number&gt;192&lt;/rec-number&gt;&lt;foreign-keys&gt;&lt;key app="EN" db-id="ae9rewfrpdttrheppfxxv0p4950wpd25r09x" timestamp="1520658055"&gt;192&lt;/key&gt;&lt;/foreign-keys&gt;&lt;ref-type name="Book Section"&gt;5&lt;/ref-type&gt;&lt;contributors&gt;&lt;authors&gt;&lt;author&gt;Skerry, T. M.&lt;/author&gt;&lt;/authors&gt;&lt;secondary-authors&gt;&lt;author&gt;Coughlan, A. R.&lt;/author&gt;&lt;author&gt;Miller, A.&lt;/author&gt;&lt;/secondary-authors&gt;&lt;/contributors&gt;&lt;titles&gt;&lt;title&gt;Fracture healing&lt;/title&gt;&lt;secondary-title&gt;BSAVA Manual of Small Animal Fracture Repair and Management (revised reprint)&lt;/secondary-title&gt;&lt;/titles&gt;&lt;pages&gt;25-31&lt;/pages&gt;&lt;section&gt;4&lt;/section&gt;&lt;dates&gt;&lt;year&gt;2006&lt;/year&gt;&lt;/dates&gt;&lt;publisher&gt;British Small Animal Veterinary Association&lt;/publisher&gt;&lt;urls&gt;&lt;/urls&gt;&lt;/record&gt;&lt;/Cite&gt;&lt;/EndNote&gt;</w:instrText>
      </w:r>
      <w:r>
        <w:rPr>
          <w:rFonts w:ascii="Arial" w:hAnsi="Arial"/>
          <w:sz w:val="22"/>
          <w:szCs w:val="22"/>
        </w:rPr>
        <w:fldChar w:fldCharType="separate"/>
      </w:r>
      <w:r w:rsidR="001F153E">
        <w:rPr>
          <w:rFonts w:ascii="Arial" w:hAnsi="Arial"/>
          <w:noProof/>
          <w:sz w:val="22"/>
          <w:szCs w:val="22"/>
        </w:rPr>
        <w:t>(Skerry, 2006a)</w:t>
      </w:r>
      <w:r>
        <w:rPr>
          <w:rFonts w:ascii="Arial" w:hAnsi="Arial"/>
          <w:sz w:val="22"/>
          <w:szCs w:val="22"/>
        </w:rPr>
        <w:fldChar w:fldCharType="end"/>
      </w:r>
    </w:p>
    <w:p w14:paraId="28AABA20" w14:textId="77777777" w:rsidR="007B76C3" w:rsidRDefault="007B76C3" w:rsidP="007B76C3">
      <w:pPr>
        <w:spacing w:line="480" w:lineRule="auto"/>
        <w:jc w:val="both"/>
        <w:rPr>
          <w:rFonts w:ascii="Arial" w:hAnsi="Arial" w:cs="Arial"/>
          <w:color w:val="000000" w:themeColor="text1"/>
        </w:rPr>
      </w:pPr>
    </w:p>
    <w:p w14:paraId="38B32974" w14:textId="77777777" w:rsidR="007B76C3" w:rsidRDefault="007B76C3" w:rsidP="007B76C3">
      <w:pPr>
        <w:spacing w:line="480" w:lineRule="auto"/>
        <w:jc w:val="both"/>
        <w:rPr>
          <w:rFonts w:ascii="Arial" w:hAnsi="Arial" w:cs="Arial"/>
          <w:color w:val="000000" w:themeColor="text1"/>
        </w:rPr>
      </w:pPr>
    </w:p>
    <w:p w14:paraId="4C4A1A16" w14:textId="77777777" w:rsidR="007B76C3" w:rsidRDefault="007B76C3" w:rsidP="007B76C3">
      <w:pPr>
        <w:spacing w:line="480" w:lineRule="auto"/>
        <w:jc w:val="both"/>
        <w:rPr>
          <w:rFonts w:ascii="Arial" w:hAnsi="Arial"/>
        </w:rPr>
      </w:pPr>
      <w:r>
        <w:rPr>
          <w:rFonts w:ascii="Arial" w:hAnsi="Arial"/>
        </w:rPr>
        <w:t xml:space="preserve">The mechanical properties of the bone depend on the organic matrix composed primarily around 90% from the type I collagen molecules, which are mineralised by the insertion of hydroxyapatite crystals </w:t>
      </w:r>
      <w:r>
        <w:rPr>
          <w:rFonts w:ascii="Arial" w:hAnsi="Arial"/>
        </w:rPr>
        <w:sym w:font="Symbol" w:char="F05B"/>
      </w:r>
      <w:proofErr w:type="gramStart"/>
      <w:r>
        <w:rPr>
          <w:rFonts w:ascii="Arial" w:hAnsi="Arial"/>
        </w:rPr>
        <w:t>Ca</w:t>
      </w:r>
      <w:r>
        <w:rPr>
          <w:rFonts w:ascii="Arial" w:hAnsi="Arial"/>
          <w:vertAlign w:val="subscript"/>
        </w:rPr>
        <w:t>10</w:t>
      </w:r>
      <w:r>
        <w:rPr>
          <w:rFonts w:ascii="Arial" w:hAnsi="Arial"/>
        </w:rPr>
        <w:t>(</w:t>
      </w:r>
      <w:proofErr w:type="gramEnd"/>
      <w:r>
        <w:rPr>
          <w:rFonts w:ascii="Arial" w:hAnsi="Arial"/>
        </w:rPr>
        <w:t>PO</w:t>
      </w:r>
      <w:r>
        <w:rPr>
          <w:rFonts w:ascii="Arial" w:hAnsi="Arial"/>
          <w:vertAlign w:val="subscript"/>
        </w:rPr>
        <w:t>4</w:t>
      </w:r>
      <w:r>
        <w:rPr>
          <w:rFonts w:ascii="Arial" w:hAnsi="Arial"/>
        </w:rPr>
        <w:t>)</w:t>
      </w:r>
      <w:r>
        <w:rPr>
          <w:rFonts w:ascii="Arial" w:hAnsi="Arial"/>
          <w:vertAlign w:val="subscript"/>
        </w:rPr>
        <w:t>6</w:t>
      </w:r>
      <w:r>
        <w:rPr>
          <w:rFonts w:ascii="Arial" w:hAnsi="Arial"/>
        </w:rPr>
        <w:t>(OH)</w:t>
      </w:r>
      <w:r>
        <w:rPr>
          <w:rFonts w:ascii="Arial" w:hAnsi="Arial"/>
          <w:vertAlign w:val="subscript"/>
        </w:rPr>
        <w:t>2</w:t>
      </w:r>
      <w:r>
        <w:rPr>
          <w:rFonts w:ascii="Arial" w:hAnsi="Arial"/>
        </w:rPr>
        <w:sym w:font="Symbol" w:char="F05D"/>
      </w:r>
      <w:r>
        <w:rPr>
          <w:rFonts w:ascii="Arial" w:hAnsi="Arial"/>
        </w:rPr>
        <w:t xml:space="preserve"> into their structure </w:t>
      </w:r>
      <w:r>
        <w:rPr>
          <w:rFonts w:ascii="Arial" w:hAnsi="Arial"/>
        </w:rPr>
        <w:fldChar w:fldCharType="begin"/>
      </w:r>
      <w:r w:rsidR="00A108A1">
        <w:rPr>
          <w:rFonts w:ascii="Arial" w:hAnsi="Arial"/>
        </w:rPr>
        <w:instrText xml:space="preserve"> ADDIN EN.CITE &lt;EndNote&gt;&lt;Cite&gt;&lt;Author&gt;Glimcher&lt;/Author&gt;&lt;Year&gt;1989&lt;/Year&gt;&lt;RecNum&gt;56&lt;/RecNum&gt;&lt;DisplayText&gt;(Glimcher, 1989, Grynpas and Omelon, 2007)&lt;/DisplayText&gt;&lt;record&gt;&lt;rec-number&gt;56&lt;/rec-number&gt;&lt;foreign-keys&gt;&lt;key app="EN" db-id="ae9rewfrpdttrheppfxxv0p4950wpd25r09x" timestamp="1520657664"&gt;56&lt;/key&gt;&lt;key app="ENWeb" db-id=""&gt;0&lt;/key&gt;&lt;/foreign-keys&gt;&lt;ref-type name="Journal Article"&gt;17&lt;/ref-type&gt;&lt;contributors&gt;&lt;authors&gt;&lt;author&gt;Glimcher, M. J.&lt;/author&gt;&lt;/authors&gt;&lt;/contributors&gt;&lt;titles&gt;&lt;title&gt;Mechanism of calcification: Role of collagen fibrils and collagen- phosphoprotein complexes in vitro and in vivo&lt;/title&gt;&lt;secondary-title&gt;Anatomical Record&lt;/secondary-title&gt;&lt;/titles&gt;&lt;periodical&gt;&lt;full-title&gt;Anatomical Record&lt;/full-title&gt;&lt;/periodical&gt;&lt;pages&gt;139-153&lt;/pages&gt;&lt;volume&gt;224&lt;/volume&gt;&lt;number&gt;2&lt;/number&gt;&lt;dates&gt;&lt;year&gt;1989&lt;/year&gt;&lt;/dates&gt;&lt;isbn&gt;0003276X&lt;/isbn&gt;&lt;urls&gt;&lt;/urls&gt;&lt;/record&gt;&lt;/Cite&gt;&lt;Cite&gt;&lt;Author&gt;Grynpas&lt;/Author&gt;&lt;Year&gt;2007&lt;/Year&gt;&lt;RecNum&gt;55&lt;/RecNum&gt;&lt;record&gt;&lt;rec-number&gt;55&lt;/rec-number&gt;&lt;foreign-keys&gt;&lt;key app="EN" db-id="ae9rewfrpdttrheppfxxv0p4950wpd25r09x" timestamp="1520657661"&gt;55&lt;/key&gt;&lt;key app="ENWeb" db-id=""&gt;0&lt;/key&gt;&lt;/foreign-keys&gt;&lt;ref-type name="Journal Article"&gt;17&lt;/ref-type&gt;&lt;contributors&gt;&lt;authors&gt;&lt;author&gt;Grynpas, Marc D.&lt;/author&gt;&lt;author&gt;Omelon, Sidney&lt;/author&gt;&lt;/authors&gt;&lt;/contributors&gt;&lt;titles&gt;&lt;title&gt;Transient precursor strategy or very small biological apatite crystals?&lt;/title&gt;&lt;secondary-title&gt;Bone&lt;/secondary-title&gt;&lt;/titles&gt;&lt;periodical&gt;&lt;full-title&gt;Bone&lt;/full-title&gt;&lt;/periodical&gt;&lt;pages&gt;162-164&lt;/pages&gt;&lt;volume&gt;41&lt;/volume&gt;&lt;number&gt;2&lt;/number&gt;&lt;keywords&gt;&lt;keyword&gt;31 P NMR&lt;/keyword&gt;&lt;keyword&gt;Biological Apatite&lt;/keyword&gt;&lt;keyword&gt;Biomineralization&lt;/keyword&gt;&lt;keyword&gt;Bone&lt;/keyword&gt;&lt;keyword&gt;Calcification&lt;/keyword&gt;&lt;keyword&gt;Initial Bone Mineral&lt;/keyword&gt;&lt;keyword&gt;Octacalcium Phosphate&lt;/keyword&gt;&lt;keyword&gt;Raman Spectroscopy&lt;/keyword&gt;&lt;/keywords&gt;&lt;dates&gt;&lt;year&gt;2007&lt;/year&gt;&lt;/dates&gt;&lt;isbn&gt;87563282&lt;/isbn&gt;&lt;urls&gt;&lt;/urls&gt;&lt;electronic-resource-num&gt;10.1016/j.bone.2007.04.176&lt;/electronic-resource-num&gt;&lt;/record&gt;&lt;/Cite&gt;&lt;/EndNote&gt;</w:instrText>
      </w:r>
      <w:r>
        <w:rPr>
          <w:rFonts w:ascii="Arial" w:hAnsi="Arial"/>
        </w:rPr>
        <w:fldChar w:fldCharType="separate"/>
      </w:r>
      <w:r>
        <w:rPr>
          <w:rFonts w:ascii="Arial" w:hAnsi="Arial"/>
          <w:noProof/>
        </w:rPr>
        <w:t>(Glimcher, 1989, Grynpas and Omelon, 2007)</w:t>
      </w:r>
      <w:r>
        <w:rPr>
          <w:rFonts w:ascii="Arial" w:hAnsi="Arial"/>
        </w:rPr>
        <w:fldChar w:fldCharType="end"/>
      </w:r>
      <w:r>
        <w:rPr>
          <w:rFonts w:ascii="Arial" w:hAnsi="Arial"/>
        </w:rPr>
        <w:t xml:space="preserve">. Collagen provides flexibility/toughness to </w:t>
      </w:r>
      <w:r w:rsidR="008B0121">
        <w:rPr>
          <w:rFonts w:ascii="Arial" w:hAnsi="Arial"/>
        </w:rPr>
        <w:t xml:space="preserve">the </w:t>
      </w:r>
      <w:r>
        <w:rPr>
          <w:rFonts w:ascii="Arial" w:hAnsi="Arial"/>
        </w:rPr>
        <w:t xml:space="preserve">bone structure and resistance to loading; the mineral crystals strengthen collagen </w:t>
      </w:r>
      <w:r w:rsidR="007743F6">
        <w:rPr>
          <w:rFonts w:ascii="Arial" w:hAnsi="Arial"/>
        </w:rPr>
        <w:t>fibres</w:t>
      </w:r>
      <w:r>
        <w:rPr>
          <w:rFonts w:ascii="Arial" w:hAnsi="Arial"/>
        </w:rPr>
        <w:t xml:space="preserve"> and serve as a source for calcium and p</w:t>
      </w:r>
      <w:r w:rsidR="00880776">
        <w:rPr>
          <w:rFonts w:ascii="Arial" w:hAnsi="Arial"/>
        </w:rPr>
        <w:t xml:space="preserve">hosphorus </w:t>
      </w:r>
      <w:r w:rsidR="00880776">
        <w:rPr>
          <w:rFonts w:ascii="Arial" w:hAnsi="Arial"/>
        </w:rPr>
        <w:fldChar w:fldCharType="begin"/>
      </w:r>
      <w:r w:rsidR="00B97465">
        <w:rPr>
          <w:rFonts w:ascii="Arial" w:hAnsi="Arial"/>
        </w:rPr>
        <w:instrText xml:space="preserve"> ADDIN EN.CITE &lt;EndNote&gt;&lt;Cite&gt;&lt;Author&gt;Burstein&lt;/Author&gt;&lt;Year&gt;1975&lt;/Year&gt;&lt;RecNum&gt;301&lt;/RecNum&gt;&lt;DisplayText&gt;(Burstein et al., 1975)&lt;/DisplayText&gt;&lt;record&gt;&lt;rec-number&gt;301&lt;/rec-number&gt;&lt;foreign-keys&gt;&lt;key app="EN" db-id="ae9rewfrpdttrheppfxxv0p4950wpd25r09x" timestamp="1520658291"&gt;301&lt;/key&gt;&lt;/foreign-keys&gt;&lt;ref-type name="Journal Article"&gt;17&lt;/ref-type&gt;&lt;contributors&gt;&lt;authors&gt;&lt;author&gt;Burstein, Ah&lt;/author&gt;&lt;author&gt;Zika, Jm&lt;/author&gt;&lt;author&gt;Heiple, Kg&lt;/author&gt;&lt;author&gt;Klein, L.&lt;/author&gt;&lt;/authors&gt;&lt;/contributors&gt;&lt;titles&gt;&lt;title&gt;Contribution of collagen and mineral to the elastic- plastic properties of bone&lt;/title&gt;&lt;secondary-title&gt;The Journal of Bone and Joint Surgery&lt;/secondary-title&gt;&lt;/titles&gt;&lt;periodical&gt;&lt;full-title&gt;The Journal of Bone and Joint Surgery&lt;/full-title&gt;&lt;/periodical&gt;&lt;pages&gt;956-961&lt;/pages&gt;&lt;volume&gt;57&lt;/volume&gt;&lt;number&gt;7&lt;/number&gt;&lt;keywords&gt;&lt;keyword&gt;Biomechanical Phenomena&lt;/keyword&gt;&lt;keyword&gt;Bone and Bones -- Physiology&lt;/keyword&gt;&lt;keyword&gt;Calcium -- Physiology&lt;/keyword&gt;&lt;keyword&gt;Collagen -- Physiology&lt;/keyword&gt;&lt;/keywords&gt;&lt;dates&gt;&lt;year&gt;1975&lt;/year&gt;&lt;/dates&gt;&lt;isbn&gt;0021-9355&lt;/isbn&gt;&lt;urls&gt;&lt;/urls&gt;&lt;electronic-resource-num&gt;10.2106/JBJS.F.00538&lt;/electronic-resource-num&gt;&lt;/record&gt;&lt;/Cite&gt;&lt;/EndNote&gt;</w:instrText>
      </w:r>
      <w:r w:rsidR="00880776">
        <w:rPr>
          <w:rFonts w:ascii="Arial" w:hAnsi="Arial"/>
        </w:rPr>
        <w:fldChar w:fldCharType="separate"/>
      </w:r>
      <w:r w:rsidR="00880776">
        <w:rPr>
          <w:rFonts w:ascii="Arial" w:hAnsi="Arial"/>
          <w:noProof/>
        </w:rPr>
        <w:t>(Burstein et al., 1975)</w:t>
      </w:r>
      <w:r w:rsidR="00880776">
        <w:rPr>
          <w:rFonts w:ascii="Arial" w:hAnsi="Arial"/>
        </w:rPr>
        <w:fldChar w:fldCharType="end"/>
      </w:r>
      <w:r w:rsidR="00880776">
        <w:rPr>
          <w:rFonts w:ascii="Arial" w:hAnsi="Arial"/>
        </w:rPr>
        <w:t>.</w:t>
      </w:r>
      <w:r>
        <w:rPr>
          <w:rFonts w:ascii="Arial" w:hAnsi="Arial"/>
        </w:rPr>
        <w:t xml:space="preserve"> Collagen is secreted as triple helical structure consisting of two </w:t>
      </w:r>
      <w:r>
        <w:rPr>
          <w:rFonts w:ascii="Arial" w:hAnsi="Arial" w:cs="Arial"/>
        </w:rPr>
        <w:t>α</w:t>
      </w:r>
      <w:r>
        <w:rPr>
          <w:rFonts w:ascii="Arial" w:hAnsi="Arial"/>
        </w:rPr>
        <w:t xml:space="preserve">1 chains and a single </w:t>
      </w:r>
      <w:r>
        <w:rPr>
          <w:rFonts w:ascii="Arial" w:hAnsi="Arial" w:cs="Arial"/>
        </w:rPr>
        <w:t>α</w:t>
      </w:r>
      <w:r>
        <w:rPr>
          <w:rFonts w:ascii="Arial" w:hAnsi="Arial"/>
        </w:rPr>
        <w:t xml:space="preserve">2 chain, which then associate into fibrils and </w:t>
      </w:r>
      <w:r w:rsidR="007743F6">
        <w:rPr>
          <w:rFonts w:ascii="Arial" w:hAnsi="Arial"/>
        </w:rPr>
        <w:t>fibres</w:t>
      </w:r>
      <w:r>
        <w:rPr>
          <w:rFonts w:ascii="Arial" w:hAnsi="Arial"/>
        </w:rPr>
        <w:t xml:space="preserve"> </w:t>
      </w:r>
      <w:r w:rsidR="00610399">
        <w:rPr>
          <w:rFonts w:ascii="Arial" w:hAnsi="Arial"/>
        </w:rPr>
        <w:fldChar w:fldCharType="begin"/>
      </w:r>
      <w:r w:rsidR="0000415D">
        <w:rPr>
          <w:rFonts w:ascii="Arial" w:hAnsi="Arial"/>
        </w:rPr>
        <w:instrText xml:space="preserve"> ADDIN EN.CITE &lt;EndNote&gt;&lt;Cite&gt;&lt;Author&gt;Viguet-Carrin&lt;/Author&gt;&lt;Year&gt;2006&lt;/Year&gt;&lt;RecNum&gt;302&lt;/RecNum&gt;&lt;DisplayText&gt;(Viguet-Carrin et al., 2006)&lt;/DisplayText&gt;&lt;record&gt;&lt;rec-number&gt;302&lt;/rec-number&gt;&lt;foreign-keys&gt;&lt;key app="EN" db-id="ae9rewfrpdttrheppfxxv0p4950wpd25r09x" timestamp="1520658291"&gt;302&lt;/key&gt;&lt;/foreign-keys&gt;&lt;ref-type name="Journal Article"&gt;17&lt;/ref-type&gt;&lt;contributors&gt;&lt;authors&gt;&lt;author&gt;Viguet-Carrin, S.&lt;/author&gt;&lt;author&gt;Garnero, P.&lt;/author&gt;&lt;author&gt;Delmas, P.&lt;/author&gt;&lt;/authors&gt;&lt;/contributors&gt;&lt;titles&gt;&lt;title&gt;The role of collagen in bone strength&lt;/title&gt;&lt;secondary-title&gt;Osteoporosis Internationall&lt;/secondary-title&gt;&lt;/titles&gt;&lt;periodical&gt;&lt;full-title&gt;Osteoporosis Internationall&lt;/full-title&gt;&lt;/periodical&gt;&lt;pages&gt;319-336&lt;/pages&gt;&lt;volume&gt;17&lt;/volume&gt;&lt;number&gt;3&lt;/number&gt;&lt;keywords&gt;&lt;keyword&gt;Bone strength&lt;/keyword&gt;&lt;keyword&gt;Collagen&lt;/keyword&gt;&lt;keyword&gt;Crosslinks (posttranslational modifications of collagen)&lt;/keyword&gt;&lt;keyword&gt;Glycation (advanced glycation end products)&lt;/keyword&gt;&lt;keyword&gt;Isomerization&lt;/keyword&gt;&lt;keyword&gt;Osteoporosis&lt;/keyword&gt;&lt;/keywords&gt;&lt;dates&gt;&lt;year&gt;2006&lt;/year&gt;&lt;/dates&gt;&lt;pub-location&gt;London&lt;/pub-location&gt;&lt;isbn&gt;0937-941X&lt;/isbn&gt;&lt;urls&gt;&lt;/urls&gt;&lt;electronic-resource-num&gt;10.1007/s00198-005-2035-9&lt;/electronic-resource-num&gt;&lt;/record&gt;&lt;/Cite&gt;&lt;/EndNote&gt;</w:instrText>
      </w:r>
      <w:r w:rsidR="00610399">
        <w:rPr>
          <w:rFonts w:ascii="Arial" w:hAnsi="Arial"/>
        </w:rPr>
        <w:fldChar w:fldCharType="separate"/>
      </w:r>
      <w:r w:rsidR="00610399">
        <w:rPr>
          <w:rFonts w:ascii="Arial" w:hAnsi="Arial"/>
          <w:noProof/>
        </w:rPr>
        <w:t>(Viguet-Carrin et al., 2006)</w:t>
      </w:r>
      <w:r w:rsidR="00610399">
        <w:rPr>
          <w:rFonts w:ascii="Arial" w:hAnsi="Arial"/>
        </w:rPr>
        <w:fldChar w:fldCharType="end"/>
      </w:r>
      <w:r>
        <w:rPr>
          <w:rFonts w:ascii="Arial" w:hAnsi="Arial"/>
        </w:rPr>
        <w:t xml:space="preserve">. Post-translational modification of collagen fibrils includes formation of the covalent cross-links, which have major impact on the strength of collagen </w:t>
      </w:r>
      <w:r w:rsidR="007743F6">
        <w:rPr>
          <w:rFonts w:ascii="Arial" w:hAnsi="Arial"/>
        </w:rPr>
        <w:t>fibres</w:t>
      </w:r>
      <w:r>
        <w:rPr>
          <w:rFonts w:ascii="Arial" w:hAnsi="Arial"/>
        </w:rPr>
        <w:t xml:space="preserve"> </w:t>
      </w:r>
      <w:r w:rsidR="00FB70F7">
        <w:rPr>
          <w:rFonts w:ascii="Arial" w:hAnsi="Arial"/>
        </w:rPr>
        <w:fldChar w:fldCharType="begin"/>
      </w:r>
      <w:r w:rsidR="0000415D">
        <w:rPr>
          <w:rFonts w:ascii="Arial" w:hAnsi="Arial"/>
        </w:rPr>
        <w:instrText xml:space="preserve"> ADDIN EN.CITE &lt;EndNote&gt;&lt;Cite&gt;&lt;Author&gt;Saito&lt;/Author&gt;&lt;Year&gt;2010&lt;/Year&gt;&lt;RecNum&gt;303&lt;/RecNum&gt;&lt;DisplayText&gt;(Saito and Marumo, 2010)&lt;/DisplayText&gt;&lt;record&gt;&lt;rec-number&gt;303&lt;/rec-number&gt;&lt;foreign-keys&gt;&lt;key app="EN" db-id="ae9rewfrpdttrheppfxxv0p4950wpd25r09x" timestamp="1520658291"&gt;303&lt;/key&gt;&lt;/foreign-keys&gt;&lt;ref-type name="Journal Article"&gt;17&lt;/ref-type&gt;&lt;contributors&gt;&lt;authors&gt;&lt;author&gt;Saito, M.&lt;/author&gt;&lt;author&gt;Marumo, K.&lt;/author&gt;&lt;/authors&gt;&lt;/contributors&gt;&lt;titles&gt;&lt;title&gt;Collagen cross- links as a determinant of bone quality: a possible explanation for bone fragility in aging, osteoporosis, and diabetes mellitus&lt;/title&gt;&lt;secondary-title&gt;Osteoporosis Internationall&lt;/secondary-title&gt;&lt;/titles&gt;&lt;periodical&gt;&lt;full-title&gt;Osteoporosis Internationall&lt;/full-title&gt;&lt;/periodical&gt;&lt;pages&gt;195-214&lt;/pages&gt;&lt;volume&gt;21&lt;/volume&gt;&lt;number&gt;2&lt;/number&gt;&lt;keywords&gt;&lt;keyword&gt;Advanced glycation end products&lt;/keyword&gt;&lt;keyword&gt;Bone quality&lt;/keyword&gt;&lt;keyword&gt;Collagen&lt;/keyword&gt;&lt;keyword&gt;Cross- links&lt;/keyword&gt;&lt;keyword&gt;Diabetes&lt;/keyword&gt;&lt;keyword&gt;Osteoporosis&lt;/keyword&gt;&lt;/keywords&gt;&lt;dates&gt;&lt;year&gt;2010&lt;/year&gt;&lt;/dates&gt;&lt;pub-location&gt;London&lt;/pub-location&gt;&lt;isbn&gt;0937-941X&lt;/isbn&gt;&lt;urls&gt;&lt;/urls&gt;&lt;electronic-resource-num&gt;10.1007/s00198-009-1066-z&lt;/electronic-resource-num&gt;&lt;/record&gt;&lt;/Cite&gt;&lt;/EndNote&gt;</w:instrText>
      </w:r>
      <w:r w:rsidR="00FB70F7">
        <w:rPr>
          <w:rFonts w:ascii="Arial" w:hAnsi="Arial"/>
        </w:rPr>
        <w:fldChar w:fldCharType="separate"/>
      </w:r>
      <w:r w:rsidR="00FB70F7">
        <w:rPr>
          <w:rFonts w:ascii="Arial" w:hAnsi="Arial"/>
          <w:noProof/>
        </w:rPr>
        <w:t>(Saito and Marumo, 2010)</w:t>
      </w:r>
      <w:r w:rsidR="00FB70F7">
        <w:rPr>
          <w:rFonts w:ascii="Arial" w:hAnsi="Arial"/>
        </w:rPr>
        <w:fldChar w:fldCharType="end"/>
      </w:r>
      <w:r>
        <w:rPr>
          <w:rFonts w:ascii="Arial" w:hAnsi="Arial"/>
        </w:rPr>
        <w:t xml:space="preserve">. </w:t>
      </w:r>
    </w:p>
    <w:p w14:paraId="51D79AC1" w14:textId="77777777" w:rsidR="00E33A00" w:rsidRPr="00154C9F" w:rsidRDefault="007B76C3" w:rsidP="00E33A00">
      <w:pPr>
        <w:spacing w:line="480" w:lineRule="auto"/>
        <w:jc w:val="both"/>
        <w:rPr>
          <w:rFonts w:ascii="Arial" w:hAnsi="Arial" w:cs="Arial"/>
          <w:color w:val="000000" w:themeColor="text1"/>
        </w:rPr>
      </w:pPr>
      <w:r>
        <w:rPr>
          <w:rFonts w:ascii="Arial" w:hAnsi="Arial" w:cs="Arial"/>
          <w:color w:val="000000" w:themeColor="text1"/>
        </w:rPr>
        <w:lastRenderedPageBreak/>
        <w:t xml:space="preserve">At the sub-microstructure level two types of bone woven and lamellar can be identified. The woven bone is characterized with random orientation of collagen </w:t>
      </w:r>
      <w:r w:rsidR="007743F6">
        <w:rPr>
          <w:rFonts w:ascii="Arial" w:hAnsi="Arial" w:cs="Arial"/>
          <w:color w:val="000000" w:themeColor="text1"/>
        </w:rPr>
        <w:t>fibres</w:t>
      </w:r>
      <w:r>
        <w:rPr>
          <w:rFonts w:ascii="Arial" w:hAnsi="Arial" w:cs="Arial"/>
          <w:color w:val="000000" w:themeColor="text1"/>
        </w:rPr>
        <w:t>, which is mechanically weak, but is often formed qu</w:t>
      </w:r>
      <w:r w:rsidR="00154C9F">
        <w:rPr>
          <w:rFonts w:ascii="Arial" w:hAnsi="Arial" w:cs="Arial"/>
          <w:color w:val="000000" w:themeColor="text1"/>
        </w:rPr>
        <w:t xml:space="preserve">ickly as a temporary structure </w:t>
      </w:r>
      <w:r w:rsidR="00154C9F">
        <w:rPr>
          <w:rFonts w:ascii="Arial" w:hAnsi="Arial" w:cs="Arial"/>
          <w:color w:val="000000" w:themeColor="text1"/>
        </w:rPr>
        <w:fldChar w:fldCharType="begin"/>
      </w:r>
      <w:r w:rsidR="00A108A1">
        <w:rPr>
          <w:rFonts w:ascii="Arial" w:hAnsi="Arial" w:cs="Arial"/>
          <w:color w:val="000000" w:themeColor="text1"/>
        </w:rPr>
        <w:instrText xml:space="preserve"> ADDIN EN.CITE &lt;EndNote&gt;&lt;Cite&gt;&lt;Author&gt;Matsuzaki&lt;/Author&gt;&lt;Year&gt;2007&lt;/Year&gt;&lt;RecNum&gt;304&lt;/RecNum&gt;&lt;DisplayText&gt;(Matsuzaki et al., 2007)&lt;/DisplayText&gt;&lt;record&gt;&lt;rec-number&gt;304&lt;/rec-number&gt;&lt;foreign-keys&gt;&lt;key app="EN" db-id="ae9rewfrpdttrheppfxxv0p4950wpd25r09x" timestamp="1520658291"&gt;304&lt;/key&gt;&lt;/foreign-keys&gt;&lt;ref-type name="Journal Article"&gt;17&lt;/ref-type&gt;&lt;contributors&gt;&lt;authors&gt;&lt;author&gt;Matsuzaki, Hironori&lt;/author&gt;&lt;author&gt;Wohl, Gregory&lt;/author&gt;&lt;author&gt;Novack, Deborah&lt;/author&gt;&lt;author&gt;Lynch, Jennifer&lt;/author&gt;&lt;author&gt;Silva, Matthew&lt;/author&gt;&lt;/authors&gt;&lt;/contributors&gt;&lt;titles&gt;&lt;title&gt;Damaging Fatigue Loading Stimulates Increases in Periosteal Vascularity at Sites of Bone Formation in the Rat Ulna&lt;/title&gt;&lt;secondary-title&gt;Calcified Tissue International&lt;/secondary-title&gt;&lt;/titles&gt;&lt;periodical&gt;&lt;full-title&gt;Calcified Tissue International&lt;/full-title&gt;&lt;/periodical&gt;&lt;pages&gt;391-399&lt;/pages&gt;&lt;volume&gt;80&lt;/volume&gt;&lt;number&gt;6&lt;/number&gt;&lt;keywords&gt;&lt;keyword&gt;Fatigue loading&lt;/keyword&gt;&lt;keyword&gt;Periosteal vascularity&lt;/keyword&gt;&lt;keyword&gt;Bone formation&lt;/keyword&gt;&lt;keyword&gt;Rat&lt;/keyword&gt;&lt;keyword&gt;Ulna&lt;/keyword&gt;&lt;/keywords&gt;&lt;dates&gt;&lt;year&gt;2007&lt;/year&gt;&lt;/dates&gt;&lt;pub-location&gt;New York&lt;/pub-location&gt;&lt;isbn&gt;0171-967X&lt;/isbn&gt;&lt;urls&gt;&lt;/urls&gt;&lt;electronic-resource-num&gt;10.1007/s00223-007-9031-3&lt;/electronic-resource-num&gt;&lt;/record&gt;&lt;/Cite&gt;&lt;/EndNote&gt;</w:instrText>
      </w:r>
      <w:r w:rsidR="00154C9F">
        <w:rPr>
          <w:rFonts w:ascii="Arial" w:hAnsi="Arial" w:cs="Arial"/>
          <w:color w:val="000000" w:themeColor="text1"/>
        </w:rPr>
        <w:fldChar w:fldCharType="separate"/>
      </w:r>
      <w:r w:rsidR="00154C9F">
        <w:rPr>
          <w:rFonts w:ascii="Arial" w:hAnsi="Arial" w:cs="Arial"/>
          <w:noProof/>
          <w:color w:val="000000" w:themeColor="text1"/>
        </w:rPr>
        <w:t>(Matsuzaki et al., 2007)</w:t>
      </w:r>
      <w:r w:rsidR="00154C9F">
        <w:rPr>
          <w:rFonts w:ascii="Arial" w:hAnsi="Arial" w:cs="Arial"/>
          <w:color w:val="000000" w:themeColor="text1"/>
        </w:rPr>
        <w:fldChar w:fldCharType="end"/>
      </w:r>
      <w:r w:rsidR="005F398C">
        <w:rPr>
          <w:rFonts w:ascii="Arial" w:hAnsi="Arial" w:cs="Arial"/>
          <w:color w:val="000000" w:themeColor="text1"/>
        </w:rPr>
        <w:fldChar w:fldCharType="begin"/>
      </w:r>
      <w:r w:rsidR="005F398C">
        <w:rPr>
          <w:rFonts w:ascii="Arial" w:hAnsi="Arial" w:cs="Arial"/>
          <w:color w:val="000000" w:themeColor="text1"/>
        </w:rPr>
        <w:fldChar w:fldCharType="separate"/>
      </w:r>
      <w:r w:rsidR="005F398C">
        <w:rPr>
          <w:rFonts w:ascii="Arial" w:hAnsi="Arial" w:cs="Arial"/>
          <w:color w:val="000000" w:themeColor="text1"/>
        </w:rPr>
        <w:t>{Mosekilde, 2000 #113}</w:t>
      </w:r>
      <w:r w:rsidR="005F398C">
        <w:rPr>
          <w:rFonts w:ascii="Arial" w:hAnsi="Arial" w:cs="Arial"/>
          <w:color w:val="000000" w:themeColor="text1"/>
        </w:rPr>
        <w:fldChar w:fldCharType="end"/>
      </w:r>
      <w:r>
        <w:rPr>
          <w:rFonts w:ascii="Arial" w:hAnsi="Arial" w:cs="Arial"/>
          <w:color w:val="000000" w:themeColor="text1"/>
        </w:rPr>
        <w:t xml:space="preserve">. In contrast, lamellar bone has regular parallel alignment of collagen </w:t>
      </w:r>
      <w:r w:rsidR="007743F6">
        <w:rPr>
          <w:rFonts w:ascii="Arial" w:hAnsi="Arial" w:cs="Arial"/>
          <w:color w:val="000000" w:themeColor="text1"/>
        </w:rPr>
        <w:t>fibres</w:t>
      </w:r>
      <w:r>
        <w:rPr>
          <w:rFonts w:ascii="Arial" w:hAnsi="Arial" w:cs="Arial"/>
          <w:color w:val="000000" w:themeColor="text1"/>
        </w:rPr>
        <w:t xml:space="preserve"> forming uniform concentric sheets of lamellae (osteons), which are mechanically stronger than woven bone </w:t>
      </w:r>
      <w:r w:rsidR="00A257B7">
        <w:rPr>
          <w:rFonts w:ascii="Arial" w:hAnsi="Arial" w:cs="Arial"/>
          <w:color w:val="000000" w:themeColor="text1"/>
        </w:rPr>
        <w:fldChar w:fldCharType="begin"/>
      </w:r>
      <w:r w:rsidR="00A108A1">
        <w:rPr>
          <w:rFonts w:ascii="Arial" w:hAnsi="Arial" w:cs="Arial"/>
          <w:color w:val="000000" w:themeColor="text1"/>
        </w:rPr>
        <w:instrText xml:space="preserve"> ADDIN EN.CITE &lt;EndNote&gt;&lt;Cite&gt;&lt;Author&gt;Martinez&lt;/Author&gt;&lt;Year&gt;2010&lt;/Year&gt;&lt;RecNum&gt;305&lt;/RecNum&gt;&lt;DisplayText&gt;(Martinez et al., 2010)&lt;/DisplayText&gt;&lt;record&gt;&lt;rec-number&gt;305&lt;/rec-number&gt;&lt;foreign-keys&gt;&lt;key app="EN" db-id="ae9rewfrpdttrheppfxxv0p4950wpd25r09x" timestamp="1520658291"&gt;305&lt;/key&gt;&lt;/foreign-keys&gt;&lt;ref-type name="Journal Article"&gt;17&lt;/ref-type&gt;&lt;contributors&gt;&lt;authors&gt;&lt;author&gt;Martinez, Mario D.&lt;/author&gt;&lt;author&gt;Schmid, Gregory J.&lt;/author&gt;&lt;author&gt;McKenzie, Jennifer A.&lt;/author&gt;&lt;author&gt;Ornitz, David M.&lt;/author&gt;&lt;author&gt;Silva, Matthew J.&lt;/author&gt;&lt;/authors&gt;&lt;/contributors&gt;&lt;titles&gt;&lt;title&gt;Healing of non- displaced fractures produced by fatigue loading of the mouse ulna&lt;/title&gt;&lt;secondary-title&gt;Bone&lt;/secondary-title&gt;&lt;/titles&gt;&lt;periodical&gt;&lt;full-title&gt;Bone&lt;/full-title&gt;&lt;/periodical&gt;&lt;pages&gt;1604-1612&lt;/pages&gt;&lt;volume&gt;46&lt;/volume&gt;&lt;number&gt;6&lt;/number&gt;&lt;keywords&gt;&lt;keyword&gt;Fracture Healing&lt;/keyword&gt;&lt;keyword&gt;Fatigue Loading&lt;/keyword&gt;&lt;keyword&gt;Mouse Ulna&lt;/keyword&gt;&lt;keyword&gt;Fgf Signaling&lt;/keyword&gt;&lt;keyword&gt;Woven Bone&lt;/keyword&gt;&lt;keyword&gt;Hypoxia&lt;/keyword&gt;&lt;/keywords&gt;&lt;dates&gt;&lt;year&gt;2010&lt;/year&gt;&lt;/dates&gt;&lt;isbn&gt;8756-3282&lt;/isbn&gt;&lt;urls&gt;&lt;/urls&gt;&lt;electronic-resource-num&gt;10.1016/j.bone.2010.02.030&lt;/electronic-resource-num&gt;&lt;/record&gt;&lt;/Cite&gt;&lt;/EndNote&gt;</w:instrText>
      </w:r>
      <w:r w:rsidR="00A257B7">
        <w:rPr>
          <w:rFonts w:ascii="Arial" w:hAnsi="Arial" w:cs="Arial"/>
          <w:color w:val="000000" w:themeColor="text1"/>
        </w:rPr>
        <w:fldChar w:fldCharType="separate"/>
      </w:r>
      <w:r w:rsidR="00A257B7">
        <w:rPr>
          <w:rFonts w:ascii="Arial" w:hAnsi="Arial" w:cs="Arial"/>
          <w:noProof/>
          <w:color w:val="000000" w:themeColor="text1"/>
        </w:rPr>
        <w:t>(Martinez et al., 2010)</w:t>
      </w:r>
      <w:r w:rsidR="00A257B7">
        <w:rPr>
          <w:rFonts w:ascii="Arial" w:hAnsi="Arial" w:cs="Arial"/>
          <w:color w:val="000000" w:themeColor="text1"/>
        </w:rPr>
        <w:fldChar w:fldCharType="end"/>
      </w:r>
      <w:r>
        <w:rPr>
          <w:rFonts w:ascii="Arial" w:hAnsi="Arial" w:cs="Arial"/>
          <w:color w:val="000000" w:themeColor="text1"/>
        </w:rPr>
        <w:t xml:space="preserve">. </w:t>
      </w:r>
      <w:r>
        <w:rPr>
          <w:rFonts w:ascii="Arial" w:hAnsi="Arial"/>
        </w:rPr>
        <w:t>The relative composition of bone varies depending on health, disease, tissue site and age. The integrity of collagen network, bone mineral density and associated bone strength decline with ageing</w:t>
      </w:r>
      <w:r w:rsidR="00B761FE">
        <w:rPr>
          <w:rFonts w:ascii="Arial" w:hAnsi="Arial"/>
        </w:rPr>
        <w:t xml:space="preserve"> </w:t>
      </w:r>
      <w:r w:rsidR="00B761FE">
        <w:rPr>
          <w:rFonts w:ascii="Arial" w:hAnsi="Arial"/>
        </w:rPr>
        <w:fldChar w:fldCharType="begin">
          <w:fldData xml:space="preserve">PEVuZE5vdGU+PENpdGU+PEF1dGhvcj5Mb3VpczwvQXV0aG9yPjxZZWFyPjE5OTU8L1llYXI+PFJl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</w:fldData>
        </w:fldChar>
      </w:r>
      <w:r w:rsidR="00A108A1">
        <w:rPr>
          <w:rFonts w:ascii="Arial" w:hAnsi="Arial"/>
        </w:rPr>
        <w:instrText xml:space="preserve"> ADDIN EN.CITE </w:instrText>
      </w:r>
      <w:r w:rsidR="00A108A1">
        <w:rPr>
          <w:rFonts w:ascii="Arial" w:hAnsi="Arial"/>
        </w:rPr>
        <w:fldChar w:fldCharType="begin">
          <w:fldData xml:space="preserve">PEVuZE5vdGU+PENpdGU+PEF1dGhvcj5Mb3VpczwvQXV0aG9yPjxZZWFyPjE5OTU8L1llYXI+PFJl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</w:fldData>
        </w:fldChar>
      </w:r>
      <w:r w:rsidR="00A108A1">
        <w:rPr>
          <w:rFonts w:ascii="Arial" w:hAnsi="Arial"/>
        </w:rPr>
        <w:instrText xml:space="preserve"> ADDIN EN.CITE.DATA </w:instrText>
      </w:r>
      <w:r w:rsidR="00A108A1">
        <w:rPr>
          <w:rFonts w:ascii="Arial" w:hAnsi="Arial"/>
        </w:rPr>
      </w:r>
      <w:r w:rsidR="00A108A1">
        <w:rPr>
          <w:rFonts w:ascii="Arial" w:hAnsi="Arial"/>
        </w:rPr>
        <w:fldChar w:fldCharType="end"/>
      </w:r>
      <w:r w:rsidR="00B761FE">
        <w:rPr>
          <w:rFonts w:ascii="Arial" w:hAnsi="Arial"/>
        </w:rPr>
      </w:r>
      <w:r w:rsidR="00B761FE">
        <w:rPr>
          <w:rFonts w:ascii="Arial" w:hAnsi="Arial"/>
        </w:rPr>
        <w:fldChar w:fldCharType="separate"/>
      </w:r>
      <w:r w:rsidR="00B761FE">
        <w:rPr>
          <w:rFonts w:ascii="Arial" w:hAnsi="Arial"/>
          <w:noProof/>
        </w:rPr>
        <w:t>(Louis et al., 1995, Wang et al., 2002)</w:t>
      </w:r>
      <w:r w:rsidR="00B761FE">
        <w:rPr>
          <w:rFonts w:ascii="Arial" w:hAnsi="Arial"/>
        </w:rPr>
        <w:fldChar w:fldCharType="end"/>
      </w:r>
      <w:r w:rsidR="00B761FE">
        <w:rPr>
          <w:rFonts w:ascii="Arial" w:hAnsi="Arial"/>
        </w:rPr>
        <w:t>.</w:t>
      </w:r>
    </w:p>
    <w:p w14:paraId="5758B302" w14:textId="77777777" w:rsidR="007B76C3" w:rsidRDefault="004527B6" w:rsidP="00E33A00">
      <w:pPr>
        <w:pStyle w:val="Heading3"/>
        <w:spacing w:line="480" w:lineRule="auto"/>
        <w:jc w:val="both"/>
        <w:rPr>
          <w:rFonts w:ascii="Arial" w:hAnsi="Arial" w:cs="Arial"/>
          <w:color w:val="auto"/>
        </w:rPr>
      </w:pPr>
      <w:bookmarkStart w:id="16" w:name="_Toc383723844"/>
      <w:r>
        <w:rPr>
          <w:rFonts w:ascii="Arial" w:hAnsi="Arial" w:cs="Arial"/>
          <w:color w:val="auto"/>
        </w:rPr>
        <w:t xml:space="preserve">1.1.2 Bone cells and </w:t>
      </w:r>
      <w:r w:rsidR="00E33A00">
        <w:rPr>
          <w:rFonts w:ascii="Arial" w:hAnsi="Arial" w:cs="Arial"/>
          <w:color w:val="auto"/>
        </w:rPr>
        <w:t>remodelling</w:t>
      </w:r>
      <w:bookmarkEnd w:id="16"/>
    </w:p>
    <w:p w14:paraId="00D825DA" w14:textId="77777777" w:rsidR="00D37549" w:rsidRPr="00D37549" w:rsidRDefault="007B76C3" w:rsidP="00D37549">
      <w:pPr>
        <w:spacing w:line="480" w:lineRule="auto"/>
        <w:jc w:val="both"/>
        <w:rPr>
          <w:rFonts w:ascii="Arial" w:hAnsi="Arial"/>
        </w:rPr>
      </w:pPr>
      <w:r w:rsidRPr="008753A7">
        <w:rPr>
          <w:rFonts w:ascii="Arial" w:hAnsi="Arial"/>
        </w:rPr>
        <w:t>Bone is a dynamic tissue</w:t>
      </w:r>
      <w:r>
        <w:rPr>
          <w:rFonts w:ascii="Arial" w:hAnsi="Arial"/>
        </w:rPr>
        <w:t xml:space="preserve"> and its </w:t>
      </w:r>
      <w:r w:rsidRPr="008753A7">
        <w:rPr>
          <w:rFonts w:ascii="Arial" w:hAnsi="Arial"/>
        </w:rPr>
        <w:t>deposition</w:t>
      </w:r>
      <w:r>
        <w:rPr>
          <w:rFonts w:ascii="Arial" w:hAnsi="Arial"/>
        </w:rPr>
        <w:t xml:space="preserve">, maintenance </w:t>
      </w:r>
      <w:r w:rsidRPr="008753A7">
        <w:rPr>
          <w:rFonts w:ascii="Arial" w:hAnsi="Arial"/>
        </w:rPr>
        <w:t xml:space="preserve">and repair are the result of </w:t>
      </w:r>
      <w:r>
        <w:rPr>
          <w:rFonts w:ascii="Arial" w:hAnsi="Arial"/>
        </w:rPr>
        <w:t xml:space="preserve">coordinated cellular processes. In humans and animals during normal skeletal growth, generation and maintenance of bone shape and size depend on the bone </w:t>
      </w:r>
      <w:r w:rsidR="00666A56">
        <w:rPr>
          <w:rFonts w:ascii="Arial" w:hAnsi="Arial"/>
        </w:rPr>
        <w:t>modelling</w:t>
      </w:r>
      <w:r>
        <w:rPr>
          <w:rFonts w:ascii="Arial" w:hAnsi="Arial"/>
        </w:rPr>
        <w:t>. During this process, bone is formed at sites that have not undergone prior resorption resulting in an increase of bone mass, ch</w:t>
      </w:r>
      <w:r w:rsidR="00835CB4">
        <w:rPr>
          <w:rFonts w:ascii="Arial" w:hAnsi="Arial"/>
        </w:rPr>
        <w:t xml:space="preserve">ange in the bone shape and </w:t>
      </w:r>
      <w:r>
        <w:rPr>
          <w:rFonts w:ascii="Arial" w:hAnsi="Arial"/>
        </w:rPr>
        <w:t>architecture. I</w:t>
      </w:r>
      <w:r w:rsidRPr="009520C8">
        <w:rPr>
          <w:rFonts w:ascii="Arial" w:hAnsi="Arial"/>
        </w:rPr>
        <w:t xml:space="preserve">n </w:t>
      </w:r>
      <w:r>
        <w:rPr>
          <w:rFonts w:ascii="Arial" w:hAnsi="Arial"/>
        </w:rPr>
        <w:t xml:space="preserve">an </w:t>
      </w:r>
      <w:r w:rsidRPr="009520C8">
        <w:rPr>
          <w:rFonts w:ascii="Arial" w:hAnsi="Arial"/>
        </w:rPr>
        <w:t xml:space="preserve">adult skeleton coordinated actions of bone cells remove and replace the bone by process </w:t>
      </w:r>
      <w:r>
        <w:rPr>
          <w:rFonts w:ascii="Arial" w:hAnsi="Arial"/>
        </w:rPr>
        <w:t>called</w:t>
      </w:r>
      <w:r w:rsidRPr="009520C8">
        <w:rPr>
          <w:rFonts w:ascii="Arial" w:hAnsi="Arial"/>
        </w:rPr>
        <w:t xml:space="preserve"> bone </w:t>
      </w:r>
      <w:r w:rsidR="00666A56" w:rsidRPr="009520C8">
        <w:rPr>
          <w:rFonts w:ascii="Arial" w:hAnsi="Arial"/>
        </w:rPr>
        <w:t>remodelling</w:t>
      </w:r>
      <w:r w:rsidRPr="009520C8">
        <w:rPr>
          <w:rFonts w:ascii="Arial" w:hAnsi="Arial"/>
        </w:rPr>
        <w:t xml:space="preserve"> or bone turnover</w:t>
      </w:r>
      <w:r>
        <w:rPr>
          <w:rFonts w:ascii="Arial" w:hAnsi="Arial"/>
        </w:rPr>
        <w:t>, which</w:t>
      </w:r>
      <w:r w:rsidRPr="009520C8">
        <w:rPr>
          <w:rFonts w:ascii="Arial" w:hAnsi="Arial"/>
        </w:rPr>
        <w:t xml:space="preserve"> is important f</w:t>
      </w:r>
      <w:r>
        <w:rPr>
          <w:rFonts w:ascii="Arial" w:hAnsi="Arial"/>
        </w:rPr>
        <w:t>or maintaining bone homeostasis and prevents the accumulation of microdamage over the time. It is estimated that b</w:t>
      </w:r>
      <w:r w:rsidRPr="009520C8">
        <w:rPr>
          <w:rFonts w:ascii="Arial" w:hAnsi="Arial"/>
        </w:rPr>
        <w:t xml:space="preserve">one </w:t>
      </w:r>
      <w:r w:rsidR="00666A56" w:rsidRPr="009520C8">
        <w:rPr>
          <w:rFonts w:ascii="Arial" w:hAnsi="Arial"/>
        </w:rPr>
        <w:t>remodelling</w:t>
      </w:r>
      <w:r w:rsidRPr="009520C8">
        <w:rPr>
          <w:rFonts w:ascii="Arial" w:hAnsi="Arial"/>
        </w:rPr>
        <w:t xml:space="preserve"> replaces around </w:t>
      </w:r>
      <w:r>
        <w:rPr>
          <w:rFonts w:ascii="Arial" w:hAnsi="Arial"/>
        </w:rPr>
        <w:t>5-10% of the skeleton every year</w:t>
      </w:r>
      <w:r w:rsidRPr="009520C8">
        <w:rPr>
          <w:rFonts w:ascii="Arial" w:hAnsi="Arial"/>
        </w:rPr>
        <w:t xml:space="preserve"> </w:t>
      </w:r>
      <w:r w:rsidRPr="009520C8">
        <w:rPr>
          <w:rFonts w:ascii="Arial" w:hAnsi="Arial"/>
        </w:rPr>
        <w:fldChar w:fldCharType="begin">
          <w:fldData xml:space="preserve">PEVuZE5vdGU+PENpdGU+PEF1dGhvcj5NYW5vbGFnYXM8L0F1dGhvcj48WWVhcj4yMDAwPC9ZZWFy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</w:fldData>
        </w:fldChar>
      </w:r>
      <w:r w:rsidR="0000415D">
        <w:rPr>
          <w:rFonts w:ascii="Arial" w:hAnsi="Arial"/>
        </w:rPr>
        <w:instrText xml:space="preserve"> ADDIN EN.CITE </w:instrText>
      </w:r>
      <w:r w:rsidR="0000415D">
        <w:rPr>
          <w:rFonts w:ascii="Arial" w:hAnsi="Arial"/>
        </w:rPr>
        <w:fldChar w:fldCharType="begin">
          <w:fldData xml:space="preserve">PEVuZE5vdGU+PENpdGU+PEF1dGhvcj5NYW5vbGFnYXM8L0F1dGhvcj48WWVhcj4yMDAwPC9ZZWFy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Pr="009520C8">
        <w:rPr>
          <w:rFonts w:ascii="Arial" w:hAnsi="Arial"/>
        </w:rPr>
      </w:r>
      <w:r w:rsidRPr="009520C8">
        <w:rPr>
          <w:rFonts w:ascii="Arial" w:hAnsi="Arial"/>
        </w:rPr>
        <w:fldChar w:fldCharType="separate"/>
      </w:r>
      <w:r>
        <w:rPr>
          <w:rFonts w:ascii="Arial" w:hAnsi="Arial"/>
          <w:noProof/>
        </w:rPr>
        <w:t>(Manolagas, 2000, Hadjidakis and Androulakis, 2006)</w:t>
      </w:r>
      <w:r w:rsidRPr="009520C8">
        <w:rPr>
          <w:rFonts w:ascii="Arial" w:hAnsi="Arial"/>
        </w:rPr>
        <w:fldChar w:fldCharType="end"/>
      </w:r>
      <w:r w:rsidRPr="009520C8">
        <w:rPr>
          <w:rFonts w:ascii="Arial" w:hAnsi="Arial"/>
        </w:rPr>
        <w:t>.</w:t>
      </w:r>
      <w:r>
        <w:rPr>
          <w:rFonts w:ascii="Arial" w:hAnsi="Arial"/>
        </w:rPr>
        <w:t xml:space="preserve"> During this process, old and damaged bone is resorbed by multinucleated cells (osteoclasts) followed by the intermediate reversal phase, in which osteoclastic resorption ceases and osteoblasts are recruited, and finally formation, where new bone is </w:t>
      </w:r>
      <w:r w:rsidR="00161FEA">
        <w:rPr>
          <w:rFonts w:ascii="Arial" w:hAnsi="Arial"/>
        </w:rPr>
        <w:t xml:space="preserve">formed by osteoblasts, Figure </w:t>
      </w:r>
      <w:r>
        <w:rPr>
          <w:rFonts w:ascii="Arial" w:hAnsi="Arial"/>
        </w:rPr>
        <w:t xml:space="preserve">6 </w:t>
      </w:r>
      <w:r>
        <w:rPr>
          <w:rFonts w:ascii="Arial" w:hAnsi="Arial"/>
        </w:rPr>
        <w:fldChar w:fldCharType="begin"/>
      </w:r>
      <w:r w:rsidR="0000415D">
        <w:rPr>
          <w:rFonts w:ascii="Arial" w:hAnsi="Arial"/>
        </w:rPr>
        <w:instrText xml:space="preserve"> ADDIN EN.CITE &lt;EndNote&gt;&lt;Cite&gt;&lt;Author&gt;Tran Van&lt;/Author&gt;&lt;Year&gt;1982&lt;/Year&gt;&lt;RecNum&gt;194&lt;/RecNum&gt;&lt;DisplayText&gt;(Tran Van et al., 1982)&lt;/DisplayText&gt;&lt;record&gt;&lt;rec-number&gt;194&lt;/rec-number&gt;&lt;foreign-keys&gt;&lt;key app="EN" db-id="ae9rewfrpdttrheppfxxv0p4950wpd25r09x" timestamp="1520658058"&gt;194&lt;/key&gt;&lt;key app="ENWeb" db-id=""&gt;0&lt;/key&gt;&lt;/foreign-keys&gt;&lt;ref-type name="Journal Article"&gt;17&lt;/ref-type&gt;&lt;contributors&gt;&lt;authors&gt;&lt;author&gt;Tran Van, P. T.&lt;/author&gt;&lt;author&gt;Vignery, A.&lt;/author&gt;&lt;author&gt;Baron, R.&lt;/author&gt;&lt;/authors&gt;&lt;/contributors&gt;&lt;titles&gt;&lt;title&gt;Cellular kinetics of the bone remodeling sequence in the rat&lt;/title&gt;&lt;secondary-title&gt;The Anatomical Record&lt;/secondary-title&gt;&lt;/titles&gt;&lt;periodical&gt;&lt;full-title&gt;The Anatomical record&lt;/full-title&gt;&lt;/periodical&gt;&lt;pages&gt;445-51&lt;/pages&gt;&lt;volume&gt;202&lt;/volume&gt;&lt;number&gt;4&lt;/number&gt;&lt;keywords&gt;&lt;keyword&gt;Animals. Bone and Bones / *cytology. *Bone Development. Bone Matrix / physiology. Kinetics. Male. Mandible / physiology. Osteoclasts / physiology. Rats. Rats, Inbred Strains. Time Factors&lt;/keyword&gt;&lt;keyword&gt;Index Medicus&lt;/keyword&gt;&lt;keyword&gt;Space Life Science&lt;/keyword&gt;&lt;keyword&gt;Physiology&lt;/keyword&gt;&lt;keyword&gt;Anatomy &amp;amp; Morphology&lt;/keyword&gt;&lt;keyword&gt;Dentistry, Oral Surgery &amp;amp; Medicine&lt;/keyword&gt;&lt;keyword&gt;Hematology (provided by Thomson Reuters)&lt;/keyword&gt;&lt;/keywords&gt;&lt;dates&gt;&lt;year&gt;1982&lt;/year&gt;&lt;pub-dates&gt;&lt;date&gt;1982&lt;/date&gt;&lt;/pub-dates&gt;&lt;/dates&gt;&lt;isbn&gt;0003-276X&lt;/isbn&gt;&lt;accession-num&gt;MEDLINE:7072987&lt;/accession-num&gt;&lt;work-type&gt;Comparative Study; ; Research Support, U.S. Gov&amp;apos;t, P.H.S.&lt;/work-type&gt;&lt;urls&gt;&lt;related-urls&gt;&lt;url&gt;&amp;lt;Go to ISI&amp;gt;://MEDLINE:7072987&lt;/url&gt;&lt;/related-urls&gt;&lt;/urls&gt;&lt;language&gt;English&lt;/language&gt;&lt;/record&gt;&lt;/Cite&gt;&lt;/EndNote&gt;</w:instrText>
      </w:r>
      <w:r>
        <w:rPr>
          <w:rFonts w:ascii="Arial" w:hAnsi="Arial"/>
        </w:rPr>
        <w:fldChar w:fldCharType="separate"/>
      </w:r>
      <w:r w:rsidR="001F153E">
        <w:rPr>
          <w:rFonts w:ascii="Arial" w:hAnsi="Arial"/>
          <w:noProof/>
        </w:rPr>
        <w:t>(Tran Van et al., 1982)</w:t>
      </w:r>
      <w:r>
        <w:rPr>
          <w:rFonts w:ascii="Arial" w:hAnsi="Arial"/>
        </w:rPr>
        <w:fldChar w:fldCharType="end"/>
      </w:r>
      <w:r>
        <w:rPr>
          <w:rFonts w:ascii="Arial" w:hAnsi="Arial"/>
        </w:rPr>
        <w:t>. The osteoclasts and osteoblasts clustered to fo</w:t>
      </w:r>
      <w:r w:rsidR="0056026E">
        <w:rPr>
          <w:rFonts w:ascii="Arial" w:hAnsi="Arial"/>
        </w:rPr>
        <w:t>rm basic multicellular units (BM</w:t>
      </w:r>
      <w:r>
        <w:rPr>
          <w:rFonts w:ascii="Arial" w:hAnsi="Arial"/>
        </w:rPr>
        <w:t xml:space="preserve">U), which with a wide range of cell types and control mechanisms contribute to coupling bone resorption and formation activities </w:t>
      </w:r>
      <w:r w:rsidR="00FD143C">
        <w:rPr>
          <w:rFonts w:ascii="Arial" w:hAnsi="Arial"/>
        </w:rPr>
        <w:fldChar w:fldCharType="begin">
          <w:fldData xml:space="preserve">PEVuZE5vdGU+PENpdGU+PEF1dGhvcj5Fcmlrc2VuPC9BdXRob3I+PFllYXI+MjAxMDwvWWVhcj48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</w:fldData>
        </w:fldChar>
      </w:r>
      <w:r w:rsidR="0000415D">
        <w:rPr>
          <w:rFonts w:ascii="Arial" w:hAnsi="Arial"/>
        </w:rPr>
        <w:instrText xml:space="preserve"> ADDIN EN.CITE </w:instrText>
      </w:r>
      <w:r w:rsidR="0000415D">
        <w:rPr>
          <w:rFonts w:ascii="Arial" w:hAnsi="Arial"/>
        </w:rPr>
        <w:fldChar w:fldCharType="begin">
          <w:fldData xml:space="preserve">PEVuZE5vdGU+PENpdGU+PEF1dGhvcj5Fcmlrc2VuPC9BdXRob3I+PFllYXI+MjAxMDwvWWVhcj48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00FD143C">
        <w:rPr>
          <w:rFonts w:ascii="Arial" w:hAnsi="Arial"/>
        </w:rPr>
      </w:r>
      <w:r w:rsidR="00FD143C">
        <w:rPr>
          <w:rFonts w:ascii="Arial" w:hAnsi="Arial"/>
        </w:rPr>
        <w:fldChar w:fldCharType="separate"/>
      </w:r>
      <w:r w:rsidR="00A2423E">
        <w:rPr>
          <w:rFonts w:ascii="Arial" w:hAnsi="Arial"/>
          <w:noProof/>
        </w:rPr>
        <w:t>(Eriksen, 2010, Sims and Martin, 2014)</w:t>
      </w:r>
      <w:r w:rsidR="00FD143C">
        <w:rPr>
          <w:rFonts w:ascii="Arial" w:hAnsi="Arial"/>
        </w:rPr>
        <w:fldChar w:fldCharType="end"/>
      </w:r>
      <w:r w:rsidR="00A2423E">
        <w:rPr>
          <w:rFonts w:ascii="Arial" w:hAnsi="Arial"/>
        </w:rPr>
        <w:t>.</w:t>
      </w:r>
    </w:p>
    <w:p w14:paraId="7F30D2AA" w14:textId="77777777" w:rsidR="00D37549" w:rsidRDefault="00D37549" w:rsidP="00D37549">
      <w:pPr>
        <w:spacing w:line="360" w:lineRule="auto"/>
        <w:jc w:val="both"/>
        <w:rPr>
          <w:noProof/>
          <w:lang w:val="en-US"/>
        </w:rPr>
      </w:pPr>
    </w:p>
    <w:p w14:paraId="0F0EC5FD" w14:textId="77777777" w:rsidR="00D37549" w:rsidRDefault="00D37549" w:rsidP="00D37549">
      <w:pPr>
        <w:keepNext/>
        <w:spacing w:line="360" w:lineRule="auto"/>
        <w:jc w:val="both"/>
      </w:pPr>
      <w:r w:rsidRPr="00D37549">
        <w:rPr>
          <w:noProof/>
          <w:lang w:val="en-US"/>
        </w:rPr>
        <w:drawing>
          <wp:inline distT="0" distB="0" distL="0" distR="0" wp14:anchorId="2E056FCC" wp14:editId="219EBD3A">
            <wp:extent cx="6116320" cy="3241169"/>
            <wp:effectExtent l="0" t="0" r="5080" b="10160"/>
            <wp:docPr id="2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16320" cy="3241169"/>
                    </a:xfrm>
                    <a:prstGeom prst="rect">
                      <a:avLst/>
                    </a:prstGeom>
                    <a:noFill/>
                    <a:ln>
                      <a:noFill/>
                    </a:ln>
                  </pic:spPr>
                </pic:pic>
              </a:graphicData>
            </a:graphic>
          </wp:inline>
        </w:drawing>
      </w:r>
    </w:p>
    <w:p w14:paraId="44CE2E16" w14:textId="77777777" w:rsidR="00D37549" w:rsidRDefault="00D37549" w:rsidP="00D37549">
      <w:pPr>
        <w:pStyle w:val="Caption"/>
        <w:jc w:val="both"/>
      </w:pPr>
    </w:p>
    <w:p w14:paraId="34CADE28" w14:textId="77777777" w:rsidR="00D37549" w:rsidRPr="00D37549" w:rsidRDefault="00D37549" w:rsidP="00D37549">
      <w:pPr>
        <w:pStyle w:val="Caption"/>
        <w:jc w:val="both"/>
        <w:rPr>
          <w:rFonts w:ascii="Arial" w:hAnsi="Arial" w:cs="Arial"/>
          <w:color w:val="244061" w:themeColor="accent1" w:themeShade="80"/>
          <w:sz w:val="24"/>
          <w:szCs w:val="24"/>
        </w:rPr>
      </w:pPr>
      <w:bookmarkStart w:id="17" w:name="_Toc383544597"/>
      <w:r w:rsidRPr="00D37549">
        <w:rPr>
          <w:rFonts w:ascii="Arial" w:hAnsi="Arial" w:cs="Arial"/>
          <w:color w:val="244061" w:themeColor="accent1" w:themeShade="80"/>
          <w:sz w:val="24"/>
          <w:szCs w:val="24"/>
        </w:rPr>
        <w:t xml:space="preserve">Figure </w:t>
      </w:r>
      <w:r w:rsidRPr="00D37549">
        <w:rPr>
          <w:rFonts w:ascii="Arial" w:hAnsi="Arial" w:cs="Arial"/>
          <w:color w:val="244061" w:themeColor="accent1" w:themeShade="80"/>
          <w:sz w:val="24"/>
          <w:szCs w:val="24"/>
        </w:rPr>
        <w:fldChar w:fldCharType="begin"/>
      </w:r>
      <w:r w:rsidRPr="00D37549">
        <w:rPr>
          <w:rFonts w:ascii="Arial" w:hAnsi="Arial" w:cs="Arial"/>
          <w:color w:val="244061" w:themeColor="accent1" w:themeShade="80"/>
          <w:sz w:val="24"/>
          <w:szCs w:val="24"/>
        </w:rPr>
        <w:instrText xml:space="preserve"> SEQ Figure \* ARABIC </w:instrText>
      </w:r>
      <w:r w:rsidRPr="00D37549">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6</w:t>
      </w:r>
      <w:r w:rsidRPr="00D37549">
        <w:rPr>
          <w:rFonts w:ascii="Arial" w:hAnsi="Arial" w:cs="Arial"/>
          <w:color w:val="244061" w:themeColor="accent1" w:themeShade="80"/>
          <w:sz w:val="24"/>
          <w:szCs w:val="24"/>
        </w:rPr>
        <w:fldChar w:fldCharType="end"/>
      </w:r>
      <w:r w:rsidRPr="00D37549">
        <w:rPr>
          <w:rFonts w:ascii="Arial" w:hAnsi="Arial" w:cs="Arial"/>
          <w:color w:val="244061" w:themeColor="accent1" w:themeShade="80"/>
          <w:sz w:val="24"/>
          <w:szCs w:val="24"/>
        </w:rPr>
        <w:t xml:space="preserve"> Schematic representation of bone remodelling</w:t>
      </w:r>
      <w:bookmarkEnd w:id="17"/>
    </w:p>
    <w:p w14:paraId="65B9680A" w14:textId="77777777" w:rsidR="00D37549" w:rsidRPr="003525C9" w:rsidRDefault="00D37549" w:rsidP="00D37549">
      <w:pPr>
        <w:spacing w:line="360" w:lineRule="auto"/>
        <w:jc w:val="both"/>
        <w:rPr>
          <w:rFonts w:ascii="Arial" w:hAnsi="Arial" w:cs="Arial"/>
          <w:sz w:val="22"/>
          <w:szCs w:val="22"/>
        </w:rPr>
      </w:pPr>
      <w:r>
        <w:rPr>
          <w:rFonts w:ascii="Arial" w:hAnsi="Arial" w:cs="Arial"/>
          <w:sz w:val="22"/>
          <w:szCs w:val="22"/>
        </w:rPr>
        <w:t xml:space="preserve">Bone is dynamic tissue and undergoes continuous remodelling process to maintain skeletal strength and integrity. </w:t>
      </w:r>
      <w:r w:rsidRPr="00D64631">
        <w:rPr>
          <w:rFonts w:ascii="Arial" w:hAnsi="Arial" w:cs="Arial"/>
          <w:sz w:val="22"/>
          <w:szCs w:val="22"/>
        </w:rPr>
        <w:t>Microdamage o</w:t>
      </w:r>
      <w:r>
        <w:rPr>
          <w:rFonts w:ascii="Arial" w:hAnsi="Arial" w:cs="Arial"/>
          <w:sz w:val="22"/>
          <w:szCs w:val="22"/>
        </w:rPr>
        <w:t xml:space="preserve">r mechanical stress stimulate the recruitment, proliferation, differentiation and activation of haematopoietic stem cell (HSC)-derived osteoclasts that resorb the bone followed by the intermediate </w:t>
      </w:r>
      <w:r w:rsidRPr="007B5900">
        <w:rPr>
          <w:rFonts w:ascii="Arial" w:hAnsi="Arial" w:cs="Arial"/>
          <w:color w:val="000000" w:themeColor="text1"/>
          <w:sz w:val="22"/>
          <w:szCs w:val="22"/>
        </w:rPr>
        <w:t>reversal phase</w:t>
      </w:r>
      <w:r>
        <w:rPr>
          <w:rFonts w:ascii="Arial" w:hAnsi="Arial" w:cs="Arial"/>
          <w:sz w:val="22"/>
          <w:szCs w:val="22"/>
        </w:rPr>
        <w:t xml:space="preserve"> where osteoclasts die by apoptosis and macrophage-like cells are found in the remodelling site, and formation, where bone is replaced with unmineralised matrix osteoid secreted by mesenchymal stem cell (MSC)-derived osteoblasts, which becomes mineralised to generate new bone. Osteocytes embedded in the bone are terminally differentiated osteoblasts, which sense and signal the mechanical strain. Bone lining cells are osteoblastic in origin and form a conduit to communicate with osteocytes.</w:t>
      </w:r>
    </w:p>
    <w:p w14:paraId="14D93ABA" w14:textId="77777777" w:rsidR="00D37549" w:rsidRDefault="00616297" w:rsidP="00D37549">
      <w:pPr>
        <w:spacing w:line="360" w:lineRule="auto"/>
        <w:jc w:val="both"/>
        <w:rPr>
          <w:rFonts w:ascii="Arial" w:hAnsi="Arial" w:cs="Arial"/>
          <w:sz w:val="22"/>
          <w:szCs w:val="22"/>
        </w:rPr>
      </w:pPr>
      <w:r>
        <w:rPr>
          <w:rFonts w:ascii="Arial" w:hAnsi="Arial" w:cs="Arial"/>
          <w:sz w:val="22"/>
          <w:szCs w:val="22"/>
        </w:rPr>
        <w:t>Image reproduced</w:t>
      </w:r>
      <w:r w:rsidR="00D37549">
        <w:rPr>
          <w:rFonts w:ascii="Arial" w:hAnsi="Arial" w:cs="Arial"/>
          <w:sz w:val="22"/>
          <w:szCs w:val="22"/>
        </w:rPr>
        <w:t xml:space="preserve"> with permission from </w:t>
      </w:r>
      <w:r w:rsidR="00D37549">
        <w:rPr>
          <w:rFonts w:ascii="Arial" w:hAnsi="Arial" w:cs="Arial"/>
          <w:sz w:val="22"/>
          <w:szCs w:val="22"/>
        </w:rPr>
        <w:fldChar w:fldCharType="begin"/>
      </w:r>
      <w:r w:rsidR="00D37549">
        <w:rPr>
          <w:rFonts w:ascii="Arial" w:hAnsi="Arial" w:cs="Arial"/>
          <w:sz w:val="22"/>
          <w:szCs w:val="22"/>
        </w:rPr>
        <w:instrText xml:space="preserve"> ADDIN EN.CITE &lt;EndNote&gt;&lt;Cite&gt;&lt;Author&gt;Weilbaecher&lt;/Author&gt;&lt;Year&gt;2011&lt;/Year&gt;&lt;RecNum&gt;309&lt;/RecNum&gt;&lt;DisplayText&gt;(Weilbaecher et al., 2011)&lt;/DisplayText&gt;&lt;record&gt;&lt;rec-number&gt;309&lt;/rec-number&gt;&lt;foreign-keys&gt;&lt;key app="EN" db-id="ae9rewfrpdttrheppfxxv0p4950wpd25r09x" timestamp="1520658296"&gt;309&lt;/key&gt;&lt;/foreign-keys&gt;&lt;ref-type name="Journal Article"&gt;17&lt;/ref-type&gt;&lt;contributors&gt;&lt;authors&gt;&lt;author&gt;Weilbaecher, Katherine, N.,&lt;/author&gt;&lt;author&gt;Guise, Theresa, A.,&lt;/author&gt;&lt;author&gt;Mccauley, Laurie, K.&lt;/author&gt;&lt;/authors&gt;&lt;/contributors&gt;&lt;titles&gt;&lt;title&gt;Cancer to bone: a fatal attraction&lt;/title&gt;&lt;secondary-title&gt;Nature Reviews Cancer&lt;/secondary-title&gt;&lt;/titles&gt;&lt;periodical&gt;&lt;full-title&gt;Nature Reviews Cancer&lt;/full-title&gt;&lt;/periodical&gt;&lt;pages&gt;411-25&lt;/pages&gt;&lt;volume&gt;11&lt;/volume&gt;&lt;number&gt;6&lt;/number&gt;&lt;keywords&gt;&lt;keyword&gt;Bone Neoplasms–Drug Therapy&lt;/keyword&gt;&lt;keyword&gt;Bone Neoplasms–Metabolism&lt;/keyword&gt;&lt;keyword&gt;Bone Neoplasms–Pathology&lt;/keyword&gt;&lt;keyword&gt;Bone Neoplasms–Secondary&lt;/keyword&gt;&lt;keyword&gt;Bone Remodeling–Pathology&lt;/keyword&gt;&lt;keyword&gt;Bone Resorption–Genetics&lt;/keyword&gt;&lt;keyword&gt;Bone &amp;amp;amp&lt;/keyword&gt;&lt;keyword&gt;Bones–Metabolism&lt;/keyword&gt;&lt;keyword&gt;Chemokines, Cxc–Metabolism&lt;/keyword&gt;&lt;keyword&gt;Chemokines, Cxc–Metabolism&lt;/keyword&gt;&lt;keyword&gt;Humans–Metabolism&lt;/keyword&gt;&lt;keyword&gt;Tumor Microenvironment–Metabolism&lt;/keyword&gt;&lt;keyword&gt;Chemokines, Cxc&lt;/keyword&gt;&lt;/keywords&gt;&lt;dates&gt;&lt;year&gt;2011&lt;/year&gt;&lt;/dates&gt;&lt;isbn&gt;1474-175X&lt;/isbn&gt;&lt;urls&gt;&lt;/urls&gt;&lt;electronic-resource-num&gt;10.1038/nrc3055&lt;/electronic-resource-num&gt;&lt;/record&gt;&lt;/Cite&gt;&lt;/EndNote&gt;</w:instrText>
      </w:r>
      <w:r w:rsidR="00D37549">
        <w:rPr>
          <w:rFonts w:ascii="Arial" w:hAnsi="Arial" w:cs="Arial"/>
          <w:sz w:val="22"/>
          <w:szCs w:val="22"/>
        </w:rPr>
        <w:fldChar w:fldCharType="separate"/>
      </w:r>
      <w:r w:rsidR="00D37549">
        <w:rPr>
          <w:rFonts w:ascii="Arial" w:hAnsi="Arial" w:cs="Arial"/>
          <w:noProof/>
          <w:sz w:val="22"/>
          <w:szCs w:val="22"/>
        </w:rPr>
        <w:t>(Weilbaecher et al., 2011)</w:t>
      </w:r>
      <w:r w:rsidR="00D37549">
        <w:rPr>
          <w:rFonts w:ascii="Arial" w:hAnsi="Arial" w:cs="Arial"/>
          <w:sz w:val="22"/>
          <w:szCs w:val="22"/>
        </w:rPr>
        <w:fldChar w:fldCharType="end"/>
      </w:r>
      <w:r w:rsidR="00D37549">
        <w:rPr>
          <w:rFonts w:ascii="Arial" w:hAnsi="Arial" w:cs="Arial"/>
          <w:sz w:val="22"/>
          <w:szCs w:val="22"/>
        </w:rPr>
        <w:t>.</w:t>
      </w:r>
    </w:p>
    <w:p w14:paraId="6CAEA50B" w14:textId="77777777" w:rsidR="003525C9" w:rsidRDefault="003525C9" w:rsidP="007B76C3">
      <w:pPr>
        <w:spacing w:line="480" w:lineRule="auto"/>
        <w:jc w:val="both"/>
        <w:rPr>
          <w:rFonts w:ascii="Arial" w:hAnsi="Arial" w:cs="Arial"/>
          <w:color w:val="244061" w:themeColor="accent1" w:themeShade="80"/>
        </w:rPr>
      </w:pPr>
    </w:p>
    <w:p w14:paraId="02FE8F09" w14:textId="77777777" w:rsidR="00B82B0D" w:rsidRDefault="00B82B0D" w:rsidP="007B76C3">
      <w:pPr>
        <w:spacing w:line="480" w:lineRule="auto"/>
        <w:jc w:val="both"/>
        <w:rPr>
          <w:rFonts w:ascii="Arial" w:hAnsi="Arial" w:cs="Arial"/>
          <w:color w:val="244061" w:themeColor="accent1" w:themeShade="80"/>
        </w:rPr>
      </w:pPr>
    </w:p>
    <w:p w14:paraId="7AC1FF71" w14:textId="77777777" w:rsidR="007B76C3" w:rsidRDefault="007B76C3" w:rsidP="007B76C3">
      <w:pPr>
        <w:spacing w:line="480" w:lineRule="auto"/>
        <w:jc w:val="both"/>
        <w:rPr>
          <w:rFonts w:ascii="Arial" w:hAnsi="Arial" w:cs="Arial"/>
        </w:rPr>
      </w:pPr>
      <w:r>
        <w:rPr>
          <w:rFonts w:ascii="Arial" w:hAnsi="Arial" w:cs="Arial"/>
          <w:b/>
        </w:rPr>
        <w:t xml:space="preserve">Osteocytes </w:t>
      </w:r>
      <w:r w:rsidRPr="00A9280B">
        <w:rPr>
          <w:rFonts w:ascii="Arial" w:hAnsi="Arial" w:cs="Arial"/>
        </w:rPr>
        <w:t>are the most abundant cell types</w:t>
      </w:r>
      <w:r>
        <w:rPr>
          <w:rFonts w:ascii="Arial" w:hAnsi="Arial" w:cs="Arial"/>
        </w:rPr>
        <w:t xml:space="preserve"> of all bone cells </w:t>
      </w:r>
      <w:r>
        <w:rPr>
          <w:rFonts w:ascii="Arial" w:hAnsi="Arial"/>
        </w:rPr>
        <w:t xml:space="preserve">that orchestrate bone </w:t>
      </w:r>
      <w:r w:rsidR="00666A56">
        <w:rPr>
          <w:rFonts w:ascii="Arial" w:hAnsi="Arial"/>
        </w:rPr>
        <w:t>remodelling</w:t>
      </w:r>
      <w:r>
        <w:rPr>
          <w:rFonts w:ascii="Arial" w:hAnsi="Arial"/>
        </w:rPr>
        <w:t xml:space="preserve"> through regulating activities of both osteoclasts and osteoblasts</w:t>
      </w:r>
      <w:r w:rsidR="00D4028D">
        <w:rPr>
          <w:rFonts w:ascii="Arial" w:hAnsi="Arial"/>
        </w:rPr>
        <w:t xml:space="preserve"> </w:t>
      </w:r>
      <w:r w:rsidR="00D4028D">
        <w:rPr>
          <w:rFonts w:ascii="Arial" w:hAnsi="Arial"/>
        </w:rPr>
        <w:fldChar w:fldCharType="begin">
          <w:fldData xml:space="preserve">PEVuZE5vdGU+PENpdGU+PEF1dGhvcj5Ta2Vycnk8L0F1dGhvcj48WWVhcj4xOTg5PC9ZZWFyPjxS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</w:fldData>
        </w:fldChar>
      </w:r>
      <w:r w:rsidR="0000415D">
        <w:rPr>
          <w:rFonts w:ascii="Arial" w:hAnsi="Arial"/>
        </w:rPr>
        <w:instrText xml:space="preserve"> ADDIN EN.CITE </w:instrText>
      </w:r>
      <w:r w:rsidR="0000415D">
        <w:rPr>
          <w:rFonts w:ascii="Arial" w:hAnsi="Arial"/>
        </w:rPr>
        <w:fldChar w:fldCharType="begin">
          <w:fldData xml:space="preserve">PEVuZE5vdGU+PENpdGU+PEF1dGhvcj5Ta2Vycnk8L0F1dGhvcj48WWVhcj4xOTg5PC9ZZWFyPjxS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00D4028D">
        <w:rPr>
          <w:rFonts w:ascii="Arial" w:hAnsi="Arial"/>
        </w:rPr>
      </w:r>
      <w:r w:rsidR="00D4028D">
        <w:rPr>
          <w:rFonts w:ascii="Arial" w:hAnsi="Arial"/>
        </w:rPr>
        <w:fldChar w:fldCharType="separate"/>
      </w:r>
      <w:r w:rsidR="00D4028D">
        <w:rPr>
          <w:rFonts w:ascii="Arial" w:hAnsi="Arial"/>
          <w:noProof/>
        </w:rPr>
        <w:t>(Skerry et al., 1989, Bonewald, 2011, Atkins and Findlay, 2012)</w:t>
      </w:r>
      <w:r w:rsidR="00D4028D">
        <w:rPr>
          <w:rFonts w:ascii="Arial" w:hAnsi="Arial"/>
        </w:rPr>
        <w:fldChar w:fldCharType="end"/>
      </w:r>
      <w:r>
        <w:rPr>
          <w:rFonts w:ascii="Arial" w:hAnsi="Arial"/>
        </w:rPr>
        <w:t xml:space="preserve">. </w:t>
      </w:r>
      <w:r>
        <w:rPr>
          <w:rFonts w:ascii="Arial" w:hAnsi="Arial" w:cs="Arial"/>
        </w:rPr>
        <w:t xml:space="preserve">Osteocytes are </w:t>
      </w:r>
      <w:r w:rsidRPr="00367D1A">
        <w:rPr>
          <w:rFonts w:ascii="Arial" w:hAnsi="Arial" w:cs="Arial"/>
        </w:rPr>
        <w:t>terminally differentiated osteoblasts</w:t>
      </w:r>
      <w:r>
        <w:rPr>
          <w:rFonts w:ascii="Arial" w:hAnsi="Arial" w:cs="Arial"/>
        </w:rPr>
        <w:t>, which become embedded in bone matrix during bone formation and act as mechanosensory cells due to their location in bone and complex interconnected dendritic network</w:t>
      </w:r>
      <w:r w:rsidR="008507E6">
        <w:rPr>
          <w:rFonts w:ascii="Arial" w:hAnsi="Arial" w:cs="Arial"/>
        </w:rPr>
        <w:t xml:space="preserve"> </w:t>
      </w:r>
      <w:r w:rsidR="008507E6">
        <w:rPr>
          <w:rFonts w:ascii="Arial" w:hAnsi="Arial" w:cs="Arial"/>
        </w:rPr>
        <w:fldChar w:fldCharType="begin">
          <w:fldData xml:space="preserve">PEVuZE5vdGU+PENpdGU+PEF1dGhvcj5Ta2Vycnk8L0F1dGhvcj48WWVhcj4xOTg5PC9ZZWFyPjxS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==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PEVuZE5vdGU+PENpdGU+PEF1dGhvcj5Ta2Vycnk8L0F1dGhvcj48WWVhcj4xOTg5PC9ZZWFyPjxS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==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8507E6">
        <w:rPr>
          <w:rFonts w:ascii="Arial" w:hAnsi="Arial" w:cs="Arial"/>
        </w:rPr>
      </w:r>
      <w:r w:rsidR="008507E6">
        <w:rPr>
          <w:rFonts w:ascii="Arial" w:hAnsi="Arial" w:cs="Arial"/>
        </w:rPr>
        <w:fldChar w:fldCharType="separate"/>
      </w:r>
      <w:r w:rsidR="005827D5">
        <w:rPr>
          <w:rFonts w:ascii="Arial" w:hAnsi="Arial" w:cs="Arial"/>
          <w:noProof/>
        </w:rPr>
        <w:t>(Skerry et al., 1989, Noble and Reeve, 2000, Pead et al., 2005)</w:t>
      </w:r>
      <w:r w:rsidR="008507E6">
        <w:rPr>
          <w:rFonts w:ascii="Arial" w:hAnsi="Arial" w:cs="Arial"/>
        </w:rPr>
        <w:fldChar w:fldCharType="end"/>
      </w:r>
      <w:r w:rsidR="005827D5">
        <w:rPr>
          <w:rFonts w:ascii="Arial" w:hAnsi="Arial" w:cs="Arial"/>
        </w:rPr>
        <w:t>.</w:t>
      </w:r>
      <w:r w:rsidR="008507E6">
        <w:rPr>
          <w:rFonts w:ascii="Arial" w:hAnsi="Arial" w:cs="Arial"/>
        </w:rPr>
        <w:t xml:space="preserve"> </w:t>
      </w:r>
    </w:p>
    <w:p w14:paraId="7F719493" w14:textId="77777777" w:rsidR="007B76C3" w:rsidRPr="00AA29FF" w:rsidRDefault="007B76C3" w:rsidP="007B76C3">
      <w:pPr>
        <w:spacing w:line="480" w:lineRule="auto"/>
        <w:jc w:val="both"/>
        <w:rPr>
          <w:rFonts w:ascii="Arial" w:hAnsi="Arial" w:cs="Arial"/>
        </w:rPr>
      </w:pPr>
      <w:r>
        <w:rPr>
          <w:rFonts w:ascii="Arial" w:hAnsi="Arial" w:cs="Arial"/>
        </w:rPr>
        <w:lastRenderedPageBreak/>
        <w:t xml:space="preserve">Extensive studies in the last decade provided novel insights of molecular biology and numerous functions of osteocytes including its endocrine role and ability to remodel the bone </w:t>
      </w:r>
      <w:r w:rsidR="009E45EC">
        <w:rPr>
          <w:rFonts w:ascii="Arial" w:hAnsi="Arial" w:cs="Arial"/>
        </w:rPr>
        <w:fldChar w:fldCharType="begin"/>
      </w:r>
      <w:r w:rsidR="00B97465">
        <w:rPr>
          <w:rFonts w:ascii="Arial" w:hAnsi="Arial" w:cs="Arial"/>
        </w:rPr>
        <w:instrText xml:space="preserve"> ADDIN EN.CITE &lt;EndNote&gt;&lt;Cite&gt;&lt;Author&gt;Bélanger&lt;/Author&gt;&lt;Year&gt;1969&lt;/Year&gt;&lt;RecNum&gt;311&lt;/RecNum&gt;&lt;DisplayText&gt;(Bélanger, 1969, Baylink and Wergedal, 1971)&lt;/DisplayText&gt;&lt;record&gt;&lt;rec-number&gt;311&lt;/rec-number&gt;&lt;foreign-keys&gt;&lt;key app="EN" db-id="ae9rewfrpdttrheppfxxv0p4950wpd25r09x" timestamp="1520658296"&gt;311&lt;/key&gt;&lt;/foreign-keys&gt;&lt;ref-type name="Journal Article"&gt;17&lt;/ref-type&gt;&lt;contributors&gt;&lt;authors&gt;&lt;author&gt;Bélanger, L. F.&lt;/author&gt;&lt;/authors&gt;&lt;/contributors&gt;&lt;titles&gt;&lt;title&gt;Osteocytic osteolysis&lt;/title&gt;&lt;secondary-title&gt;Calcified Tissue Research&lt;/secondary-title&gt;&lt;/titles&gt;&lt;periodical&gt;&lt;full-title&gt;Calcified tissue research&lt;/full-title&gt;&lt;/periodical&gt;&lt;pages&gt;1-12&lt;/pages&gt;&lt;volume&gt;4&lt;/volume&gt;&lt;number&gt;1&lt;/number&gt;&lt;keywords&gt;&lt;keyword&gt;Bone Resorption&lt;/keyword&gt;&lt;keyword&gt;Lysosomes&lt;/keyword&gt;&lt;keyword&gt;Osteocytes&lt;/keyword&gt;&lt;keyword&gt;Microbial Collagenase -- Metabolism&lt;/keyword&gt;&lt;/keywords&gt;&lt;dates&gt;&lt;year&gt;1969&lt;/year&gt;&lt;/dates&gt;&lt;isbn&gt;0008-0594&lt;/isbn&gt;&lt;urls&gt;&lt;/urls&gt;&lt;electronic-resource-num&gt;10.1007/BF02279101&lt;/electronic-resource-num&gt;&lt;/record&gt;&lt;/Cite&gt;&lt;Cite&gt;&lt;Author&gt;Baylink&lt;/Author&gt;&lt;Year&gt;1971&lt;/Year&gt;&lt;RecNum&gt;312&lt;/RecNum&gt;&lt;record&gt;&lt;rec-number&gt;312&lt;/rec-number&gt;&lt;foreign-keys&gt;&lt;key app="EN" db-id="ae9rewfrpdttrheppfxxv0p4950wpd25r09x" timestamp="1520658296"&gt;312&lt;/key&gt;&lt;/foreign-keys&gt;&lt;ref-type name="Journal Article"&gt;17&lt;/ref-type&gt;&lt;contributors&gt;&lt;authors&gt;&lt;author&gt;Baylink, D. J.&lt;/author&gt;&lt;author&gt;Wergedal, J. E.&lt;/author&gt;&lt;/authors&gt;&lt;/contributors&gt;&lt;titles&gt;&lt;title&gt;Bone formation by osteocytes&lt;/title&gt;&lt;secondary-title&gt;The American Journal of Physiologyy&lt;/secondary-title&gt;&lt;/titles&gt;&lt;periodical&gt;&lt;full-title&gt;The American Journal of Physiologyy&lt;/full-title&gt;&lt;/periodical&gt;&lt;pages&gt;669&lt;/pages&gt;&lt;volume&gt;221&lt;/volume&gt;&lt;number&gt;3&lt;/number&gt;&lt;keywords&gt;&lt;keyword&gt;Osteogenesis&lt;/keyword&gt;&lt;keyword&gt;Osteocytes -- Metabolism&lt;/keyword&gt;&lt;/keywords&gt;&lt;dates&gt;&lt;year&gt;1971&lt;/year&gt;&lt;/dates&gt;&lt;isbn&gt;0002-9513&lt;/isbn&gt;&lt;urls&gt;&lt;/urls&gt;&lt;electronic-resource-num&gt;10.1152/ajplegacy.1971.221.3.669&lt;/electronic-resource-num&gt;&lt;/record&gt;&lt;/Cite&gt;&lt;/EndNote&gt;</w:instrText>
      </w:r>
      <w:r w:rsidR="009E45EC">
        <w:rPr>
          <w:rFonts w:ascii="Arial" w:hAnsi="Arial" w:cs="Arial"/>
        </w:rPr>
        <w:fldChar w:fldCharType="separate"/>
      </w:r>
      <w:r w:rsidR="00970E70">
        <w:rPr>
          <w:rFonts w:ascii="Arial" w:hAnsi="Arial" w:cs="Arial"/>
          <w:noProof/>
        </w:rPr>
        <w:t>(Bélanger, 1969, Baylink and Wergedal, 1971)</w:t>
      </w:r>
      <w:r w:rsidR="009E45EC">
        <w:rPr>
          <w:rFonts w:ascii="Arial" w:hAnsi="Arial" w:cs="Arial"/>
        </w:rPr>
        <w:fldChar w:fldCharType="end"/>
      </w:r>
      <w:r w:rsidR="009E45EC">
        <w:rPr>
          <w:rFonts w:ascii="Arial" w:hAnsi="Arial" w:cs="Arial"/>
        </w:rPr>
        <w:t>.</w:t>
      </w:r>
      <w:r>
        <w:rPr>
          <w:rFonts w:ascii="Arial" w:hAnsi="Arial" w:cs="Arial"/>
        </w:rPr>
        <w:t xml:space="preserve"> Osteocytes are source of sclerostin, </w:t>
      </w:r>
      <w:r w:rsidR="0028501C">
        <w:rPr>
          <w:rFonts w:ascii="Arial" w:hAnsi="Arial" w:cs="Arial"/>
        </w:rPr>
        <w:t>bone morphogenic proteins (</w:t>
      </w:r>
      <w:r>
        <w:rPr>
          <w:rFonts w:ascii="Arial" w:hAnsi="Arial" w:cs="Arial"/>
        </w:rPr>
        <w:t>BMPs</w:t>
      </w:r>
      <w:r w:rsidR="0028501C">
        <w:rPr>
          <w:rFonts w:ascii="Arial" w:hAnsi="Arial" w:cs="Arial"/>
        </w:rPr>
        <w:t>)</w:t>
      </w:r>
      <w:r>
        <w:rPr>
          <w:rFonts w:ascii="Arial" w:hAnsi="Arial" w:cs="Arial"/>
        </w:rPr>
        <w:t xml:space="preserve"> and receptor activator of nucleic factor </w:t>
      </w:r>
      <w:r>
        <w:rPr>
          <w:rFonts w:ascii="Arial" w:hAnsi="Arial" w:cs="Arial"/>
        </w:rPr>
        <w:sym w:font="Symbol" w:char="F06B"/>
      </w:r>
      <w:r>
        <w:rPr>
          <w:rFonts w:ascii="Arial" w:hAnsi="Arial" w:cs="Arial"/>
        </w:rPr>
        <w:sym w:font="Symbol" w:char="F062"/>
      </w:r>
      <w:r>
        <w:rPr>
          <w:rFonts w:ascii="Arial" w:hAnsi="Arial" w:cs="Arial"/>
        </w:rPr>
        <w:t xml:space="preserve"> (RANK) ligand (RANKL). RANKL binds to RANK, which is expressed on the osteoclast precursors promoting osteoclastogenesis and subsequent recruitment of osteoclasts to the bone </w:t>
      </w:r>
      <w:r w:rsidR="00666A56">
        <w:rPr>
          <w:rFonts w:ascii="Arial" w:hAnsi="Arial" w:cs="Arial"/>
        </w:rPr>
        <w:t>remodelling</w:t>
      </w:r>
      <w:r w:rsidR="00161FEA">
        <w:rPr>
          <w:rFonts w:ascii="Arial" w:hAnsi="Arial" w:cs="Arial"/>
        </w:rPr>
        <w:t xml:space="preserve"> sites, Figure </w:t>
      </w:r>
      <w:r>
        <w:rPr>
          <w:rFonts w:ascii="Arial" w:hAnsi="Arial" w:cs="Arial"/>
        </w:rPr>
        <w:t xml:space="preserve">6 </w:t>
      </w:r>
      <w:r>
        <w:rPr>
          <w:rFonts w:ascii="Arial" w:hAnsi="Arial" w:cs="Arial"/>
        </w:rPr>
        <w:fldChar w:fldCharType="begin"/>
      </w:r>
      <w:r w:rsidR="00B97465">
        <w:rPr>
          <w:rFonts w:ascii="Arial" w:hAnsi="Arial" w:cs="Arial"/>
        </w:rPr>
        <w:instrText xml:space="preserve"> ADDIN EN.CITE &lt;EndNote&gt;&lt;Cite&gt;&lt;Author&gt;Xiong&lt;/Author&gt;&lt;Year&gt;2011&lt;/Year&gt;&lt;RecNum&gt;58&lt;/RecNum&gt;&lt;DisplayText&gt;(Xiong et al., 2011, Atkins and Findlay, 2012)&lt;/DisplayText&gt;&lt;record&gt;&lt;rec-number&gt;58&lt;/rec-number&gt;&lt;foreign-keys&gt;&lt;key app="EN" db-id="ae9rewfrpdttrheppfxxv0p4950wpd25r09x" timestamp="1520657674"&gt;58&lt;/key&gt;&lt;/foreign-keys&gt;&lt;ref-type name="Journal Article"&gt;17&lt;/ref-type&gt;&lt;contributors&gt;&lt;authors&gt;&lt;author&gt;Xiong, Jinhu&lt;/author&gt;&lt;author&gt;Onal, Melda&lt;/author&gt;&lt;author&gt;Jilka, Robert L.&lt;/author&gt;&lt;author&gt;Weinstein, Robert S.&lt;/author&gt;&lt;author&gt;Manolagas, Stavros C.&lt;/author&gt;&lt;author&gt;Brien, Charles A.&lt;/author&gt;&lt;/authors&gt;&lt;/contributors&gt;&lt;titles&gt;&lt;title&gt;Matrix- embedded cells control osteoclast formation&lt;/title&gt;&lt;secondary-title&gt;Nature Medicine&lt;/secondary-title&gt;&lt;/titles&gt;&lt;periodical&gt;&lt;full-title&gt;Nature Medicine&lt;/full-title&gt;&lt;/periodical&gt;&lt;pages&gt;1235-1241&lt;/pages&gt;&lt;volume&gt;17&lt;/volume&gt;&lt;number&gt;10&lt;/number&gt;&lt;dates&gt;&lt;year&gt;2011&lt;/year&gt;&lt;/dates&gt;&lt;isbn&gt;10788956&lt;/isbn&gt;&lt;urls&gt;&lt;/urls&gt;&lt;electronic-resource-num&gt;10.1038/nm.2448&lt;/electronic-resource-num&gt;&lt;/record&gt;&lt;/Cite&gt;&lt;Cite&gt;&lt;Author&gt;Atkins&lt;/Author&gt;&lt;Year&gt;2012&lt;/Year&gt;&lt;RecNum&gt;65&lt;/RecNum&gt;&lt;record&gt;&lt;rec-number&gt;65&lt;/rec-number&gt;&lt;foreign-keys&gt;&lt;key app="EN" db-id="ae9rewfrpdttrheppfxxv0p4950wpd25r09x" timestamp="1520657723"&gt;65&lt;/key&gt;&lt;key app="ENWeb" db-id=""&gt;0&lt;/key&gt;&lt;/foreign-keys&gt;&lt;ref-type name="Journal Article"&gt;17&lt;/ref-type&gt;&lt;contributors&gt;&lt;authors&gt;&lt;author&gt;Atkins, G. J.&lt;/author&gt;&lt;author&gt;Findlay, D. M.&lt;/author&gt;&lt;/authors&gt;&lt;/contributors&gt;&lt;titles&gt;&lt;title&gt;Osteocyte regulation of bone mineral: A little give and take&lt;/title&gt;&lt;secondary-title&gt;Osteoporosis Internationall&lt;/secondary-title&gt;&lt;/titles&gt;&lt;periodical&gt;&lt;full-title&gt;Osteoporosis Internationall&lt;/full-title&gt;&lt;/periodical&gt;&lt;pages&gt;2067-2079&lt;/pages&gt;&lt;volume&gt;23&lt;/volume&gt;&lt;number&gt;8&lt;/number&gt;&lt;dates&gt;&lt;year&gt;2012&lt;/year&gt;&lt;/dates&gt;&lt;urls&gt;&lt;/urls&gt;&lt;/record&gt;&lt;/Cite&gt;&lt;/EndNote&gt;</w:instrText>
      </w:r>
      <w:r>
        <w:rPr>
          <w:rFonts w:ascii="Arial" w:hAnsi="Arial" w:cs="Arial"/>
        </w:rPr>
        <w:fldChar w:fldCharType="separate"/>
      </w:r>
      <w:r w:rsidR="001F153E">
        <w:rPr>
          <w:rFonts w:ascii="Arial" w:hAnsi="Arial" w:cs="Arial"/>
          <w:noProof/>
        </w:rPr>
        <w:t>(Xiong et al., 2011, Atkins and Findlay, 2012)</w:t>
      </w:r>
      <w:r>
        <w:rPr>
          <w:rFonts w:ascii="Arial" w:hAnsi="Arial" w:cs="Arial"/>
        </w:rPr>
        <w:fldChar w:fldCharType="end"/>
      </w:r>
      <w:r>
        <w:rPr>
          <w:rFonts w:ascii="Arial" w:hAnsi="Arial" w:cs="Arial"/>
        </w:rPr>
        <w:t xml:space="preserve">. Osteocytes and osteoblasts can also produce osteoprotegerin (OPG), a decoy receptor for RANKL, that opposes its action in bone </w:t>
      </w:r>
      <w:r>
        <w:rPr>
          <w:rFonts w:ascii="Arial" w:hAnsi="Arial" w:cs="Arial"/>
        </w:rPr>
        <w:fldChar w:fldCharType="begin"/>
      </w:r>
      <w:r w:rsidR="00A108A1">
        <w:rPr>
          <w:rFonts w:ascii="Arial" w:hAnsi="Arial" w:cs="Arial"/>
        </w:rPr>
        <w:instrText xml:space="preserve"> ADDIN EN.CITE &lt;EndNote&gt;&lt;Cite&gt;&lt;Author&gt;Albers&lt;/Author&gt;&lt;Year&gt;2013&lt;/Year&gt;&lt;RecNum&gt;72&lt;/RecNum&gt;&lt;DisplayText&gt;(Albers et al., 2013)&lt;/DisplayText&gt;&lt;record&gt;&lt;rec-number&gt;72&lt;/rec-number&gt;&lt;foreign-keys&gt;&lt;key app="EN" db-id="ae9rewfrpdttrheppfxxv0p4950wpd25r09x" timestamp="1520657764"&gt;72&lt;/key&gt;&lt;key app="ENWeb" db-id=""&gt;0&lt;/key&gt;&lt;/foreign-keys&gt;&lt;ref-type name="Journal Article"&gt;17&lt;/ref-type&gt;&lt;contributors&gt;&lt;authors&gt;&lt;author&gt;Albers, Joachim&lt;/author&gt;&lt;author&gt;Keller, Johannes&lt;/author&gt;&lt;author&gt;Baranowsky, Anke&lt;/author&gt;&lt;author&gt;Beil, Frank Timo&lt;/author&gt;&lt;author&gt;Catala-Lehnen, Philip&lt;/author&gt;&lt;author&gt;Schulze, Jochen&lt;/author&gt;&lt;author&gt;Amling, Michael&lt;/author&gt;&lt;author&gt;Schinke, Thorsten&lt;/author&gt;&lt;/authors&gt;&lt;/contributors&gt;&lt;titles&gt;&lt;title&gt;Canonical Wnt signaling inhibits osteoclastogenesis independent of osteoprotegerin&lt;/title&gt;&lt;secondary-title&gt;Journal of Cell Biology&lt;/secondary-title&gt;&lt;/titles&gt;&lt;periodical&gt;&lt;full-title&gt;Journal of Cell Biology&lt;/full-title&gt;&lt;/periodical&gt;&lt;pages&gt;537-549&lt;/pages&gt;&lt;volume&gt;200&lt;/volume&gt;&lt;number&gt;4&lt;/number&gt;&lt;dates&gt;&lt;year&gt;2013&lt;/year&gt;&lt;/dates&gt;&lt;isbn&gt;00219525&lt;/isbn&gt;&lt;urls&gt;&lt;/urls&gt;&lt;electronic-resource-num&gt;10.1083/jcb.201207142&lt;/electronic-resource-num&gt;&lt;/record&gt;&lt;/Cite&gt;&lt;/EndNote&gt;</w:instrText>
      </w:r>
      <w:r>
        <w:rPr>
          <w:rFonts w:ascii="Arial" w:hAnsi="Arial" w:cs="Arial"/>
        </w:rPr>
        <w:fldChar w:fldCharType="separate"/>
      </w:r>
      <w:r>
        <w:rPr>
          <w:rFonts w:ascii="Arial" w:hAnsi="Arial" w:cs="Arial"/>
          <w:noProof/>
        </w:rPr>
        <w:t>(Albers et al., 2013)</w:t>
      </w:r>
      <w:r>
        <w:rPr>
          <w:rFonts w:ascii="Arial" w:hAnsi="Arial" w:cs="Arial"/>
        </w:rPr>
        <w:fldChar w:fldCharType="end"/>
      </w:r>
      <w:r>
        <w:rPr>
          <w:rFonts w:ascii="Arial" w:hAnsi="Arial" w:cs="Arial"/>
        </w:rPr>
        <w:t xml:space="preserve">. Osteocytes also release other soluble factors that target muscles, kidney and other vital organs </w:t>
      </w:r>
      <w:r w:rsidR="00751579">
        <w:rPr>
          <w:rFonts w:ascii="Arial" w:hAnsi="Arial" w:cs="Arial"/>
        </w:rPr>
        <w:fldChar w:fldCharType="begin"/>
      </w:r>
      <w:r w:rsidR="00A108A1">
        <w:rPr>
          <w:rFonts w:ascii="Arial" w:hAnsi="Arial" w:cs="Arial"/>
        </w:rPr>
        <w:instrText xml:space="preserve"> ADDIN EN.CITE &lt;EndNote&gt;&lt;Cite&gt;&lt;Author&gt;Bonewald&lt;/Author&gt;&lt;Year&gt;2010&lt;/Year&gt;&lt;RecNum&gt;343&lt;/RecNum&gt;&lt;DisplayText&gt;(Bonewald, 2010)&lt;/DisplayText&gt;&lt;record&gt;&lt;rec-number&gt;343&lt;/rec-number&gt;&lt;foreign-keys&gt;&lt;key app="EN" db-id="ae9rewfrpdttrheppfxxv0p4950wpd25r09x" timestamp="1520658298"&gt;343&lt;/key&gt;&lt;/foreign-keys&gt;&lt;ref-type name="Book Section"&gt;5&lt;/ref-type&gt;&lt;contributors&gt;&lt;authors&gt;&lt;author&gt;Bonewald, Lynda F.&lt;/author&gt;&lt;/authors&gt;&lt;secondary-authors&gt;&lt;author&gt;Bradshaw, R. A., &lt;/author&gt;&lt;author&gt;Dennis, E. A.&lt;/author&gt;&lt;/secondary-authors&gt;&lt;/contributors&gt;&lt;titles&gt;&lt;title&gt;Cell–Cell and Cell–Matrix Interactions in Bone&lt;/title&gt;&lt;secondary-title&gt;Handbook of Cell Signaling (Second Edition)&lt;/secondary-title&gt;&lt;/titles&gt;&lt;pages&gt;2647–2662&lt;/pages&gt;&lt;volume&gt;3&lt;/volume&gt;&lt;num-vols&gt;3&lt;/num-vols&gt;&lt;edition&gt;Second&lt;/edition&gt;&lt;section&gt;313&lt;/section&gt;&lt;dates&gt;&lt;year&gt;2010&lt;/year&gt;&lt;/dates&gt;&lt;publisher&gt;Elsevier Inc.&lt;/publisher&gt;&lt;urls&gt;&lt;/urls&gt;&lt;/record&gt;&lt;/Cite&gt;&lt;/EndNote&gt;</w:instrText>
      </w:r>
      <w:r w:rsidR="00751579">
        <w:rPr>
          <w:rFonts w:ascii="Arial" w:hAnsi="Arial" w:cs="Arial"/>
        </w:rPr>
        <w:fldChar w:fldCharType="separate"/>
      </w:r>
      <w:r w:rsidR="00751579">
        <w:rPr>
          <w:rFonts w:ascii="Arial" w:hAnsi="Arial" w:cs="Arial"/>
          <w:noProof/>
        </w:rPr>
        <w:t>(Bonewald, 2010)</w:t>
      </w:r>
      <w:r w:rsidR="00751579">
        <w:rPr>
          <w:rFonts w:ascii="Arial" w:hAnsi="Arial" w:cs="Arial"/>
        </w:rPr>
        <w:fldChar w:fldCharType="end"/>
      </w:r>
      <w:r>
        <w:rPr>
          <w:rFonts w:ascii="Arial" w:hAnsi="Arial" w:cs="Arial"/>
        </w:rPr>
        <w:t xml:space="preserve">, possess receptors for parathyroid hormone (PTH) </w:t>
      </w:r>
      <w:r w:rsidR="00751579">
        <w:rPr>
          <w:rFonts w:ascii="Arial" w:hAnsi="Arial" w:cs="Arial"/>
        </w:rPr>
        <w:fldChar w:fldCharType="begin"/>
      </w:r>
      <w:r w:rsidR="00B97465">
        <w:rPr>
          <w:rFonts w:ascii="Arial" w:hAnsi="Arial" w:cs="Arial"/>
        </w:rPr>
        <w:instrText xml:space="preserve"> ADDIN EN.CITE &lt;EndNote&gt;&lt;Cite&gt;&lt;Author&gt;Belanger&lt;/Author&gt;&lt;Year&gt;1964&lt;/Year&gt;&lt;RecNum&gt;313&lt;/RecNum&gt;&lt;DisplayText&gt;(Belanger and Robichon, 1964)&lt;/DisplayText&gt;&lt;record&gt;&lt;rec-number&gt;313&lt;/rec-number&gt;&lt;foreign-keys&gt;&lt;key app="EN" db-id="ae9rewfrpdttrheppfxxv0p4950wpd25r09x" timestamp="1520658296"&gt;313&lt;/key&gt;&lt;/foreign-keys&gt;&lt;ref-type name="Journal Article"&gt;17&lt;/ref-type&gt;&lt;contributors&gt;&lt;authors&gt;&lt;author&gt;Belanger, L. F.&lt;/author&gt;&lt;author&gt;Robichon, J.&lt;/author&gt;&lt;/authors&gt;&lt;/contributors&gt;&lt;titles&gt;&lt;title&gt;Parathormone- Induced Osteolysis In Dogs. A Microradiographic And Alpharadiographic Survey&lt;/title&gt;&lt;secondary-title&gt;The Journal of Bone and Joint Surgery. American Volume&lt;/secondary-title&gt;&lt;/titles&gt;&lt;periodical&gt;&lt;full-title&gt;The Journal of bone and joint surgery. American volume&lt;/full-title&gt;&lt;/periodical&gt;&lt;pages&gt;1008-1012&lt;/pages&gt;&lt;volume&gt;46&lt;/volume&gt;&lt;keywords&gt;&lt;keyword&gt;Bone Resorption&lt;/keyword&gt;&lt;keyword&gt;Dogs&lt;/keyword&gt;&lt;keyword&gt;Experimental Lab Study&lt;/keyword&gt;&lt;keyword&gt;Microradiography&lt;/keyword&gt;&lt;keyword&gt;Parathyroid Hormone&lt;/keyword&gt;&lt;keyword&gt;Radiography&lt;/keyword&gt;&lt;keyword&gt;Skull&lt;/keyword&gt;&lt;keyword&gt;Tibia&lt;/keyword&gt;&lt;keyword&gt;Toxicologic Report&lt;/keyword&gt;&lt;keyword&gt;Bone Diseases&lt;/keyword&gt;&lt;keyword&gt;Bone Resorption&lt;/keyword&gt;&lt;keyword&gt;Cartilage Diseases&lt;/keyword&gt;&lt;keyword&gt;Microradiography&lt;/keyword&gt;&lt;keyword&gt;Osteolysis&lt;/keyword&gt;&lt;keyword&gt;Parathyroid Hormone&lt;/keyword&gt;&lt;keyword&gt;Radiography&lt;/keyword&gt;&lt;keyword&gt;Research&lt;/keyword&gt;&lt;keyword&gt;Skull&lt;/keyword&gt;&lt;keyword&gt;Tibia&lt;/keyword&gt;&lt;keyword&gt;Toxicology&lt;/keyword&gt;&lt;/keywords&gt;&lt;dates&gt;&lt;year&gt;1964&lt;/year&gt;&lt;/dates&gt;&lt;isbn&gt;0021-9355&lt;/isbn&gt;&lt;urls&gt;&lt;/urls&gt;&lt;/record&gt;&lt;/Cite&gt;&lt;/EndNote&gt;</w:instrText>
      </w:r>
      <w:r w:rsidR="00751579">
        <w:rPr>
          <w:rFonts w:ascii="Arial" w:hAnsi="Arial" w:cs="Arial"/>
        </w:rPr>
        <w:fldChar w:fldCharType="separate"/>
      </w:r>
      <w:r w:rsidR="00751579">
        <w:rPr>
          <w:rFonts w:ascii="Arial" w:hAnsi="Arial" w:cs="Arial"/>
          <w:noProof/>
        </w:rPr>
        <w:t>(Belanger and Robichon, 1964)</w:t>
      </w:r>
      <w:r w:rsidR="00751579">
        <w:rPr>
          <w:rFonts w:ascii="Arial" w:hAnsi="Arial" w:cs="Arial"/>
        </w:rPr>
        <w:fldChar w:fldCharType="end"/>
      </w:r>
      <w:r w:rsidR="00751579">
        <w:rPr>
          <w:rFonts w:ascii="Arial" w:hAnsi="Arial" w:cs="Arial"/>
        </w:rPr>
        <w:t xml:space="preserve"> </w:t>
      </w:r>
      <w:r>
        <w:rPr>
          <w:rFonts w:ascii="Arial" w:hAnsi="Arial" w:cs="Arial"/>
        </w:rPr>
        <w:t xml:space="preserve">and oestrogen </w:t>
      </w:r>
      <w:r w:rsidR="00751579">
        <w:rPr>
          <w:rFonts w:ascii="Arial" w:hAnsi="Arial" w:cs="Arial"/>
        </w:rPr>
        <w:fldChar w:fldCharType="begin"/>
      </w:r>
      <w:r w:rsidR="00A108A1">
        <w:rPr>
          <w:rFonts w:ascii="Arial" w:hAnsi="Arial" w:cs="Arial"/>
        </w:rPr>
        <w:instrText xml:space="preserve"> ADDIN EN.CITE &lt;EndNote&gt;&lt;Cite&gt;&lt;Author&gt;Noble&lt;/Author&gt;&lt;Year&gt;2000&lt;/Year&gt;&lt;RecNum&gt;71&lt;/RecNum&gt;&lt;DisplayText&gt;(Noble and Reeve, 2000)&lt;/DisplayText&gt;&lt;record&gt;&lt;rec-number&gt;71&lt;/rec-number&gt;&lt;foreign-keys&gt;&lt;key app="EN" db-id="ae9rewfrpdttrheppfxxv0p4950wpd25r09x" timestamp="1520657762"&gt;71&lt;/key&gt;&lt;key app="ENWeb" db-id=""&gt;0&lt;/key&gt;&lt;/foreign-keys&gt;&lt;ref-type name="Journal Article"&gt;17&lt;/ref-type&gt;&lt;contributors&gt;&lt;authors&gt;&lt;author&gt;Noble, Brendon S.&lt;/author&gt;&lt;author&gt;Reeve, Jonathan&lt;/author&gt;&lt;/authors&gt;&lt;/contributors&gt;&lt;titles&gt;&lt;title&gt;Osteocyte function, osteocyte death and bone fracture resistance&lt;/title&gt;&lt;secondary-title&gt;Molecular and Cellular Endocrinology&lt;/secondary-title&gt;&lt;/titles&gt;&lt;periodical&gt;&lt;full-title&gt;Molecular and Cellular Endocrinology&lt;/full-title&gt;&lt;/periodical&gt;&lt;pages&gt;7-13&lt;/pages&gt;&lt;volume&gt;159&lt;/volume&gt;&lt;number&gt;1-2&lt;/number&gt;&lt;keywords&gt;&lt;keyword&gt;Bone Fracture Resistance&lt;/keyword&gt;&lt;keyword&gt;Molecular Signaling Pathways&lt;/keyword&gt;&lt;keyword&gt;Osteocytes&lt;/keyword&gt;&lt;/keywords&gt;&lt;dates&gt;&lt;year&gt;2000&lt;/year&gt;&lt;/dates&gt;&lt;isbn&gt;03037207&lt;/isbn&gt;&lt;urls&gt;&lt;/urls&gt;&lt;electronic-resource-num&gt;10.1016/S0303-7207(99)00174-4&lt;/electronic-resource-num&gt;&lt;/record&gt;&lt;/Cite&gt;&lt;/EndNote&gt;</w:instrText>
      </w:r>
      <w:r w:rsidR="00751579">
        <w:rPr>
          <w:rFonts w:ascii="Arial" w:hAnsi="Arial" w:cs="Arial"/>
        </w:rPr>
        <w:fldChar w:fldCharType="separate"/>
      </w:r>
      <w:r w:rsidR="00751579">
        <w:rPr>
          <w:rFonts w:ascii="Arial" w:hAnsi="Arial" w:cs="Arial"/>
          <w:noProof/>
        </w:rPr>
        <w:t>(Noble and Reeve, 2000)</w:t>
      </w:r>
      <w:r w:rsidR="00751579">
        <w:rPr>
          <w:rFonts w:ascii="Arial" w:hAnsi="Arial" w:cs="Arial"/>
        </w:rPr>
        <w:fldChar w:fldCharType="end"/>
      </w:r>
      <w:r w:rsidR="00751579">
        <w:rPr>
          <w:rFonts w:ascii="Arial" w:hAnsi="Arial" w:cs="Arial"/>
        </w:rPr>
        <w:t>.</w:t>
      </w:r>
    </w:p>
    <w:p w14:paraId="435DCC5B" w14:textId="77777777" w:rsidR="007B76C3" w:rsidRDefault="007B76C3" w:rsidP="007B76C3">
      <w:pPr>
        <w:spacing w:line="480" w:lineRule="auto"/>
        <w:jc w:val="both"/>
        <w:rPr>
          <w:rFonts w:ascii="Arial" w:hAnsi="Arial" w:cs="Arial"/>
          <w:b/>
        </w:rPr>
      </w:pPr>
    </w:p>
    <w:p w14:paraId="007589C4" w14:textId="77777777" w:rsidR="007B76C3" w:rsidRDefault="007B76C3" w:rsidP="007B76C3">
      <w:pPr>
        <w:spacing w:line="480" w:lineRule="auto"/>
        <w:jc w:val="both"/>
        <w:rPr>
          <w:rFonts w:ascii="Arial" w:hAnsi="Arial" w:cs="Arial"/>
        </w:rPr>
      </w:pPr>
      <w:r w:rsidRPr="008F45A3">
        <w:rPr>
          <w:rFonts w:ascii="Arial" w:hAnsi="Arial" w:cs="Arial"/>
          <w:b/>
        </w:rPr>
        <w:t>Osteoclasts</w:t>
      </w:r>
      <w:r>
        <w:rPr>
          <w:rFonts w:ascii="Arial" w:hAnsi="Arial" w:cs="Arial"/>
          <w:b/>
        </w:rPr>
        <w:t xml:space="preserve"> </w:t>
      </w:r>
      <w:r w:rsidRPr="008976E1">
        <w:rPr>
          <w:rFonts w:ascii="Arial" w:hAnsi="Arial" w:cs="Arial"/>
        </w:rPr>
        <w:t xml:space="preserve">are </w:t>
      </w:r>
      <w:r>
        <w:rPr>
          <w:rFonts w:ascii="Arial" w:hAnsi="Arial" w:cs="Arial"/>
        </w:rPr>
        <w:t>large cells derived from the fusion of mononuclear osteoclast precursors of haematopoietic lineage under control of RANKL and other mediators including cytokines. Osteoclasts are closely related to macrophages of the immune system</w:t>
      </w:r>
      <w:r w:rsidR="00D842DC">
        <w:rPr>
          <w:rFonts w:ascii="Arial" w:hAnsi="Arial" w:cs="Arial"/>
        </w:rPr>
        <w:t xml:space="preserve"> </w:t>
      </w:r>
      <w:r w:rsidR="00D842DC">
        <w:rPr>
          <w:rFonts w:ascii="Arial" w:hAnsi="Arial" w:cs="Arial"/>
        </w:rPr>
        <w:fldChar w:fldCharType="begin"/>
      </w:r>
      <w:r w:rsidR="00D842DC">
        <w:rPr>
          <w:rFonts w:ascii="Arial" w:hAnsi="Arial" w:cs="Arial"/>
        </w:rPr>
        <w:instrText xml:space="preserve"> ADDIN EN.CITE &lt;EndNote&gt;&lt;Cite&gt;&lt;Author&gt;Boyce&lt;/Author&gt;&lt;Year&gt;2009&lt;/Year&gt;&lt;RecNum&gt;129&lt;/RecNum&gt;&lt;DisplayText&gt;(Boyce et al., 2009)&lt;/DisplayText&gt;&lt;record&gt;&lt;rec-number&gt;129&lt;/rec-number&gt;&lt;foreign-keys&gt;&lt;key app="EN" db-id="wpsvwwtdrfvxshef2e5prez9td52f02rxz5p" timestamp="1419392398"&gt;129&lt;/key&gt;&lt;/foreign-keys&gt;&lt;ref-type name="Journal Article"&gt;17&lt;/ref-type&gt;&lt;contributors&gt;&lt;authors&gt;&lt;author&gt;Boyce, B. F., &lt;/author&gt;&lt;author&gt;Yao, Z.,&lt;/author&gt;&lt;author&gt;Xing, L.&lt;/author&gt;&lt;/authors&gt;&lt;/contributors&gt;&lt;titles&gt;&lt;title&gt;Osteoclasts have multiple roles in bone in addition to bone resorption.&lt;/title&gt;&lt;secondary-title&gt;Crit Rev Eukaryot Gene Expr &lt;/secondary-title&gt;&lt;/titles&gt;&lt;periodical&gt;&lt;full-title&gt;Crit Rev Eukaryot Gene Expr&lt;/full-title&gt;&lt;/periodical&gt;&lt;pages&gt;171-180&lt;/pages&gt;&lt;volume&gt;19(3)&lt;/volume&gt;&lt;section&gt;171&lt;/section&gt;&lt;dates&gt;&lt;year&gt;2009&lt;/year&gt;&lt;/dates&gt;&lt;urls&gt;&lt;/urls&gt;&lt;/record&gt;&lt;/Cite&gt;&lt;/EndNote&gt;</w:instrText>
      </w:r>
      <w:r w:rsidR="00D842DC">
        <w:rPr>
          <w:rFonts w:ascii="Arial" w:hAnsi="Arial" w:cs="Arial"/>
        </w:rPr>
        <w:fldChar w:fldCharType="separate"/>
      </w:r>
      <w:r w:rsidR="00D842DC">
        <w:rPr>
          <w:rFonts w:ascii="Arial" w:hAnsi="Arial" w:cs="Arial"/>
          <w:noProof/>
        </w:rPr>
        <w:t>(Boyce et al., 2009)</w:t>
      </w:r>
      <w:r w:rsidR="00D842DC">
        <w:rPr>
          <w:rFonts w:ascii="Arial" w:hAnsi="Arial" w:cs="Arial"/>
        </w:rPr>
        <w:fldChar w:fldCharType="end"/>
      </w:r>
      <w:r w:rsidR="00D842DC">
        <w:rPr>
          <w:rFonts w:ascii="Arial" w:hAnsi="Arial" w:cs="Arial"/>
        </w:rPr>
        <w:t xml:space="preserve">. </w:t>
      </w:r>
      <w:r>
        <w:rPr>
          <w:rFonts w:ascii="Arial" w:hAnsi="Arial" w:cs="Arial"/>
        </w:rPr>
        <w:t xml:space="preserve">The osteoclastogenesis involves activation of various adaptor proteins and transcription factors including nuclear factor </w:t>
      </w:r>
      <w:r>
        <w:rPr>
          <w:rFonts w:ascii="Arial" w:hAnsi="Arial" w:cs="Arial"/>
        </w:rPr>
        <w:sym w:font="Symbol" w:char="F06B"/>
      </w:r>
      <w:r>
        <w:rPr>
          <w:rFonts w:ascii="Arial" w:hAnsi="Arial" w:cs="Arial"/>
        </w:rPr>
        <w:sym w:font="Symbol" w:char="F062"/>
      </w:r>
      <w:r>
        <w:rPr>
          <w:rFonts w:ascii="Arial" w:hAnsi="Arial" w:cs="Arial"/>
        </w:rPr>
        <w:t xml:space="preserve"> (NF-</w:t>
      </w:r>
      <w:r>
        <w:rPr>
          <w:rFonts w:ascii="Arial" w:hAnsi="Arial" w:cs="Arial"/>
        </w:rPr>
        <w:sym w:font="Symbol" w:char="F06B"/>
      </w:r>
      <w:r>
        <w:rPr>
          <w:rFonts w:ascii="Arial" w:hAnsi="Arial" w:cs="Arial"/>
        </w:rPr>
        <w:sym w:font="Symbol" w:char="F062"/>
      </w:r>
      <w:r>
        <w:rPr>
          <w:rFonts w:ascii="Arial" w:hAnsi="Arial" w:cs="Arial"/>
        </w:rPr>
        <w:t>), activator protein 1 (AP-1), nuclear factor of activated T-cells cytoplasmic 1 (NFATc1) and expression of other essential osteoclast genes, which allow final differentiation and function of osteoclasts</w:t>
      </w:r>
      <w:r w:rsidR="00D842DC">
        <w:rPr>
          <w:rFonts w:ascii="Arial" w:hAnsi="Arial" w:cs="Arial"/>
        </w:rPr>
        <w:t xml:space="preserve"> </w:t>
      </w:r>
      <w:r w:rsidR="00D842DC">
        <w:rPr>
          <w:rFonts w:ascii="Arial" w:hAnsi="Arial" w:cs="Arial"/>
        </w:rPr>
        <w:fldChar w:fldCharType="begin">
          <w:fldData xml:space="preserve">PEVuZE5vdGU+PENpdGU+PEF1dGhvcj5QZWV0PC9BdXRob3I+PFllYXI+MTk5OTwvWWVhcj48UmVj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PEVuZE5vdGU+PENpdGU+PEF1dGhvcj5QZWV0PC9BdXRob3I+PFllYXI+MTk5OTwvWWVhcj48UmVj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D842DC">
        <w:rPr>
          <w:rFonts w:ascii="Arial" w:hAnsi="Arial" w:cs="Arial"/>
        </w:rPr>
      </w:r>
      <w:r w:rsidR="00D842DC">
        <w:rPr>
          <w:rFonts w:ascii="Arial" w:hAnsi="Arial" w:cs="Arial"/>
        </w:rPr>
        <w:fldChar w:fldCharType="separate"/>
      </w:r>
      <w:r w:rsidR="00D842DC">
        <w:rPr>
          <w:rFonts w:ascii="Arial" w:hAnsi="Arial" w:cs="Arial"/>
          <w:noProof/>
        </w:rPr>
        <w:t>(Peet et al., 1999, Humphrey et al., 2005, Xiong et al., 2011)</w:t>
      </w:r>
      <w:r w:rsidR="00D842DC">
        <w:rPr>
          <w:rFonts w:ascii="Arial" w:hAnsi="Arial" w:cs="Arial"/>
        </w:rPr>
        <w:fldChar w:fldCharType="end"/>
      </w:r>
      <w:r w:rsidR="00D842DC">
        <w:rPr>
          <w:rFonts w:ascii="Arial" w:hAnsi="Arial" w:cs="Arial"/>
        </w:rPr>
        <w:t>.</w:t>
      </w:r>
    </w:p>
    <w:p w14:paraId="3832DB5A" w14:textId="77777777" w:rsidR="007B76C3" w:rsidRDefault="007B76C3" w:rsidP="007B76C3">
      <w:pPr>
        <w:spacing w:line="480" w:lineRule="auto"/>
        <w:jc w:val="both"/>
        <w:rPr>
          <w:rFonts w:ascii="Arial" w:hAnsi="Arial" w:cs="Arial"/>
        </w:rPr>
      </w:pPr>
    </w:p>
    <w:p w14:paraId="1215D98D" w14:textId="77777777" w:rsidR="007B76C3" w:rsidRDefault="007B76C3" w:rsidP="007B76C3">
      <w:pPr>
        <w:spacing w:line="480" w:lineRule="auto"/>
        <w:jc w:val="both"/>
        <w:rPr>
          <w:rFonts w:ascii="Arial" w:hAnsi="Arial" w:cs="Arial"/>
        </w:rPr>
      </w:pPr>
      <w:r>
        <w:rPr>
          <w:rFonts w:ascii="Arial" w:hAnsi="Arial" w:cs="Arial"/>
        </w:rPr>
        <w:t xml:space="preserve">In order to resorb the bone, osteoclasts attach to the bone surface </w:t>
      </w:r>
      <w:r w:rsidR="00D842DC">
        <w:rPr>
          <w:rFonts w:ascii="Arial" w:hAnsi="Arial" w:cs="Arial"/>
        </w:rPr>
        <w:t>with</w:t>
      </w:r>
      <w:r>
        <w:rPr>
          <w:rFonts w:ascii="Arial" w:hAnsi="Arial" w:cs="Arial"/>
        </w:rPr>
        <w:t xml:space="preserve"> integrin α</w:t>
      </w:r>
      <w:r>
        <w:rPr>
          <w:rFonts w:ascii="Arial" w:hAnsi="Arial" w:cs="Arial"/>
          <w:vertAlign w:val="subscript"/>
        </w:rPr>
        <w:t>v</w:t>
      </w:r>
      <w:r>
        <w:rPr>
          <w:rFonts w:ascii="Arial" w:hAnsi="Arial" w:cs="Arial"/>
        </w:rPr>
        <w:t>β</w:t>
      </w:r>
      <w:r>
        <w:rPr>
          <w:rFonts w:ascii="Arial" w:hAnsi="Arial" w:cs="Arial"/>
          <w:vertAlign w:val="subscript"/>
        </w:rPr>
        <w:t>3</w:t>
      </w:r>
      <w:r w:rsidR="00997B0D">
        <w:rPr>
          <w:rFonts w:ascii="Arial" w:hAnsi="Arial" w:cs="Arial"/>
          <w:vertAlign w:val="subscript"/>
        </w:rPr>
        <w:t xml:space="preserve"> </w:t>
      </w:r>
      <w:r>
        <w:rPr>
          <w:rFonts w:ascii="Arial" w:hAnsi="Arial" w:cs="Arial"/>
        </w:rPr>
        <w:t xml:space="preserve">and destruct the bone matrix. They form distinct membrane domains including the sealing zone, the ruffled border, the basolateral and the functional secretory domains </w:t>
      </w:r>
      <w:r w:rsidR="00BD3758">
        <w:rPr>
          <w:rFonts w:ascii="Arial" w:hAnsi="Arial" w:cs="Arial"/>
        </w:rPr>
        <w:fldChar w:fldCharType="begin"/>
      </w:r>
      <w:r w:rsidR="0000415D">
        <w:rPr>
          <w:rFonts w:ascii="Arial" w:hAnsi="Arial" w:cs="Arial"/>
        </w:rPr>
        <w:instrText xml:space="preserve"> ADDIN EN.CITE &lt;EndNote&gt;&lt;Cite&gt;&lt;Author&gt;Väänänen&lt;/Author&gt;&lt;Year&gt;2000&lt;/Year&gt;&lt;RecNum&gt;315&lt;/RecNum&gt;&lt;DisplayText&gt;(Väänänen et al., 2000)&lt;/DisplayText&gt;&lt;record&gt;&lt;rec-number&gt;315&lt;/rec-number&gt;&lt;foreign-keys&gt;&lt;key app="EN" db-id="ae9rewfrpdttrheppfxxv0p4950wpd25r09x" timestamp="1520658297"&gt;315&lt;/key&gt;&lt;/foreign-keys&gt;&lt;ref-type name="Journal Article"&gt;17&lt;/ref-type&gt;&lt;contributors&gt;&lt;authors&gt;&lt;author&gt;Väänänen, H. K.&lt;/author&gt;&lt;author&gt;Zhao, H.&lt;/author&gt;&lt;author&gt;Mulari, M.&lt;/author&gt;&lt;author&gt;Halleen, J. M.&lt;/author&gt;&lt;/authors&gt;&lt;/contributors&gt;&lt;titles&gt;&lt;title&gt;The cell biology of osteoclast function&lt;/title&gt;&lt;secondary-title&gt;Journal of cell science&lt;/secondary-title&gt;&lt;/titles&gt;&lt;periodical&gt;&lt;full-title&gt;Journal of Cell Science&lt;/full-title&gt;&lt;/periodical&gt;&lt;pages&gt;377-81&lt;/pages&gt;&lt;volume&gt;113 (Pt 3)&lt;/volume&gt;&lt;keywords&gt;&lt;keyword&gt;Bone Resorption -- Pathology&lt;/keyword&gt;&lt;keyword&gt;Osteoclasts -- Cytology&lt;/keyword&gt;&lt;/keywords&gt;&lt;dates&gt;&lt;year&gt;2000&lt;/year&gt;&lt;/dates&gt;&lt;isbn&gt;0021-9533&lt;/isbn&gt;&lt;urls&gt;&lt;/urls&gt;&lt;/record&gt;&lt;/Cite&gt;&lt;/EndNote&gt;</w:instrText>
      </w:r>
      <w:r w:rsidR="00BD3758">
        <w:rPr>
          <w:rFonts w:ascii="Arial" w:hAnsi="Arial" w:cs="Arial"/>
        </w:rPr>
        <w:fldChar w:fldCharType="separate"/>
      </w:r>
      <w:r w:rsidR="00BD3758">
        <w:rPr>
          <w:rFonts w:ascii="Arial" w:hAnsi="Arial" w:cs="Arial"/>
          <w:noProof/>
        </w:rPr>
        <w:t>(Väänänen et al., 2000)</w:t>
      </w:r>
      <w:r w:rsidR="00BD3758">
        <w:rPr>
          <w:rFonts w:ascii="Arial" w:hAnsi="Arial" w:cs="Arial"/>
        </w:rPr>
        <w:fldChar w:fldCharType="end"/>
      </w:r>
      <w:r>
        <w:rPr>
          <w:rFonts w:ascii="Arial" w:hAnsi="Arial" w:cs="Arial"/>
        </w:rPr>
        <w:t xml:space="preserve">. Osteoclasts then secrete lytic enzymes including proteases, cathepsin K and </w:t>
      </w:r>
      <w:r>
        <w:rPr>
          <w:rFonts w:ascii="Arial" w:hAnsi="Arial" w:cs="Arial"/>
        </w:rPr>
        <w:lastRenderedPageBreak/>
        <w:t xml:space="preserve">tartrate-resistant acid phosphatase (TRAP) on the bone surface and create acidic environment by secreting HCI to digest collagen, resorb hydroxyapatite and exhume resorption pits into the bone </w:t>
      </w:r>
      <w:r>
        <w:rPr>
          <w:rFonts w:ascii="Arial" w:hAnsi="Arial" w:cs="Arial"/>
        </w:rPr>
        <w:fldChar w:fldCharType="begin">
          <w:fldData xml:space="preserve">PEVuZE5vdGU+PENpdGU+PEF1dGhvcj5NdWxhcmk8L0F1dGhvcj48WWVhcj4yMDAzPC9ZZWFyPjxS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</w:fldData>
        </w:fldChar>
      </w:r>
      <w:r w:rsidR="00A108A1">
        <w:rPr>
          <w:rFonts w:ascii="Arial" w:hAnsi="Arial" w:cs="Arial"/>
        </w:rPr>
        <w:instrText xml:space="preserve"> ADDIN EN.CITE </w:instrText>
      </w:r>
      <w:r w:rsidR="00A108A1">
        <w:rPr>
          <w:rFonts w:ascii="Arial" w:hAnsi="Arial" w:cs="Arial"/>
        </w:rPr>
        <w:fldChar w:fldCharType="begin">
          <w:fldData xml:space="preserve">PEVuZE5vdGU+PENpdGU+PEF1dGhvcj5NdWxhcmk8L0F1dGhvcj48WWVhcj4yMDAzPC9ZZWFyPjxS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</w:fldData>
        </w:fldChar>
      </w:r>
      <w:r w:rsidR="00A108A1">
        <w:rPr>
          <w:rFonts w:ascii="Arial" w:hAnsi="Arial" w:cs="Arial"/>
        </w:rPr>
        <w:instrText xml:space="preserve"> ADDIN EN.CITE.DATA </w:instrText>
      </w:r>
      <w:r w:rsidR="00A108A1">
        <w:rPr>
          <w:rFonts w:ascii="Arial" w:hAnsi="Arial" w:cs="Arial"/>
        </w:rPr>
      </w:r>
      <w:r w:rsidR="00A108A1">
        <w:rPr>
          <w:rFonts w:ascii="Arial" w:hAnsi="Arial" w:cs="Arial"/>
        </w:rPr>
        <w:fldChar w:fldCharType="end"/>
      </w:r>
      <w:r>
        <w:rPr>
          <w:rFonts w:ascii="Arial" w:hAnsi="Arial" w:cs="Arial"/>
        </w:rPr>
      </w:r>
      <w:r>
        <w:rPr>
          <w:rFonts w:ascii="Arial" w:hAnsi="Arial" w:cs="Arial"/>
        </w:rPr>
        <w:fldChar w:fldCharType="separate"/>
      </w:r>
      <w:r w:rsidR="00FD143C">
        <w:rPr>
          <w:rFonts w:ascii="Arial" w:hAnsi="Arial" w:cs="Arial"/>
          <w:noProof/>
        </w:rPr>
        <w:t>(Mulari et al., 2003, Ljusberg et al., 2005, Eriksen, 2010)</w:t>
      </w:r>
      <w:r>
        <w:rPr>
          <w:rFonts w:ascii="Arial" w:hAnsi="Arial" w:cs="Arial"/>
        </w:rPr>
        <w:fldChar w:fldCharType="end"/>
      </w:r>
      <w:r>
        <w:rPr>
          <w:rFonts w:ascii="Arial" w:hAnsi="Arial" w:cs="Arial"/>
        </w:rPr>
        <w:t>. Osteoclasts endocytose degraded matrix components and excrete by functional secretory domain (FSD)</w:t>
      </w:r>
      <w:r w:rsidR="00BD3758">
        <w:rPr>
          <w:rFonts w:ascii="Arial" w:hAnsi="Arial" w:cs="Arial"/>
        </w:rPr>
        <w:t>, which is</w:t>
      </w:r>
      <w:r>
        <w:rPr>
          <w:rFonts w:ascii="Arial" w:hAnsi="Arial" w:cs="Arial"/>
        </w:rPr>
        <w:t xml:space="preserve"> present on the basolateral membrane </w:t>
      </w:r>
      <w:r w:rsidR="00BD3758">
        <w:rPr>
          <w:rFonts w:ascii="Arial" w:hAnsi="Arial" w:cs="Arial"/>
        </w:rPr>
        <w:fldChar w:fldCharType="begin"/>
      </w:r>
      <w:r w:rsidR="00A108A1">
        <w:rPr>
          <w:rFonts w:ascii="Arial" w:hAnsi="Arial" w:cs="Arial"/>
        </w:rPr>
        <w:instrText xml:space="preserve"> ADDIN EN.CITE &lt;EndNote&gt;&lt;Cite&gt;&lt;Author&gt;Nesbitt&lt;/Author&gt;&lt;Year&gt;1997&lt;/Year&gt;&lt;RecNum&gt;316&lt;/RecNum&gt;&lt;DisplayText&gt;(Nesbitt and Horton, 1997)&lt;/DisplayText&gt;&lt;record&gt;&lt;rec-number&gt;316&lt;/rec-number&gt;&lt;foreign-keys&gt;&lt;key app="EN" db-id="ae9rewfrpdttrheppfxxv0p4950wpd25r09x" timestamp="1520658297"&gt;316&lt;/key&gt;&lt;/foreign-keys&gt;&lt;ref-type name="Journal Article"&gt;17&lt;/ref-type&gt;&lt;contributors&gt;&lt;authors&gt;&lt;author&gt;Nesbitt, Stephen A.&lt;/author&gt;&lt;author&gt;Horton, Michael A.&lt;/author&gt;&lt;/authors&gt;&lt;/contributors&gt;&lt;titles&gt;&lt;title&gt;Trafficking of Matrix Collagens Through Bone- Resorbing Osteoclasts&lt;/title&gt;&lt;secondary-title&gt;Science&lt;/secondary-title&gt;&lt;/titles&gt;&lt;periodical&gt;&lt;full-title&gt;Science&lt;/full-title&gt;&lt;/periodical&gt;&lt;pages&gt;266-269&lt;/pages&gt;&lt;volume&gt;276&lt;/volume&gt;&lt;number&gt;5310&lt;/number&gt;&lt;keywords&gt;&lt;keyword&gt;Sciences (General)&lt;/keyword&gt;&lt;keyword&gt;Biology&lt;/keyword&gt;&lt;/keywords&gt;&lt;dates&gt;&lt;year&gt;1997&lt;/year&gt;&lt;/dates&gt;&lt;isbn&gt;00368075&lt;/isbn&gt;&lt;urls&gt;&lt;/urls&gt;&lt;electronic-resource-num&gt;10.1126/science.276.5310.266&lt;/electronic-resource-num&gt;&lt;/record&gt;&lt;/Cite&gt;&lt;/EndNote&gt;</w:instrText>
      </w:r>
      <w:r w:rsidR="00BD3758">
        <w:rPr>
          <w:rFonts w:ascii="Arial" w:hAnsi="Arial" w:cs="Arial"/>
        </w:rPr>
        <w:fldChar w:fldCharType="separate"/>
      </w:r>
      <w:r w:rsidR="00BD3758">
        <w:rPr>
          <w:rFonts w:ascii="Arial" w:hAnsi="Arial" w:cs="Arial"/>
          <w:noProof/>
        </w:rPr>
        <w:t>(Nesbitt and Horton, 1997)</w:t>
      </w:r>
      <w:r w:rsidR="00BD3758">
        <w:rPr>
          <w:rFonts w:ascii="Arial" w:hAnsi="Arial" w:cs="Arial"/>
        </w:rPr>
        <w:fldChar w:fldCharType="end"/>
      </w:r>
      <w:r w:rsidR="00BD3758">
        <w:rPr>
          <w:rFonts w:ascii="Arial" w:hAnsi="Arial" w:cs="Arial"/>
        </w:rPr>
        <w:t>.</w:t>
      </w:r>
      <w:r>
        <w:rPr>
          <w:rFonts w:ascii="Arial" w:hAnsi="Arial" w:cs="Arial"/>
        </w:rPr>
        <w:t xml:space="preserve"> Other than bone resorption, osteoclasts </w:t>
      </w:r>
      <w:r w:rsidR="00BD3758">
        <w:rPr>
          <w:rFonts w:ascii="Arial" w:hAnsi="Arial" w:cs="Arial"/>
        </w:rPr>
        <w:t xml:space="preserve">may </w:t>
      </w:r>
      <w:r>
        <w:rPr>
          <w:rFonts w:ascii="Arial" w:hAnsi="Arial" w:cs="Arial"/>
        </w:rPr>
        <w:t>regulate the differentiation of osteoblast precursors, secrete cytokines and participate in immune responses</w:t>
      </w:r>
      <w:r w:rsidR="000C5D62">
        <w:rPr>
          <w:rFonts w:ascii="Arial" w:hAnsi="Arial" w:cs="Arial"/>
        </w:rPr>
        <w:t xml:space="preserve"> </w:t>
      </w:r>
      <w:r w:rsidR="000C5D62">
        <w:rPr>
          <w:rFonts w:ascii="Arial" w:hAnsi="Arial" w:cs="Arial"/>
        </w:rPr>
        <w:fldChar w:fldCharType="begin"/>
      </w:r>
      <w:r w:rsidR="000C5D62">
        <w:rPr>
          <w:rFonts w:ascii="Arial" w:hAnsi="Arial" w:cs="Arial"/>
        </w:rPr>
        <w:instrText xml:space="preserve"> ADDIN EN.CITE &lt;EndNote&gt;&lt;Cite&gt;&lt;Author&gt;Boyce&lt;/Author&gt;&lt;Year&gt;2009&lt;/Year&gt;&lt;RecNum&gt;129&lt;/RecNum&gt;&lt;DisplayText&gt;(Boyce et al., 2009)&lt;/DisplayText&gt;&lt;record&gt;&lt;rec-number&gt;129&lt;/rec-number&gt;&lt;foreign-keys&gt;&lt;key app="EN" db-id="wpsvwwtdrfvxshef2e5prez9td52f02rxz5p" timestamp="1419392398"&gt;129&lt;/key&gt;&lt;/foreign-keys&gt;&lt;ref-type name="Journal Article"&gt;17&lt;/ref-type&gt;&lt;contributors&gt;&lt;authors&gt;&lt;author&gt;Boyce, B. F., &lt;/author&gt;&lt;author&gt;Yao, Z.,&lt;/author&gt;&lt;author&gt;Xing, L.&lt;/author&gt;&lt;/authors&gt;&lt;/contributors&gt;&lt;titles&gt;&lt;title&gt;Osteoclasts have multiple roles in bone in addition to bone resorption.&lt;/title&gt;&lt;secondary-title&gt;Crit Rev Eukaryot Gene Expr &lt;/secondary-title&gt;&lt;/titles&gt;&lt;periodical&gt;&lt;full-title&gt;Crit Rev Eukaryot Gene Expr&lt;/full-title&gt;&lt;/periodical&gt;&lt;pages&gt;171-180&lt;/pages&gt;&lt;volume&gt;19(3)&lt;/volume&gt;&lt;section&gt;171&lt;/section&gt;&lt;dates&gt;&lt;year&gt;2009&lt;/year&gt;&lt;/dates&gt;&lt;urls&gt;&lt;/urls&gt;&lt;/record&gt;&lt;/Cite&gt;&lt;/EndNote&gt;</w:instrText>
      </w:r>
      <w:r w:rsidR="000C5D62">
        <w:rPr>
          <w:rFonts w:ascii="Arial" w:hAnsi="Arial" w:cs="Arial"/>
        </w:rPr>
        <w:fldChar w:fldCharType="separate"/>
      </w:r>
      <w:r w:rsidR="000C5D62">
        <w:rPr>
          <w:rFonts w:ascii="Arial" w:hAnsi="Arial" w:cs="Arial"/>
          <w:noProof/>
        </w:rPr>
        <w:t>(Boyce et al., 2009)</w:t>
      </w:r>
      <w:r w:rsidR="000C5D62">
        <w:rPr>
          <w:rFonts w:ascii="Arial" w:hAnsi="Arial" w:cs="Arial"/>
        </w:rPr>
        <w:fldChar w:fldCharType="end"/>
      </w:r>
      <w:r w:rsidR="000C5D62">
        <w:rPr>
          <w:rFonts w:ascii="Arial" w:hAnsi="Arial" w:cs="Arial"/>
        </w:rPr>
        <w:t>.</w:t>
      </w:r>
    </w:p>
    <w:p w14:paraId="6B47AA98" w14:textId="77777777" w:rsidR="007B76C3" w:rsidRDefault="007B76C3" w:rsidP="007B76C3">
      <w:pPr>
        <w:spacing w:line="480" w:lineRule="auto"/>
        <w:jc w:val="both"/>
        <w:rPr>
          <w:rFonts w:ascii="Arial" w:hAnsi="Arial" w:cs="Arial"/>
          <w:b/>
        </w:rPr>
      </w:pPr>
    </w:p>
    <w:p w14:paraId="37688826" w14:textId="77777777" w:rsidR="007B76C3" w:rsidRDefault="007B76C3" w:rsidP="007B76C3">
      <w:pPr>
        <w:spacing w:line="480" w:lineRule="auto"/>
        <w:jc w:val="both"/>
        <w:rPr>
          <w:rFonts w:ascii="Arial" w:hAnsi="Arial" w:cs="Arial"/>
        </w:rPr>
      </w:pPr>
      <w:r>
        <w:rPr>
          <w:rFonts w:ascii="Arial" w:hAnsi="Arial" w:cs="Arial"/>
          <w:b/>
        </w:rPr>
        <w:t xml:space="preserve">Osteoblasts </w:t>
      </w:r>
      <w:r w:rsidRPr="00D7186A">
        <w:rPr>
          <w:rFonts w:ascii="Arial" w:hAnsi="Arial" w:cs="Arial"/>
        </w:rPr>
        <w:t xml:space="preserve">are </w:t>
      </w:r>
      <w:r>
        <w:rPr>
          <w:rFonts w:ascii="Arial" w:hAnsi="Arial" w:cs="Arial"/>
        </w:rPr>
        <w:t xml:space="preserve">responsible for bone formation in modelling </w:t>
      </w:r>
      <w:r w:rsidR="00AA3CB0">
        <w:rPr>
          <w:rFonts w:ascii="Arial" w:hAnsi="Arial" w:cs="Arial"/>
        </w:rPr>
        <w:t>during</w:t>
      </w:r>
      <w:r>
        <w:rPr>
          <w:rFonts w:ascii="Arial" w:hAnsi="Arial" w:cs="Arial"/>
        </w:rPr>
        <w:t xml:space="preserve"> development and bone remodelling in the adult throughout life. They originate from mesenchymal stem cells (MSCs), which also produce chondrocytes and adipocytes. The differentiation from MSCs into proliferating pre-osteoblasts and osteoblasts is achieved by the presence of key transcription factors including runt-related transcription factor 2 (Runx2) </w:t>
      </w:r>
      <w:r w:rsidR="00CB644B">
        <w:rPr>
          <w:rFonts w:ascii="Arial" w:hAnsi="Arial" w:cs="Arial"/>
        </w:rPr>
        <w:fldChar w:fldCharType="begin"/>
      </w:r>
      <w:r w:rsidR="00A108A1">
        <w:rPr>
          <w:rFonts w:ascii="Arial" w:hAnsi="Arial" w:cs="Arial"/>
        </w:rPr>
        <w:instrText xml:space="preserve"> ADDIN EN.CITE &lt;EndNote&gt;&lt;Cite&gt;&lt;Author&gt;Komori&lt;/Author&gt;&lt;Year&gt;2010&lt;/Year&gt;&lt;RecNum&gt;317&lt;/RecNum&gt;&lt;DisplayText&gt;(Komori, 2010)&lt;/DisplayText&gt;&lt;record&gt;&lt;rec-number&gt;317&lt;/rec-number&gt;&lt;foreign-keys&gt;&lt;key app="EN" db-id="ae9rewfrpdttrheppfxxv0p4950wpd25r09x" timestamp="1520658297"&gt;317&lt;/key&gt;&lt;/foreign-keys&gt;&lt;ref-type name="Journal Article"&gt;17&lt;/ref-type&gt;&lt;contributors&gt;&lt;authors&gt;&lt;author&gt;Komori, Toshihisa&lt;/author&gt;&lt;/authors&gt;&lt;/contributors&gt;&lt;titles&gt;&lt;title&gt;Regulation of bone development and extracellular matrix protein genes by RUNX2&lt;/title&gt;&lt;secondary-title&gt;Cell and Tissue Research&lt;/secondary-title&gt;&lt;/titles&gt;&lt;periodical&gt;&lt;full-title&gt;Cell and Tissue Research&lt;/full-title&gt;&lt;/periodical&gt;&lt;pages&gt;189-195&lt;/pages&gt;&lt;volume&gt;339&lt;/volume&gt;&lt;number&gt;1&lt;/number&gt;&lt;keywords&gt;&lt;keyword&gt;RUNX2&lt;/keyword&gt;&lt;keyword&gt;COL1A1&lt;/keyword&gt;&lt;keyword&gt;SPP1&lt;/keyword&gt;&lt;keyword&gt;BGLAP&lt;/keyword&gt;&lt;keyword&gt;IBSP&lt;/keyword&gt;&lt;keyword&gt;Extracellular matrix&lt;/keyword&gt;&lt;keyword&gt;Skeletal development&lt;/keyword&gt;&lt;/keywords&gt;&lt;dates&gt;&lt;year&gt;2010&lt;/year&gt;&lt;/dates&gt;&lt;pub-location&gt;Berlin/Heidelberg&lt;/pub-location&gt;&lt;isbn&gt;0302-766X&lt;/isbn&gt;&lt;urls&gt;&lt;/urls&gt;&lt;electronic-resource-num&gt;10.1007/s00441-009-0832-8&lt;/electronic-resource-num&gt;&lt;/record&gt;&lt;/Cite&gt;&lt;/EndNote&gt;</w:instrText>
      </w:r>
      <w:r w:rsidR="00CB644B">
        <w:rPr>
          <w:rFonts w:ascii="Arial" w:hAnsi="Arial" w:cs="Arial"/>
        </w:rPr>
        <w:fldChar w:fldCharType="separate"/>
      </w:r>
      <w:r w:rsidR="00CB644B">
        <w:rPr>
          <w:rFonts w:ascii="Arial" w:hAnsi="Arial" w:cs="Arial"/>
          <w:noProof/>
        </w:rPr>
        <w:t>(Komori, 2010)</w:t>
      </w:r>
      <w:r w:rsidR="00CB644B">
        <w:rPr>
          <w:rFonts w:ascii="Arial" w:hAnsi="Arial" w:cs="Arial"/>
        </w:rPr>
        <w:fldChar w:fldCharType="end"/>
      </w:r>
      <w:r>
        <w:rPr>
          <w:rFonts w:ascii="Arial" w:hAnsi="Arial" w:cs="Arial"/>
        </w:rPr>
        <w:t xml:space="preserve">, osterix </w:t>
      </w:r>
      <w:r w:rsidR="00CB644B">
        <w:rPr>
          <w:rFonts w:ascii="Arial" w:hAnsi="Arial" w:cs="Arial"/>
        </w:rPr>
        <w:fldChar w:fldCharType="begin"/>
      </w:r>
      <w:r w:rsidR="00A108A1">
        <w:rPr>
          <w:rFonts w:ascii="Arial" w:hAnsi="Arial" w:cs="Arial"/>
        </w:rPr>
        <w:instrText xml:space="preserve"> ADDIN EN.CITE &lt;EndNote&gt;&lt;Cite&gt;&lt;Author&gt;Nakashima&lt;/Author&gt;&lt;Year&gt;2002&lt;/Year&gt;&lt;RecNum&gt;318&lt;/RecNum&gt;&lt;DisplayText&gt;(Nakashima et al., 2002)&lt;/DisplayText&gt;&lt;record&gt;&lt;rec-number&gt;318&lt;/rec-number&gt;&lt;foreign-keys&gt;&lt;key app="EN" db-id="ae9rewfrpdttrheppfxxv0p4950wpd25r09x" timestamp="1520658297"&gt;318&lt;/key&gt;&lt;/foreign-keys&gt;&lt;ref-type name="Journal Article"&gt;17&lt;/ref-type&gt;&lt;contributors&gt;&lt;authors&gt;&lt;author&gt;Nakashima, Kazuhisa&lt;/author&gt;&lt;author&gt;Zhou, Xin&lt;/author&gt;&lt;author&gt;Kunkel, Gary&lt;/author&gt;&lt;author&gt;Zhang, Zhaoping&lt;/author&gt;&lt;author&gt;Deng, Jian Min&lt;/author&gt;&lt;author&gt;Behringer, Richard R.&lt;/author&gt;&lt;author&gt;de Crombrugghe, Benoit&lt;/author&gt;&lt;/authors&gt;&lt;/contributors&gt;&lt;titles&gt;&lt;title&gt;The Novel Zinc Finger- Containing Transcription Factor Osterix Is Required for Osteoblast Differentiation and Bone Formation&lt;/title&gt;&lt;secondary-title&gt;Cell&lt;/secondary-title&gt;&lt;/titles&gt;&lt;periodical&gt;&lt;full-title&gt;Cell&lt;/full-title&gt;&lt;/periodical&gt;&lt;pages&gt;17-29&lt;/pages&gt;&lt;volume&gt;108&lt;/volume&gt;&lt;number&gt;1&lt;/number&gt;&lt;keywords&gt;&lt;keyword&gt;Transcription Factors&lt;/keyword&gt;&lt;keyword&gt;Differentiation&lt;/keyword&gt;&lt;keyword&gt;Osteoblasts&lt;/keyword&gt;&lt;keyword&gt;Bone&lt;/keyword&gt;&lt;keyword&gt;Zinc Finger Proteins&lt;/keyword&gt;&lt;keyword&gt;Chondrocytes&lt;/keyword&gt;&lt;keyword&gt;Runx2/Cbfa1 Gene&lt;/keyword&gt;&lt;keyword&gt;Osterix&lt;/keyword&gt;&lt;keyword&gt;Rodentia (Mice)&lt;/keyword&gt;&lt;keyword&gt;Mice&lt;/keyword&gt;&lt;keyword&gt;Osterix&lt;/keyword&gt;&lt;keyword&gt;Runx2/Cbfa1 Gene&lt;/keyword&gt;&lt;keyword&gt;Mice&lt;/keyword&gt;&lt;/keywords&gt;&lt;dates&gt;&lt;year&gt;2002&lt;/year&gt;&lt;/dates&gt;&lt;isbn&gt;0092-8674&lt;/isbn&gt;&lt;urls&gt;&lt;/urls&gt;&lt;electronic-resource-num&gt;10.1016/S0092-8674(01)00622-5&lt;/electronic-resource-num&gt;&lt;/record&gt;&lt;/Cite&gt;&lt;/EndNote&gt;</w:instrText>
      </w:r>
      <w:r w:rsidR="00CB644B">
        <w:rPr>
          <w:rFonts w:ascii="Arial" w:hAnsi="Arial" w:cs="Arial"/>
        </w:rPr>
        <w:fldChar w:fldCharType="separate"/>
      </w:r>
      <w:r w:rsidR="00CB644B">
        <w:rPr>
          <w:rFonts w:ascii="Arial" w:hAnsi="Arial" w:cs="Arial"/>
          <w:noProof/>
        </w:rPr>
        <w:t>(Nakashima et al., 2002)</w:t>
      </w:r>
      <w:r w:rsidR="00CB644B">
        <w:rPr>
          <w:rFonts w:ascii="Arial" w:hAnsi="Arial" w:cs="Arial"/>
        </w:rPr>
        <w:fldChar w:fldCharType="end"/>
      </w:r>
      <w:r>
        <w:rPr>
          <w:rFonts w:ascii="Arial" w:hAnsi="Arial" w:cs="Arial"/>
        </w:rPr>
        <w:t>, lipoprotein receptor-related proteins 5 and 6 (LRP5 and LRP6) and activation of their downstream Wnt signalling pathways</w:t>
      </w:r>
      <w:r w:rsidR="006469B5">
        <w:rPr>
          <w:rFonts w:ascii="Arial" w:hAnsi="Arial" w:cs="Arial"/>
        </w:rPr>
        <w:t xml:space="preserve"> </w:t>
      </w:r>
      <w:r w:rsidR="006469B5">
        <w:rPr>
          <w:rFonts w:ascii="Arial" w:hAnsi="Arial" w:cs="Arial"/>
        </w:rPr>
        <w:fldChar w:fldCharType="begin">
          <w:fldData xml:space="preserve">PEVuZE5vdGU+PENpdGU+PEF1dGhvcj5EdWN5PC9BdXRob3I+PFllYXI+MTk5NzwvWWVhcj48UmVj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==
</w:fldData>
        </w:fldChar>
      </w:r>
      <w:r w:rsidR="00A108A1">
        <w:rPr>
          <w:rFonts w:ascii="Arial" w:hAnsi="Arial" w:cs="Arial"/>
        </w:rPr>
        <w:instrText xml:space="preserve"> ADDIN EN.CITE </w:instrText>
      </w:r>
      <w:r w:rsidR="00A108A1">
        <w:rPr>
          <w:rFonts w:ascii="Arial" w:hAnsi="Arial" w:cs="Arial"/>
        </w:rPr>
        <w:fldChar w:fldCharType="begin">
          <w:fldData xml:space="preserve">PEVuZE5vdGU+PENpdGU+PEF1dGhvcj5EdWN5PC9BdXRob3I+PFllYXI+MTk5NzwvWWVhcj48UmVj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==
</w:fldData>
        </w:fldChar>
      </w:r>
      <w:r w:rsidR="00A108A1">
        <w:rPr>
          <w:rFonts w:ascii="Arial" w:hAnsi="Arial" w:cs="Arial"/>
        </w:rPr>
        <w:instrText xml:space="preserve"> ADDIN EN.CITE.DATA </w:instrText>
      </w:r>
      <w:r w:rsidR="00A108A1">
        <w:rPr>
          <w:rFonts w:ascii="Arial" w:hAnsi="Arial" w:cs="Arial"/>
        </w:rPr>
      </w:r>
      <w:r w:rsidR="00A108A1">
        <w:rPr>
          <w:rFonts w:ascii="Arial" w:hAnsi="Arial" w:cs="Arial"/>
        </w:rPr>
        <w:fldChar w:fldCharType="end"/>
      </w:r>
      <w:r w:rsidR="006469B5">
        <w:rPr>
          <w:rFonts w:ascii="Arial" w:hAnsi="Arial" w:cs="Arial"/>
        </w:rPr>
      </w:r>
      <w:r w:rsidR="006469B5">
        <w:rPr>
          <w:rFonts w:ascii="Arial" w:hAnsi="Arial" w:cs="Arial"/>
        </w:rPr>
        <w:fldChar w:fldCharType="separate"/>
      </w:r>
      <w:r w:rsidR="006469B5">
        <w:rPr>
          <w:rFonts w:ascii="Arial" w:hAnsi="Arial" w:cs="Arial"/>
          <w:noProof/>
        </w:rPr>
        <w:t>(Ducy et al., 1997, Westendorf et al., 2004, Crockett et al., 2011)</w:t>
      </w:r>
      <w:r w:rsidR="006469B5">
        <w:rPr>
          <w:rFonts w:ascii="Arial" w:hAnsi="Arial" w:cs="Arial"/>
        </w:rPr>
        <w:fldChar w:fldCharType="end"/>
      </w:r>
      <w:r w:rsidR="006469B5">
        <w:rPr>
          <w:rFonts w:ascii="Arial" w:hAnsi="Arial" w:cs="Arial"/>
        </w:rPr>
        <w:t>.</w:t>
      </w:r>
      <w:r>
        <w:rPr>
          <w:rFonts w:ascii="Arial" w:hAnsi="Arial" w:cs="Arial"/>
        </w:rPr>
        <w:t xml:space="preserve"> </w:t>
      </w:r>
    </w:p>
    <w:p w14:paraId="403BE841" w14:textId="77777777" w:rsidR="007B76C3" w:rsidRDefault="007B76C3" w:rsidP="007B76C3">
      <w:pPr>
        <w:spacing w:line="480" w:lineRule="auto"/>
        <w:jc w:val="both"/>
        <w:rPr>
          <w:rFonts w:ascii="Arial" w:hAnsi="Arial" w:cs="Arial"/>
        </w:rPr>
      </w:pPr>
    </w:p>
    <w:p w14:paraId="5549E645" w14:textId="77777777" w:rsidR="007B76C3" w:rsidRPr="00D27346" w:rsidRDefault="007B76C3" w:rsidP="007B76C3">
      <w:pPr>
        <w:spacing w:line="480" w:lineRule="auto"/>
        <w:jc w:val="both"/>
        <w:rPr>
          <w:rFonts w:ascii="Arial" w:hAnsi="Arial" w:cs="Arial"/>
        </w:rPr>
      </w:pPr>
      <w:r>
        <w:rPr>
          <w:rFonts w:ascii="Arial" w:hAnsi="Arial" w:cs="Arial"/>
        </w:rPr>
        <w:t>Once osteoblasts have differentiated, they are able to generate new bone by secreting bone matrix followed by its mineralisation. Fully differentiated osteob</w:t>
      </w:r>
      <w:r w:rsidR="00D918B8">
        <w:rPr>
          <w:rFonts w:ascii="Arial" w:hAnsi="Arial" w:cs="Arial"/>
        </w:rPr>
        <w:t>lasts are characterised with co-</w:t>
      </w:r>
      <w:r>
        <w:rPr>
          <w:rFonts w:ascii="Arial" w:hAnsi="Arial" w:cs="Arial"/>
        </w:rPr>
        <w:t>expression o</w:t>
      </w:r>
      <w:r w:rsidR="00161FEA">
        <w:rPr>
          <w:rFonts w:ascii="Arial" w:hAnsi="Arial" w:cs="Arial"/>
        </w:rPr>
        <w:t xml:space="preserve">f alkaline phosphatase and type </w:t>
      </w:r>
      <w:r>
        <w:rPr>
          <w:rFonts w:ascii="Arial" w:hAnsi="Arial" w:cs="Arial"/>
        </w:rPr>
        <w:t>I collagen</w:t>
      </w:r>
      <w:r w:rsidR="00D918B8">
        <w:rPr>
          <w:rFonts w:ascii="Arial" w:hAnsi="Arial" w:cs="Arial"/>
        </w:rPr>
        <w:t>;</w:t>
      </w:r>
      <w:r>
        <w:rPr>
          <w:rFonts w:ascii="Arial" w:hAnsi="Arial" w:cs="Arial"/>
        </w:rPr>
        <w:t xml:space="preserve"> both essential for the synthesis of the bone matrix and subsequent mineratisation</w:t>
      </w:r>
      <w:r w:rsidR="00D918B8">
        <w:rPr>
          <w:rFonts w:ascii="Arial" w:hAnsi="Arial" w:cs="Arial"/>
        </w:rPr>
        <w:t xml:space="preserve"> </w:t>
      </w:r>
      <w:r w:rsidR="00D918B8">
        <w:rPr>
          <w:rFonts w:ascii="Arial" w:hAnsi="Arial" w:cs="Arial"/>
        </w:rPr>
        <w:fldChar w:fldCharType="begin"/>
      </w:r>
      <w:r w:rsidR="0000415D">
        <w:rPr>
          <w:rFonts w:ascii="Arial" w:hAnsi="Arial" w:cs="Arial"/>
        </w:rPr>
        <w:instrText xml:space="preserve"> ADDIN EN.CITE &lt;EndNote&gt;&lt;Cite&gt;&lt;Author&gt;Murshed&lt;/Author&gt;&lt;Year&gt;2005&lt;/Year&gt;&lt;RecNum&gt;320&lt;/RecNum&gt;&lt;DisplayText&gt;(Murshed et al., 2005)&lt;/DisplayText&gt;&lt;record&gt;&lt;rec-number&gt;320&lt;/rec-number&gt;&lt;foreign-keys&gt;&lt;key app="EN" db-id="ae9rewfrpdttrheppfxxv0p4950wpd25r09x" timestamp="1520658297"&gt;320&lt;/key&gt;&lt;/foreign-keys&gt;&lt;ref-type name="Journal Article"&gt;17&lt;/ref-type&gt;&lt;contributors&gt;&lt;authors&gt;&lt;author&gt;Murshed, Monzur&lt;/author&gt;&lt;author&gt;Harmey, Dympna&lt;/author&gt;&lt;author&gt;Millan, Jose&lt;/author&gt;&lt;author&gt;McKee, Marc&lt;/author&gt;&lt;author&gt;Karsenty, Gerard&lt;/author&gt;&lt;/authors&gt;&lt;secondary-authors&gt;&lt;author&gt;Murshed, Monzur&lt;/author&gt;&lt;/secondary-authors&gt;&lt;/contributors&gt;&lt;titles&gt;&lt;title&gt;Unique coexpression in osteoblasts of broadly expressed genes accounts for the spatial restriction of ECM mineralization to bone&lt;/title&gt;&lt;secondary-title&gt;Genes and Development&lt;/secondary-title&gt;&lt;/titles&gt;&lt;periodical&gt;&lt;full-title&gt;Genes and Development&lt;/full-title&gt;&lt;/periodical&gt;&lt;pages&gt;1093-1104&lt;/pages&gt;&lt;volume&gt;19&lt;/volume&gt;&lt;number&gt;9&lt;/number&gt;&lt;keywords&gt;&lt;keyword&gt;Mineralization&lt;/keyword&gt;&lt;keyword&gt;Ossification (Ectopic)&lt;/keyword&gt;&lt;keyword&gt;Extracellular Matrix&lt;/keyword&gt;&lt;keyword&gt;Phosphate&lt;/keyword&gt;&lt;keyword&gt;Osteoblasts&lt;/keyword&gt;&lt;keyword&gt;Pyrophosphates&lt;/keyword&gt;&lt;keyword&gt;Soft Tissues&lt;/keyword&gt;&lt;keyword&gt;Collagen (Type I)&lt;/keyword&gt;&lt;keyword&gt;Ossification&lt;/keyword&gt;&lt;keyword&gt;Mineralization&lt;/keyword&gt;&lt;keyword&gt;Extracellular Matrix&lt;/keyword&gt;&lt;keyword&gt;Phosphate&lt;/keyword&gt;&lt;keyword&gt;Osteoblasts&lt;/keyword&gt;&lt;keyword&gt;Pyrophosphates&lt;/keyword&gt;&lt;keyword&gt;Soft Tissues&lt;/keyword&gt;&lt;keyword&gt;Collagen (Type I)&lt;/keyword&gt;&lt;keyword&gt;Enzymes&lt;/keyword&gt;&lt;keyword&gt;General&lt;/keyword&gt;&lt;keyword&gt;Calcification and Ossification&lt;/keyword&gt;&lt;keyword&gt;Tnap Protein&lt;/keyword&gt;&lt;keyword&gt;Tnap Protein&lt;/keyword&gt;&lt;keyword&gt;Tnap Protein&lt;/keyword&gt;&lt;keyword&gt;Tnap Protein&lt;/keyword&gt;&lt;/keywords&gt;&lt;dates&gt;&lt;year&gt;2005&lt;/year&gt;&lt;/dates&gt;&lt;isbn&gt;0890-9369&lt;/isbn&gt;&lt;urls&gt;&lt;/urls&gt;&lt;electronic-resource-num&gt;10.1101/gad.1276205&lt;/electronic-resource-num&gt;&lt;/record&gt;&lt;/Cite&gt;&lt;/EndNote&gt;</w:instrText>
      </w:r>
      <w:r w:rsidR="00D918B8">
        <w:rPr>
          <w:rFonts w:ascii="Arial" w:hAnsi="Arial" w:cs="Arial"/>
        </w:rPr>
        <w:fldChar w:fldCharType="separate"/>
      </w:r>
      <w:r w:rsidR="00D918B8">
        <w:rPr>
          <w:rFonts w:ascii="Arial" w:hAnsi="Arial" w:cs="Arial"/>
          <w:noProof/>
        </w:rPr>
        <w:t>(Murshed et al., 2005)</w:t>
      </w:r>
      <w:r w:rsidR="00D918B8">
        <w:rPr>
          <w:rFonts w:ascii="Arial" w:hAnsi="Arial" w:cs="Arial"/>
        </w:rPr>
        <w:fldChar w:fldCharType="end"/>
      </w:r>
      <w:r w:rsidR="00D918B8">
        <w:rPr>
          <w:rFonts w:ascii="Arial" w:hAnsi="Arial" w:cs="Arial"/>
        </w:rPr>
        <w:t xml:space="preserve">. </w:t>
      </w:r>
      <w:r>
        <w:rPr>
          <w:rFonts w:ascii="Arial" w:hAnsi="Arial" w:cs="Arial"/>
        </w:rPr>
        <w:t xml:space="preserve">This process is regulated by Wnt antagonist sclerostin released from the osteocytes and various </w:t>
      </w:r>
      <w:r w:rsidR="0028501C">
        <w:rPr>
          <w:rFonts w:ascii="Arial" w:hAnsi="Arial" w:cs="Arial"/>
        </w:rPr>
        <w:t>BMPs</w:t>
      </w:r>
      <w:r>
        <w:rPr>
          <w:rFonts w:ascii="Arial" w:hAnsi="Arial" w:cs="Arial"/>
        </w:rPr>
        <w:t xml:space="preserve"> </w:t>
      </w:r>
      <w:r>
        <w:rPr>
          <w:rFonts w:ascii="Arial" w:hAnsi="Arial" w:cs="Arial"/>
        </w:rPr>
        <w:fldChar w:fldCharType="begin"/>
      </w:r>
      <w:r w:rsidR="00B97465">
        <w:rPr>
          <w:rFonts w:ascii="Arial" w:hAnsi="Arial" w:cs="Arial"/>
        </w:rPr>
        <w:instrText xml:space="preserve"> ADDIN EN.CITE &lt;EndNote&gt;&lt;Cite&gt;&lt;Author&gt;Chen&lt;/Author&gt;&lt;Year&gt;2004&lt;/Year&gt;&lt;RecNum&gt;69&lt;/RecNum&gt;&lt;DisplayText&gt;(Chen et al., 2004, Atkins and Findlay, 2012)&lt;/DisplayText&gt;&lt;record&gt;&lt;rec-number&gt;69&lt;/rec-number&gt;&lt;foreign-keys&gt;&lt;key app="EN" db-id="ae9rewfrpdttrheppfxxv0p4950wpd25r09x" timestamp="1520657759"&gt;69&lt;/key&gt;&lt;/foreign-keys&gt;&lt;ref-type name="Journal Article"&gt;17&lt;/ref-type&gt;&lt;contributors&gt;&lt;authors&gt;&lt;author&gt;Chen, D.,&lt;/author&gt;&lt;author&gt;Zhao. M.&lt;/author&gt;&lt;author&gt;Mundy, G. R.&lt;/author&gt;&lt;/authors&gt;&lt;/contributors&gt;&lt;titles&gt;&lt;title&gt;Bone morphogenetic proteins.&lt;/title&gt;&lt;secondary-title&gt;Growth Factors&lt;/secondary-title&gt;&lt;/titles&gt;&lt;periodical&gt;&lt;full-title&gt;Growth Factors&lt;/full-title&gt;&lt;/periodical&gt;&lt;pages&gt;233-41&lt;/pages&gt;&lt;volume&gt;22(4)&lt;/volume&gt;&lt;dates&gt;&lt;year&gt;2004&lt;/year&gt;&lt;/dates&gt;&lt;urls&gt;&lt;/urls&gt;&lt;/record&gt;&lt;/Cite&gt;&lt;Cite&gt;&lt;Author&gt;Atkins&lt;/Author&gt;&lt;Year&gt;2012&lt;/Year&gt;&lt;RecNum&gt;65&lt;/RecNum&gt;&lt;record&gt;&lt;rec-number&gt;65&lt;/rec-number&gt;&lt;foreign-keys&gt;&lt;key app="EN" db-id="ae9rewfrpdttrheppfxxv0p4950wpd25r09x" timestamp="1520657723"&gt;65&lt;/key&gt;&lt;key app="ENWeb" db-id=""&gt;0&lt;/key&gt;&lt;/foreign-keys&gt;&lt;ref-type name="Journal Article"&gt;17&lt;/ref-type&gt;&lt;contributors&gt;&lt;authors&gt;&lt;author&gt;Atkins, G. J.&lt;/author&gt;&lt;author&gt;Findlay, D. M.&lt;/author&gt;&lt;/authors&gt;&lt;/contributors&gt;&lt;titles&gt;&lt;title&gt;Osteocyte regulation of bone mineral: A little give and take&lt;/title&gt;&lt;secondary-title&gt;Osteoporosis Internationall&lt;/secondary-title&gt;&lt;/titles&gt;&lt;periodical&gt;&lt;full-title&gt;Osteoporosis Internationall&lt;/full-title&gt;&lt;/periodical&gt;&lt;pages&gt;2067-2079&lt;/pages&gt;&lt;volume&gt;23&lt;/volume&gt;&lt;number&gt;8&lt;/number&gt;&lt;dates&gt;&lt;year&gt;2012&lt;/year&gt;&lt;/dates&gt;&lt;urls&gt;&lt;/urls&gt;&lt;/record&gt;&lt;/Cite&gt;&lt;/EndNote&gt;</w:instrText>
      </w:r>
      <w:r>
        <w:rPr>
          <w:rFonts w:ascii="Arial" w:hAnsi="Arial" w:cs="Arial"/>
        </w:rPr>
        <w:fldChar w:fldCharType="separate"/>
      </w:r>
      <w:r>
        <w:rPr>
          <w:rFonts w:ascii="Arial" w:hAnsi="Arial" w:cs="Arial"/>
          <w:noProof/>
        </w:rPr>
        <w:t>(Chen et al., 2004, Atkins and Findlay, 2012)</w:t>
      </w:r>
      <w:r>
        <w:rPr>
          <w:rFonts w:ascii="Arial" w:hAnsi="Arial" w:cs="Arial"/>
        </w:rPr>
        <w:fldChar w:fldCharType="end"/>
      </w:r>
      <w:r>
        <w:rPr>
          <w:rFonts w:ascii="Arial" w:hAnsi="Arial" w:cs="Arial"/>
        </w:rPr>
        <w:t>. At the end of lifespan some of the osteoblasts become incorporated into the bone matrix as osteocytes or become bone-lining cells. Some of the osteobla</w:t>
      </w:r>
      <w:r w:rsidR="00161FEA">
        <w:rPr>
          <w:rFonts w:ascii="Arial" w:hAnsi="Arial" w:cs="Arial"/>
        </w:rPr>
        <w:t xml:space="preserve">sts undergo apoptosis, Figure </w:t>
      </w:r>
      <w:r>
        <w:rPr>
          <w:rFonts w:ascii="Arial" w:hAnsi="Arial" w:cs="Arial"/>
        </w:rPr>
        <w:t xml:space="preserve">6 </w:t>
      </w:r>
      <w:r>
        <w:rPr>
          <w:rFonts w:ascii="Arial" w:hAnsi="Arial" w:cs="Arial"/>
        </w:rPr>
        <w:fldChar w:fldCharType="begin"/>
      </w:r>
      <w:r w:rsidR="00A108A1">
        <w:rPr>
          <w:rFonts w:ascii="Arial" w:hAnsi="Arial" w:cs="Arial"/>
        </w:rPr>
        <w:instrText xml:space="preserve"> ADDIN EN.CITE &lt;EndNote&gt;&lt;Cite&gt;&lt;Author&gt;Jilka&lt;/Author&gt;&lt;Year&gt;1998&lt;/Year&gt;&lt;RecNum&gt;193&lt;/RecNum&gt;&lt;DisplayText&gt;(Jilka et al., 1998)&lt;/DisplayText&gt;&lt;record&gt;&lt;rec-number&gt;193&lt;/rec-number&gt;&lt;foreign-keys&gt;&lt;key app="EN" db-id="ae9rewfrpdttrheppfxxv0p4950wpd25r09x" timestamp="1520658055"&gt;193&lt;/key&gt;&lt;key app="ENWeb" db-id=""&gt;0&lt;/key&gt;&lt;/foreign-keys&gt;&lt;ref-type name="Journal Article"&gt;17&lt;/ref-type&gt;&lt;contributors&gt;&lt;authors&gt;&lt;author&gt;Jilka, Robert L.&lt;/author&gt;&lt;author&gt;Weinstein, Robert S.&lt;/author&gt;&lt;author&gt;Bellido, Teresita&lt;/author&gt;&lt;author&gt;Parfitt, A. Michael&lt;/author&gt;&lt;author&gt;Manolagas, Stavros C.&lt;/author&gt;&lt;/authors&gt;&lt;/contributors&gt;&lt;titles&gt;&lt;title&gt;Osteoblast programmed cell death ( apoptosis): Modulation by growth factors and cytokines&lt;/title&gt;&lt;secondary-title&gt;Journal of Bone and Mineral Research&lt;/secondary-title&gt;&lt;/titles&gt;&lt;periodical&gt;&lt;full-title&gt;Journal of Bone and Mineral Research&lt;/full-title&gt;&lt;/periodical&gt;&lt;pages&gt;793-802&lt;/pages&gt;&lt;volume&gt;13&lt;/volume&gt;&lt;number&gt;5&lt;/number&gt;&lt;dates&gt;&lt;year&gt;1998&lt;/year&gt;&lt;/dates&gt;&lt;isbn&gt;08840431&lt;/isbn&gt;&lt;urls&gt;&lt;/urls&gt;&lt;electronic-resource-num&gt;10.1359/jbmr.1998.13.5.793&lt;/electronic-resource-num&gt;&lt;/record&gt;&lt;/Cite&gt;&lt;/EndNote&gt;</w:instrText>
      </w:r>
      <w:r>
        <w:rPr>
          <w:rFonts w:ascii="Arial" w:hAnsi="Arial" w:cs="Arial"/>
        </w:rPr>
        <w:fldChar w:fldCharType="separate"/>
      </w:r>
      <w:r>
        <w:rPr>
          <w:rFonts w:ascii="Arial" w:hAnsi="Arial" w:cs="Arial"/>
          <w:noProof/>
        </w:rPr>
        <w:t>(Jilka et al., 1998)</w:t>
      </w:r>
      <w:r>
        <w:rPr>
          <w:rFonts w:ascii="Arial" w:hAnsi="Arial" w:cs="Arial"/>
        </w:rPr>
        <w:fldChar w:fldCharType="end"/>
      </w:r>
      <w:r>
        <w:rPr>
          <w:rFonts w:ascii="Arial" w:hAnsi="Arial" w:cs="Arial"/>
        </w:rPr>
        <w:t xml:space="preserve">. Studies of developmental bone disorders and high bone mass diseases </w:t>
      </w:r>
      <w:r>
        <w:rPr>
          <w:rFonts w:ascii="Arial" w:hAnsi="Arial" w:cs="Arial"/>
        </w:rPr>
        <w:lastRenderedPageBreak/>
        <w:t>highlighted the importance of Wnt and BMP signalling pathways for the o</w:t>
      </w:r>
      <w:r w:rsidR="00D918B8">
        <w:rPr>
          <w:rFonts w:ascii="Arial" w:hAnsi="Arial" w:cs="Arial"/>
        </w:rPr>
        <w:t xml:space="preserve">steoblast differentiation and </w:t>
      </w:r>
      <w:r>
        <w:rPr>
          <w:rFonts w:ascii="Arial" w:hAnsi="Arial" w:cs="Arial"/>
        </w:rPr>
        <w:t xml:space="preserve">function </w:t>
      </w:r>
      <w:r w:rsidR="00BD5D94">
        <w:rPr>
          <w:rFonts w:ascii="Arial" w:hAnsi="Arial" w:cs="Arial"/>
        </w:rPr>
        <w:fldChar w:fldCharType="begin">
          <w:fldData xml:space="preserve">PEVuZE5vdGU+PENpdGU+PEF1dGhvcj5DYW88L0F1dGhvcj48WWVhcj4yMDA1PC9ZZWFyPjxSZWNO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</w:fldData>
        </w:fldChar>
      </w:r>
      <w:r w:rsidR="00A108A1">
        <w:rPr>
          <w:rFonts w:ascii="Arial" w:hAnsi="Arial" w:cs="Arial"/>
        </w:rPr>
        <w:instrText xml:space="preserve"> ADDIN EN.CITE </w:instrText>
      </w:r>
      <w:r w:rsidR="00A108A1">
        <w:rPr>
          <w:rFonts w:ascii="Arial" w:hAnsi="Arial" w:cs="Arial"/>
        </w:rPr>
        <w:fldChar w:fldCharType="begin">
          <w:fldData xml:space="preserve">PEVuZE5vdGU+PENpdGU+PEF1dGhvcj5DYW88L0F1dGhvcj48WWVhcj4yMDA1PC9ZZWFyPjxSZWNO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</w:fldData>
        </w:fldChar>
      </w:r>
      <w:r w:rsidR="00A108A1">
        <w:rPr>
          <w:rFonts w:ascii="Arial" w:hAnsi="Arial" w:cs="Arial"/>
        </w:rPr>
        <w:instrText xml:space="preserve"> ADDIN EN.CITE.DATA </w:instrText>
      </w:r>
      <w:r w:rsidR="00A108A1">
        <w:rPr>
          <w:rFonts w:ascii="Arial" w:hAnsi="Arial" w:cs="Arial"/>
        </w:rPr>
      </w:r>
      <w:r w:rsidR="00A108A1">
        <w:rPr>
          <w:rFonts w:ascii="Arial" w:hAnsi="Arial" w:cs="Arial"/>
        </w:rPr>
        <w:fldChar w:fldCharType="end"/>
      </w:r>
      <w:r w:rsidR="00BD5D94">
        <w:rPr>
          <w:rFonts w:ascii="Arial" w:hAnsi="Arial" w:cs="Arial"/>
        </w:rPr>
      </w:r>
      <w:r w:rsidR="00BD5D94">
        <w:rPr>
          <w:rFonts w:ascii="Arial" w:hAnsi="Arial" w:cs="Arial"/>
        </w:rPr>
        <w:fldChar w:fldCharType="separate"/>
      </w:r>
      <w:r w:rsidR="00BD5D94">
        <w:rPr>
          <w:rFonts w:ascii="Arial" w:hAnsi="Arial" w:cs="Arial"/>
          <w:noProof/>
        </w:rPr>
        <w:t>(Cao and Chen, 2005, Day et al., 2005)</w:t>
      </w:r>
      <w:r w:rsidR="00BD5D94">
        <w:rPr>
          <w:rFonts w:ascii="Arial" w:hAnsi="Arial" w:cs="Arial"/>
        </w:rPr>
        <w:fldChar w:fldCharType="end"/>
      </w:r>
      <w:r w:rsidR="00BD5D94">
        <w:rPr>
          <w:rFonts w:ascii="Arial" w:hAnsi="Arial" w:cs="Arial"/>
        </w:rPr>
        <w:t xml:space="preserve">. </w:t>
      </w:r>
      <w:r>
        <w:rPr>
          <w:rFonts w:ascii="Arial" w:hAnsi="Arial" w:cs="Arial"/>
        </w:rPr>
        <w:t xml:space="preserve">BMP2 is used clinically to </w:t>
      </w:r>
      <w:r w:rsidR="00306E7A">
        <w:rPr>
          <w:rFonts w:ascii="Arial" w:hAnsi="Arial" w:cs="Arial"/>
        </w:rPr>
        <w:t>increase</w:t>
      </w:r>
      <w:r>
        <w:rPr>
          <w:rFonts w:ascii="Arial" w:hAnsi="Arial" w:cs="Arial"/>
        </w:rPr>
        <w:t xml:space="preserve"> bone formation during fracture repair</w:t>
      </w:r>
      <w:r w:rsidR="00B05197">
        <w:rPr>
          <w:rFonts w:ascii="Arial" w:hAnsi="Arial" w:cs="Arial"/>
        </w:rPr>
        <w:t xml:space="preserve"> </w:t>
      </w:r>
      <w:r w:rsidR="00B05197">
        <w:rPr>
          <w:rFonts w:ascii="Arial" w:hAnsi="Arial" w:cs="Arial"/>
        </w:rPr>
        <w:fldChar w:fldCharType="begin">
          <w:fldData xml:space="preserve">PEVuZE5vdGU+PENpdGU+PEF1dGhvcj5Hb3ZlbmRlcjwvQXV0aG9yPjxZZWFyPjIwMDI8L1llYXI+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</w:fldData>
        </w:fldChar>
      </w:r>
      <w:r w:rsidR="00651EFF">
        <w:rPr>
          <w:rFonts w:ascii="Arial" w:hAnsi="Arial" w:cs="Arial"/>
        </w:rPr>
        <w:instrText xml:space="preserve"> ADDIN EN.CITE </w:instrText>
      </w:r>
      <w:r w:rsidR="00651EFF">
        <w:rPr>
          <w:rFonts w:ascii="Arial" w:hAnsi="Arial" w:cs="Arial"/>
        </w:rPr>
        <w:fldChar w:fldCharType="begin">
          <w:fldData xml:space="preserve">PEVuZE5vdGU+PENpdGU+PEF1dGhvcj5Hb3ZlbmRlcjwvQXV0aG9yPjxZZWFyPjIwMDI8L1llYXI+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</w:fldData>
        </w:fldChar>
      </w:r>
      <w:r w:rsidR="00651EFF">
        <w:rPr>
          <w:rFonts w:ascii="Arial" w:hAnsi="Arial" w:cs="Arial"/>
        </w:rPr>
        <w:instrText xml:space="preserve"> ADDIN EN.CITE.DATA </w:instrText>
      </w:r>
      <w:r w:rsidR="00651EFF">
        <w:rPr>
          <w:rFonts w:ascii="Arial" w:hAnsi="Arial" w:cs="Arial"/>
        </w:rPr>
      </w:r>
      <w:r w:rsidR="00651EFF">
        <w:rPr>
          <w:rFonts w:ascii="Arial" w:hAnsi="Arial" w:cs="Arial"/>
        </w:rPr>
        <w:fldChar w:fldCharType="end"/>
      </w:r>
      <w:r w:rsidR="00B05197">
        <w:rPr>
          <w:rFonts w:ascii="Arial" w:hAnsi="Arial" w:cs="Arial"/>
        </w:rPr>
      </w:r>
      <w:r w:rsidR="00B05197">
        <w:rPr>
          <w:rFonts w:ascii="Arial" w:hAnsi="Arial" w:cs="Arial"/>
        </w:rPr>
        <w:fldChar w:fldCharType="separate"/>
      </w:r>
      <w:r w:rsidR="00B05197">
        <w:rPr>
          <w:rFonts w:ascii="Arial" w:hAnsi="Arial" w:cs="Arial"/>
          <w:noProof/>
        </w:rPr>
        <w:t>(Govender et al., 2002)</w:t>
      </w:r>
      <w:r w:rsidR="00B05197">
        <w:rPr>
          <w:rFonts w:ascii="Arial" w:hAnsi="Arial" w:cs="Arial"/>
        </w:rPr>
        <w:fldChar w:fldCharType="end"/>
      </w:r>
      <w:r>
        <w:rPr>
          <w:rFonts w:ascii="Arial" w:hAnsi="Arial" w:cs="Arial"/>
        </w:rPr>
        <w:t xml:space="preserve"> as well as MSCs due to ease of isolation and differentiation potential </w:t>
      </w:r>
      <w:r w:rsidR="009A35E8">
        <w:rPr>
          <w:rFonts w:ascii="Arial" w:hAnsi="Arial" w:cs="Arial"/>
        </w:rPr>
        <w:fldChar w:fldCharType="begin"/>
      </w:r>
      <w:r w:rsidR="00F22494">
        <w:rPr>
          <w:rFonts w:ascii="Arial" w:hAnsi="Arial" w:cs="Arial"/>
        </w:rPr>
        <w:instrText xml:space="preserve"> ADDIN EN.CITE &lt;EndNote&gt;&lt;Cite&gt;&lt;Author&gt;Abdallah&lt;/Author&gt;&lt;Year&gt;2009&lt;/Year&gt;&lt;RecNum&gt;324&lt;/RecNum&gt;&lt;DisplayText&gt;(Abdallah and Kassem, 2009)&lt;/DisplayText&gt;&lt;record&gt;&lt;rec-number&gt;324&lt;/rec-number&gt;&lt;foreign-keys&gt;&lt;key app="EN" db-id="ae9rewfrpdttrheppfxxv0p4950wpd25r09x" timestamp="1520658297"&gt;324&lt;/key&gt;&lt;/foreign-keys&gt;&lt;ref-type name="Journal Article"&gt;17&lt;/ref-type&gt;&lt;contributors&gt;&lt;authors&gt;&lt;author&gt;Abdallah, Basem M.&lt;/author&gt;&lt;author&gt;Kassem, Moustapha&lt;/author&gt;&lt;/authors&gt;&lt;/contributors&gt;&lt;titles&gt;&lt;title&gt;The use of mesenchymal (skeletal) stem cells for treatment of degenerative diseases: Current status and future perspectives&lt;/title&gt;&lt;secondary-title&gt;Journal of Cellular Physiology&lt;/secondary-title&gt;&lt;/titles&gt;&lt;periodical&gt;&lt;full-title&gt;Journal of Cellular Physiology&lt;/full-title&gt;&lt;/periodical&gt;&lt;pages&gt;9-12&lt;/pages&gt;&lt;volume&gt;218&lt;/volume&gt;&lt;keywords&gt;&lt;keyword&gt;Mesenchymal Stem Cell Transplantation -- Methods&lt;/keyword&gt;&lt;keyword&gt;Mesenchymal Stromal Cells -- Cytology&lt;/keyword&gt;&lt;/keywords&gt;&lt;dates&gt;&lt;year&gt;2009&lt;/year&gt;&lt;/dates&gt;&lt;isbn&gt;0021-9541&lt;/isbn&gt;&lt;urls&gt;&lt;/urls&gt;&lt;electronic-resource-num&gt;10.1002/jcp.21572&lt;/electronic-resource-num&gt;&lt;/record&gt;&lt;/Cite&gt;&lt;/EndNote&gt;</w:instrText>
      </w:r>
      <w:r w:rsidR="009A35E8">
        <w:rPr>
          <w:rFonts w:ascii="Arial" w:hAnsi="Arial" w:cs="Arial"/>
        </w:rPr>
        <w:fldChar w:fldCharType="separate"/>
      </w:r>
      <w:r w:rsidR="009A35E8">
        <w:rPr>
          <w:rFonts w:ascii="Arial" w:hAnsi="Arial" w:cs="Arial"/>
          <w:noProof/>
        </w:rPr>
        <w:t>(Abdallah and Kassem, 2009)</w:t>
      </w:r>
      <w:r w:rsidR="009A35E8">
        <w:rPr>
          <w:rFonts w:ascii="Arial" w:hAnsi="Arial" w:cs="Arial"/>
        </w:rPr>
        <w:fldChar w:fldCharType="end"/>
      </w:r>
      <w:r w:rsidR="009A35E8">
        <w:rPr>
          <w:rFonts w:ascii="Arial" w:hAnsi="Arial" w:cs="Arial"/>
        </w:rPr>
        <w:t>.</w:t>
      </w:r>
      <w:r>
        <w:rPr>
          <w:rFonts w:ascii="Arial" w:hAnsi="Arial" w:cs="Arial"/>
        </w:rPr>
        <w:tab/>
      </w:r>
    </w:p>
    <w:p w14:paraId="0F13CB0C" w14:textId="77777777" w:rsidR="007B76C3" w:rsidRPr="007C4843" w:rsidRDefault="007B76C3" w:rsidP="007C4843">
      <w:pPr>
        <w:pStyle w:val="Heading3"/>
        <w:spacing w:line="480" w:lineRule="auto"/>
        <w:jc w:val="both"/>
        <w:rPr>
          <w:rFonts w:ascii="Arial" w:hAnsi="Arial" w:cs="Arial"/>
          <w:color w:val="auto"/>
        </w:rPr>
      </w:pPr>
      <w:bookmarkStart w:id="18" w:name="_Toc383723845"/>
      <w:r w:rsidRPr="007C4843">
        <w:rPr>
          <w:rFonts w:ascii="Arial" w:hAnsi="Arial" w:cs="Arial"/>
          <w:color w:val="auto"/>
        </w:rPr>
        <w:t xml:space="preserve">1.1.3 </w:t>
      </w:r>
      <w:proofErr w:type="gramStart"/>
      <w:r w:rsidRPr="007C4843">
        <w:rPr>
          <w:rFonts w:ascii="Arial" w:hAnsi="Arial" w:cs="Arial"/>
          <w:color w:val="auto"/>
        </w:rPr>
        <w:t>The</w:t>
      </w:r>
      <w:proofErr w:type="gramEnd"/>
      <w:r w:rsidRPr="007C4843">
        <w:rPr>
          <w:rFonts w:ascii="Arial" w:hAnsi="Arial" w:cs="Arial"/>
          <w:color w:val="auto"/>
        </w:rPr>
        <w:t xml:space="preserve"> effect of age on the skeleton</w:t>
      </w:r>
      <w:bookmarkEnd w:id="18"/>
      <w:r w:rsidRPr="007C4843">
        <w:rPr>
          <w:rFonts w:ascii="Arial" w:hAnsi="Arial" w:cs="Arial"/>
          <w:color w:val="auto"/>
        </w:rPr>
        <w:t xml:space="preserve"> </w:t>
      </w:r>
    </w:p>
    <w:p w14:paraId="05614702" w14:textId="77777777" w:rsidR="008C5A59" w:rsidRDefault="007B76C3" w:rsidP="007B76C3">
      <w:pPr>
        <w:spacing w:line="480" w:lineRule="auto"/>
        <w:jc w:val="both"/>
        <w:rPr>
          <w:rFonts w:ascii="Arial" w:hAnsi="Arial" w:cs="Arial"/>
        </w:rPr>
      </w:pPr>
      <w:r w:rsidRPr="007C4843">
        <w:rPr>
          <w:rFonts w:ascii="Arial" w:hAnsi="Arial" w:cs="Arial"/>
        </w:rPr>
        <w:t>Ageing of the skeleton is characterised by decline in bone mass and strength. It is associated with bone loss from both cortical and trabecular compartments, increased risk of falls and susceptibility to fr</w:t>
      </w:r>
      <w:r w:rsidR="00161FEA" w:rsidRPr="007C4843">
        <w:rPr>
          <w:rFonts w:ascii="Arial" w:hAnsi="Arial" w:cs="Arial"/>
        </w:rPr>
        <w:t xml:space="preserve">agility fractures (Figure </w:t>
      </w:r>
      <w:r w:rsidRPr="007C4843">
        <w:rPr>
          <w:rFonts w:ascii="Arial" w:hAnsi="Arial" w:cs="Arial"/>
        </w:rPr>
        <w:t>7).  The increased bone fragility is a characteristic feature of osteoporosis and one of the frequent causes of mortality in old age</w:t>
      </w:r>
      <w:r w:rsidRPr="007C4843">
        <w:rPr>
          <w:rFonts w:ascii="Arial" w:hAnsi="Arial" w:cs="Arial"/>
          <w:noProof/>
          <w:sz w:val="22"/>
          <w:szCs w:val="22"/>
        </w:rPr>
        <w:t xml:space="preserve"> </w:t>
      </w:r>
      <w:r w:rsidR="00F20636" w:rsidRPr="007C4843">
        <w:rPr>
          <w:rFonts w:ascii="Arial" w:hAnsi="Arial" w:cs="Arial"/>
          <w:noProof/>
        </w:rPr>
        <w:fldChar w:fldCharType="begin"/>
      </w:r>
      <w:r w:rsidR="00A108A1" w:rsidRPr="007C4843">
        <w:rPr>
          <w:rFonts w:ascii="Arial" w:hAnsi="Arial" w:cs="Arial"/>
          <w:noProof/>
        </w:rPr>
        <w:instrText xml:space="preserve"> ADDIN EN.CITE &lt;EndNote&gt;&lt;Cite&gt;&lt;Author&gt;Sambrook&lt;/Author&gt;&lt;Year&gt;2006&lt;/Year&gt;&lt;RecNum&gt;325&lt;/RecNum&gt;&lt;DisplayText&gt;(Sambrook and Cooper, 2006)&lt;/DisplayText&gt;&lt;record&gt;&lt;rec-number&gt;325&lt;/rec-number&gt;&lt;foreign-keys&gt;&lt;key app="EN" db-id="ae9rewfrpdttrheppfxxv0p4950wpd25r09x" timestamp="1520658297"&gt;325&lt;/key&gt;&lt;/foreign-keys&gt;&lt;ref-type name="Journal Article"&gt;17&lt;/ref-type&gt;&lt;contributors&gt;&lt;authors&gt;&lt;author&gt;Sambrook, Philip&lt;/author&gt;&lt;author&gt;Cooper, Cyrus&lt;/author&gt;&lt;/authors&gt;&lt;/contributors&gt;&lt;titles&gt;&lt;title&gt;Osteoporosis&lt;/title&gt;&lt;secondary-title&gt;The Lancet&lt;/secondary-title&gt;&lt;/titles&gt;&lt;periodical&gt;&lt;full-title&gt;The Lancet&lt;/full-title&gt;&lt;/periodical&gt;&lt;pages&gt;2010-2018&lt;/pages&gt;&lt;volume&gt;367&lt;/volume&gt;&lt;number&gt;9527&lt;/number&gt;&lt;dates&gt;&lt;year&gt;2006&lt;/year&gt;&lt;/dates&gt;&lt;isbn&gt;0140-6736&lt;/isbn&gt;&lt;urls&gt;&lt;/urls&gt;&lt;electronic-resource-num&gt;10.1016/S0140-6736(06)68891-0&lt;/electronic-resource-num&gt;&lt;/record&gt;&lt;/Cite&gt;&lt;/EndNote&gt;</w:instrText>
      </w:r>
      <w:r w:rsidR="00F20636" w:rsidRPr="007C4843">
        <w:rPr>
          <w:rFonts w:ascii="Arial" w:hAnsi="Arial" w:cs="Arial"/>
          <w:noProof/>
        </w:rPr>
        <w:fldChar w:fldCharType="separate"/>
      </w:r>
      <w:r w:rsidR="00F20636" w:rsidRPr="007C4843">
        <w:rPr>
          <w:rFonts w:ascii="Arial" w:hAnsi="Arial" w:cs="Arial"/>
          <w:noProof/>
        </w:rPr>
        <w:t>(Sambrook and Cooper, 2006)</w:t>
      </w:r>
      <w:r w:rsidR="00F20636" w:rsidRPr="007C4843">
        <w:rPr>
          <w:rFonts w:ascii="Arial" w:hAnsi="Arial" w:cs="Arial"/>
          <w:noProof/>
        </w:rPr>
        <w:fldChar w:fldCharType="end"/>
      </w:r>
      <w:r w:rsidR="00F20636" w:rsidRPr="007C4843">
        <w:rPr>
          <w:rFonts w:ascii="Arial" w:hAnsi="Arial" w:cs="Arial"/>
          <w:noProof/>
        </w:rPr>
        <w:t>.</w:t>
      </w:r>
      <w:r w:rsidRPr="007C4843">
        <w:rPr>
          <w:rFonts w:ascii="Arial" w:hAnsi="Arial" w:cs="Arial"/>
        </w:rPr>
        <w:t xml:space="preserve"> Therefore, understanding the mechanisms underlying age-related bone loss and osteoporosis is important for</w:t>
      </w:r>
      <w:r>
        <w:rPr>
          <w:rFonts w:ascii="Arial" w:hAnsi="Arial" w:cs="Arial"/>
        </w:rPr>
        <w:t xml:space="preserve"> developing therapeutic and pharmacological interventions. </w:t>
      </w:r>
    </w:p>
    <w:p w14:paraId="7FEDBB50" w14:textId="77777777" w:rsidR="008C5A59" w:rsidRDefault="008C5A59" w:rsidP="007B76C3">
      <w:pPr>
        <w:spacing w:line="480" w:lineRule="auto"/>
        <w:jc w:val="both"/>
        <w:rPr>
          <w:rFonts w:ascii="Arial" w:hAnsi="Arial" w:cs="Arial"/>
        </w:rPr>
      </w:pPr>
    </w:p>
    <w:p w14:paraId="5E37F6FA" w14:textId="77777777" w:rsidR="007B76C3" w:rsidRDefault="007B76C3" w:rsidP="007B76C3">
      <w:pPr>
        <w:spacing w:line="480" w:lineRule="auto"/>
        <w:jc w:val="both"/>
        <w:rPr>
          <w:rFonts w:ascii="Arial" w:hAnsi="Arial" w:cs="Arial"/>
        </w:rPr>
      </w:pPr>
      <w:r>
        <w:rPr>
          <w:rFonts w:ascii="Arial" w:hAnsi="Arial" w:cs="Arial"/>
        </w:rPr>
        <w:t xml:space="preserve">It is well known that depletion of oestrogen in post-menopausal women is associated with high incidence of osteoporosis and rapid bone loss over the 4-8 years after the menopause </w:t>
      </w:r>
      <w:r>
        <w:rPr>
          <w:rFonts w:ascii="Arial" w:hAnsi="Arial" w:cs="Arial"/>
        </w:rPr>
        <w:fldChar w:fldCharType="begin"/>
      </w:r>
      <w:r w:rsidR="00A108A1">
        <w:rPr>
          <w:rFonts w:ascii="Arial" w:hAnsi="Arial" w:cs="Arial"/>
        </w:rPr>
        <w:instrText xml:space="preserve"> ADDIN EN.CITE &lt;EndNote&gt;&lt;Cite&gt;&lt;Author&gt;Riggs&lt;/Author&gt;&lt;Year&gt;2002&lt;/Year&gt;&lt;RecNum&gt;82&lt;/RecNum&gt;&lt;DisplayText&gt;(Riggs et al., 2002)&lt;/DisplayText&gt;&lt;record&gt;&lt;rec-number&gt;82&lt;/rec-number&gt;&lt;foreign-keys&gt;&lt;key app="EN" db-id="ae9rewfrpdttrheppfxxv0p4950wpd25r09x" timestamp="1520657797"&gt;82&lt;/key&gt;&lt;/foreign-keys&gt;&lt;ref-type name="Journal Article"&gt;17&lt;/ref-type&gt;&lt;contributors&gt;&lt;authors&gt;&lt;author&gt;Riggs, B. Lawrence&lt;/author&gt;&lt;author&gt;Khosla, Sundeep&lt;/author&gt;&lt;author&gt;Melton Iii, L. Joseph&lt;/author&gt;&lt;/authors&gt;&lt;/contributors&gt;&lt;titles&gt;&lt;title&gt;Sex steroids and the construction and conservation of the adult skeleton&lt;/title&gt;&lt;secondary-title&gt;Endocrine Reviews&lt;/secondary-title&gt;&lt;/titles&gt;&lt;periodical&gt;&lt;full-title&gt;Endocrine Reviews&lt;/full-title&gt;&lt;/periodical&gt;&lt;pages&gt;279-302&lt;/pages&gt;&lt;volume&gt;23&lt;/volume&gt;&lt;number&gt;3&lt;/number&gt;&lt;dates&gt;&lt;year&gt;2002&lt;/year&gt;&lt;/dates&gt;&lt;isbn&gt;0163769X&lt;/isbn&gt;&lt;urls&gt;&lt;/urls&gt;&lt;electronic-resource-num&gt;10.1210/er.23.3.279&lt;/electronic-resource-num&gt;&lt;/record&gt;&lt;/Cite&gt;&lt;/EndNote&gt;</w:instrText>
      </w:r>
      <w:r>
        <w:rPr>
          <w:rFonts w:ascii="Arial" w:hAnsi="Arial" w:cs="Arial"/>
        </w:rPr>
        <w:fldChar w:fldCharType="separate"/>
      </w:r>
      <w:r>
        <w:rPr>
          <w:rFonts w:ascii="Arial" w:hAnsi="Arial" w:cs="Arial"/>
          <w:noProof/>
        </w:rPr>
        <w:t>(Riggs et al., 2002)</w:t>
      </w:r>
      <w:r>
        <w:rPr>
          <w:rFonts w:ascii="Arial" w:hAnsi="Arial" w:cs="Arial"/>
        </w:rPr>
        <w:fldChar w:fldCharType="end"/>
      </w:r>
      <w:r>
        <w:rPr>
          <w:rFonts w:ascii="Arial" w:hAnsi="Arial" w:cs="Arial"/>
        </w:rPr>
        <w:t xml:space="preserve">. Oestrogen has a protective role against bone loss by maintaining balance between the bone formation and resorption rates. On a cellular level, oestrogen decreases osteoclastogenesis and osteoclast activity and increases osteoclast apoptosis, thereby reducing bone resorption. Oestrogen also stimulates osteoblast differentiation and activity, ultimately increasing bone formation </w:t>
      </w:r>
      <w:r>
        <w:rPr>
          <w:rFonts w:ascii="Arial" w:hAnsi="Arial" w:cs="Arial"/>
        </w:rPr>
        <w:fldChar w:fldCharType="begin">
          <w:fldData xml:space="preserve">PEVuZE5vdGU+PENpdGU+PEF1dGhvcj5MYW55b248L0F1dGhvcj48WWVhcj4yMDAxPC9ZZWFyPjxS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PEVuZE5vdGU+PENpdGU+PEF1dGhvcj5MYW55b248L0F1dGhvcj48WWVhcj4yMDAxPC9ZZWFyPjxS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(Lanyon and Skerry, 2001, Lerner, 2006, Galea et al., 2013)</w:t>
      </w:r>
      <w:r>
        <w:rPr>
          <w:rFonts w:ascii="Arial" w:hAnsi="Arial" w:cs="Arial"/>
        </w:rPr>
        <w:fldChar w:fldCharType="end"/>
      </w:r>
      <w:r>
        <w:rPr>
          <w:rFonts w:ascii="Arial" w:hAnsi="Arial" w:cs="Arial"/>
        </w:rPr>
        <w:t xml:space="preserve">. Although depletion of oestrogen plays an essential role in developing post-menopausal osteoporosis, elderly men also develop primary osteoporosis as a result of age-related gradual and progressive bone loss </w:t>
      </w:r>
      <w:r>
        <w:rPr>
          <w:rFonts w:ascii="Arial" w:hAnsi="Arial" w:cs="Arial"/>
        </w:rPr>
        <w:fldChar w:fldCharType="begin"/>
      </w:r>
      <w:r w:rsidR="00651EFF">
        <w:rPr>
          <w:rFonts w:ascii="Arial" w:hAnsi="Arial" w:cs="Arial"/>
        </w:rPr>
        <w:instrText xml:space="preserve"> ADDIN EN.CITE &lt;EndNote&gt;&lt;Cite&gt;&lt;Author&gt;Lerner&lt;/Author&gt;&lt;Year&gt;2006&lt;/Year&gt;&lt;RecNum&gt;80&lt;/RecNum&gt;&lt;DisplayText&gt;(Lerner, 2006, Gielen et al., 2011)&lt;/DisplayText&gt;&lt;record&gt;&lt;rec-number&gt;80&lt;/rec-number&gt;&lt;foreign-keys&gt;&lt;key app="EN" db-id="ae9rewfrpdttrheppfxxv0p4950wpd25r09x" timestamp="1520657793"&gt;80&lt;/key&gt;&lt;key app="ENWeb" db-id=""&gt;0&lt;/key&gt;&lt;/foreign-keys&gt;&lt;ref-type name="Journal Article"&gt;17&lt;/ref-type&gt;&lt;contributors&gt;&lt;authors&gt;&lt;author&gt;Lerner, U. H.&lt;/author&gt;&lt;/authors&gt;&lt;/contributors&gt;&lt;titles&gt;&lt;title&gt;Bone remodeling in post-menopausal osteoporosis&lt;/title&gt;&lt;secondary-title&gt;Journal of Dental Research&lt;/secondary-title&gt;&lt;/titles&gt;&lt;periodical&gt;&lt;full-title&gt;Journal of Dental Research&lt;/full-title&gt;&lt;/periodical&gt;&lt;pages&gt;584-595&lt;/pages&gt;&lt;volume&gt;85&lt;/volume&gt;&lt;number&gt;7&lt;/number&gt;&lt;keywords&gt;&lt;keyword&gt;Bone&lt;/keyword&gt;&lt;keyword&gt;Estrogen&lt;/keyword&gt;&lt;keyword&gt;Osteoblasts&lt;/keyword&gt;&lt;keyword&gt;Osteoclasts&lt;/keyword&gt;&lt;keyword&gt;Osteoporosis&lt;/keyword&gt;&lt;/keywords&gt;&lt;dates&gt;&lt;year&gt;2006&lt;/year&gt;&lt;/dates&gt;&lt;isbn&gt;00220345&lt;/isbn&gt;&lt;urls&gt;&lt;/urls&gt;&lt;/record&gt;&lt;/Cite&gt;&lt;Cite&gt;&lt;Author&gt;Gielen&lt;/Author&gt;&lt;Year&gt;2011&lt;/Year&gt;&lt;RecNum&gt;326&lt;/RecNum&gt;&lt;record&gt;&lt;rec-number&gt;326&lt;/rec-number&gt;&lt;foreign-keys&gt;&lt;key app="EN" db-id="ae9rewfrpdttrheppfxxv0p4950wpd25r09x" timestamp="1520658297"&gt;326&lt;/key&gt;&lt;/foreign-keys&gt;&lt;ref-type name="Journal Article"&gt;17&lt;/ref-type&gt;&lt;contributors&gt;&lt;authors&gt;&lt;author&gt;Gielen, Evelien&lt;/author&gt;&lt;author&gt;Boonen, Steven&lt;/author&gt;&lt;author&gt;Vanderschueren, Dirk&lt;/author&gt;&lt;author&gt;Sinnesael, Mieke&lt;/author&gt;&lt;author&gt;Verstuyf, Annemieke&lt;/author&gt;&lt;author&gt;Claessens, Frank&lt;/author&gt;&lt;author&gt;Milisen, Koen&lt;/author&gt;&lt;author&gt;Verschueren, Sabine&lt;/author&gt;&lt;/authors&gt;&lt;/contributors&gt;&lt;titles&gt;&lt;title&gt;Calcium and Vitamin D Supplementation in Men&lt;/title&gt;&lt;secondary-title&gt;Journal of Osteoporosis&lt;/secondary-title&gt;&lt;/titles&gt;&lt;periodical&gt;&lt;full-title&gt;Journal of Osteoporosis&lt;/full-title&gt;&lt;/periodical&gt;&lt;pages&gt;875249&lt;/pages&gt;&lt;volume&gt;2011&lt;/volume&gt;&lt;keywords&gt;&lt;keyword&gt;Research Article&lt;/keyword&gt;&lt;/keywords&gt;&lt;dates&gt;&lt;year&gt;2011&lt;/year&gt;&lt;/dates&gt;&lt;isbn&gt;2090-8059&lt;/isbn&gt;&lt;urls&gt;&lt;/urls&gt;&lt;electronic-resource-num&gt;10.4061/2011/875249&lt;/electronic-resource-num&gt;&lt;/record&gt;&lt;/Cite&gt;&lt;/EndNote&gt;</w:instrText>
      </w:r>
      <w:r>
        <w:rPr>
          <w:rFonts w:ascii="Arial" w:hAnsi="Arial" w:cs="Arial"/>
        </w:rPr>
        <w:fldChar w:fldCharType="separate"/>
      </w:r>
      <w:r w:rsidR="001939C2">
        <w:rPr>
          <w:rFonts w:ascii="Arial" w:hAnsi="Arial" w:cs="Arial"/>
          <w:noProof/>
        </w:rPr>
        <w:t>(Lerner, 2006, Gielen et al., 2011)</w:t>
      </w:r>
      <w:r>
        <w:rPr>
          <w:rFonts w:ascii="Arial" w:hAnsi="Arial" w:cs="Arial"/>
        </w:rPr>
        <w:fldChar w:fldCharType="end"/>
      </w:r>
      <w:r>
        <w:rPr>
          <w:rFonts w:ascii="Arial" w:hAnsi="Arial" w:cs="Arial"/>
        </w:rPr>
        <w:t xml:space="preserve">. It is also known that bone loss may commence prior the onset of the menopause in early twenties when the peak bone mass is attained </w:t>
      </w:r>
      <w:r w:rsidR="007E1302">
        <w:rPr>
          <w:rFonts w:ascii="Arial" w:hAnsi="Arial" w:cs="Arial"/>
        </w:rPr>
        <w:fldChar w:fldCharType="begin"/>
      </w:r>
      <w:r w:rsidR="00A108A1">
        <w:rPr>
          <w:rFonts w:ascii="Arial" w:hAnsi="Arial" w:cs="Arial"/>
        </w:rPr>
        <w:instrText xml:space="preserve"> ADDIN EN.CITE &lt;EndNote&gt;&lt;Cite&gt;&lt;Author&gt;Manolagas&lt;/Author&gt;&lt;Year&gt;2010&lt;/Year&gt;&lt;RecNum&gt;327&lt;/RecNum&gt;&lt;DisplayText&gt;(Manolagas, 2010)&lt;/DisplayText&gt;&lt;record&gt;&lt;rec-number&gt;327&lt;/rec-number&gt;&lt;foreign-keys&gt;&lt;key app="EN" db-id="ae9rewfrpdttrheppfxxv0p4950wpd25r09x" timestamp="1520658297"&gt;327&lt;/key&gt;&lt;/foreign-keys&gt;&lt;ref-type name="Journal Article"&gt;17&lt;/ref-type&gt;&lt;contributors&gt;&lt;authors&gt;&lt;author&gt;Manolagas, Stavros C.&lt;/author&gt;&lt;/authors&gt;&lt;/contributors&gt;&lt;titles&gt;&lt;title&gt;From Estrogen- Centric to Aging and Oxidative Stress: A Revised Perspective of the Pathogenesis of Osteoporosis&lt;/title&gt;&lt;secondary-title&gt;Endocrine Reviews&lt;/secondary-title&gt;&lt;/titles&gt;&lt;periodical&gt;&lt;full-title&gt;Endocrine Reviews&lt;/full-title&gt;&lt;/periodical&gt;&lt;pages&gt;266-300&lt;/pages&gt;&lt;volume&gt;31&lt;/volume&gt;&lt;number&gt;3&lt;/number&gt;&lt;keywords&gt;&lt;keyword&gt;Medicine&lt;/keyword&gt;&lt;keyword&gt;Anatomy &amp;amp;amp&lt;/keyword&gt;&lt;keyword&gt;Physiology&lt;/keyword&gt;&lt;/keywords&gt;&lt;dates&gt;&lt;year&gt;2010&lt;/year&gt;&lt;/dates&gt;&lt;isbn&gt;0163-769X&lt;/isbn&gt;&lt;urls&gt;&lt;/urls&gt;&lt;electronic-resource-num&gt;10.1210/er.2009-0024&lt;/electronic-resource-num&gt;&lt;/record&gt;&lt;/Cite&gt;&lt;/EndNote&gt;</w:instrText>
      </w:r>
      <w:r w:rsidR="007E1302">
        <w:rPr>
          <w:rFonts w:ascii="Arial" w:hAnsi="Arial" w:cs="Arial"/>
        </w:rPr>
        <w:fldChar w:fldCharType="separate"/>
      </w:r>
      <w:r w:rsidR="007E1302">
        <w:rPr>
          <w:rFonts w:ascii="Arial" w:hAnsi="Arial" w:cs="Arial"/>
          <w:noProof/>
        </w:rPr>
        <w:t>(Manolagas, 2010)</w:t>
      </w:r>
      <w:r w:rsidR="007E1302">
        <w:rPr>
          <w:rFonts w:ascii="Arial" w:hAnsi="Arial" w:cs="Arial"/>
        </w:rPr>
        <w:fldChar w:fldCharType="end"/>
      </w:r>
      <w:r w:rsidR="007E1302">
        <w:rPr>
          <w:rFonts w:ascii="Arial" w:hAnsi="Arial" w:cs="Arial"/>
        </w:rPr>
        <w:t>.</w:t>
      </w:r>
    </w:p>
    <w:p w14:paraId="240ACC09" w14:textId="77777777" w:rsidR="00CD4880" w:rsidRDefault="007B76C3" w:rsidP="00CD4880">
      <w:pPr>
        <w:keepNext/>
        <w:spacing w:line="480" w:lineRule="auto"/>
        <w:jc w:val="both"/>
      </w:pPr>
      <w:r w:rsidRPr="009E0EE5">
        <w:rPr>
          <w:rFonts w:ascii="Arial" w:hAnsi="Arial" w:cs="Arial"/>
          <w:noProof/>
          <w:lang w:val="en-US"/>
        </w:rPr>
        <w:lastRenderedPageBreak/>
        <w:drawing>
          <wp:inline distT="0" distB="0" distL="0" distR="0" wp14:anchorId="61CE24EC" wp14:editId="3C6B5D2F">
            <wp:extent cx="6055360" cy="3513221"/>
            <wp:effectExtent l="0" t="0" r="0" b="0"/>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5">
                      <a:extLst>
                        <a:ext uri="{28A0092B-C50C-407E-A947-70E740481C1C}">
                          <a14:useLocalDpi xmlns:a14="http://schemas.microsoft.com/office/drawing/2010/main" val="0"/>
                        </a:ext>
                      </a:extLst>
                    </a:blip>
                    <a:srcRect r="15103"/>
                    <a:stretch/>
                  </pic:blipFill>
                  <pic:spPr bwMode="auto">
                    <a:xfrm>
                      <a:off x="0" y="0"/>
                      <a:ext cx="6055360" cy="3513221"/>
                    </a:xfrm>
                    <a:prstGeom prst="rect">
                      <a:avLst/>
                    </a:prstGeom>
                    <a:noFill/>
                    <a:ln>
                      <a:noFill/>
                    </a:ln>
                    <a:extLst>
                      <a:ext uri="{53640926-AAD7-44d8-BBD7-CCE9431645EC}">
                        <a14:shadowObscured xmlns:a14="http://schemas.microsoft.com/office/drawing/2010/main"/>
                      </a:ext>
                    </a:extLst>
                  </pic:spPr>
                </pic:pic>
              </a:graphicData>
            </a:graphic>
          </wp:inline>
        </w:drawing>
      </w:r>
    </w:p>
    <w:p w14:paraId="4D42285F" w14:textId="77777777" w:rsidR="007B76C3" w:rsidRPr="00CD4880" w:rsidRDefault="00CD4880" w:rsidP="00CD4880">
      <w:pPr>
        <w:pStyle w:val="Caption"/>
        <w:spacing w:line="360" w:lineRule="auto"/>
        <w:jc w:val="both"/>
        <w:rPr>
          <w:rFonts w:ascii="Arial" w:hAnsi="Arial" w:cs="Arial"/>
          <w:color w:val="244061" w:themeColor="accent1" w:themeShade="80"/>
          <w:sz w:val="24"/>
          <w:szCs w:val="24"/>
        </w:rPr>
      </w:pPr>
      <w:bookmarkStart w:id="19" w:name="_Toc383544598"/>
      <w:r w:rsidRPr="00CD4880">
        <w:rPr>
          <w:rFonts w:ascii="Arial" w:hAnsi="Arial" w:cs="Arial"/>
          <w:color w:val="244061" w:themeColor="accent1" w:themeShade="80"/>
          <w:sz w:val="24"/>
          <w:szCs w:val="24"/>
        </w:rPr>
        <w:t xml:space="preserve">Figure </w:t>
      </w:r>
      <w:r w:rsidRPr="00CD4880">
        <w:rPr>
          <w:rFonts w:ascii="Arial" w:hAnsi="Arial" w:cs="Arial"/>
          <w:color w:val="244061" w:themeColor="accent1" w:themeShade="80"/>
          <w:sz w:val="24"/>
          <w:szCs w:val="24"/>
        </w:rPr>
        <w:fldChar w:fldCharType="begin"/>
      </w:r>
      <w:r w:rsidRPr="00CD4880">
        <w:rPr>
          <w:rFonts w:ascii="Arial" w:hAnsi="Arial" w:cs="Arial"/>
          <w:color w:val="244061" w:themeColor="accent1" w:themeShade="80"/>
          <w:sz w:val="24"/>
          <w:szCs w:val="24"/>
        </w:rPr>
        <w:instrText xml:space="preserve"> SEQ Figure \* ARABIC </w:instrText>
      </w:r>
      <w:r w:rsidRPr="00CD4880">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7</w:t>
      </w:r>
      <w:r w:rsidRPr="00CD4880">
        <w:rPr>
          <w:rFonts w:ascii="Arial" w:hAnsi="Arial" w:cs="Arial"/>
          <w:color w:val="244061" w:themeColor="accent1" w:themeShade="80"/>
          <w:sz w:val="24"/>
          <w:szCs w:val="24"/>
        </w:rPr>
        <w:fldChar w:fldCharType="end"/>
      </w:r>
      <w:r w:rsidRPr="00CD4880">
        <w:rPr>
          <w:rFonts w:ascii="Arial" w:hAnsi="Arial" w:cs="Arial"/>
          <w:color w:val="244061" w:themeColor="accent1" w:themeShade="80"/>
          <w:sz w:val="24"/>
          <w:szCs w:val="24"/>
        </w:rPr>
        <w:t xml:space="preserve"> Age-specific and sex-specific incidences of radiographic vertebral, hip and dorsal forearm fractures</w:t>
      </w:r>
      <w:bookmarkEnd w:id="19"/>
    </w:p>
    <w:p w14:paraId="7E1399B4" w14:textId="77777777" w:rsidR="007B76C3" w:rsidRPr="00C73C76" w:rsidRDefault="007B76C3" w:rsidP="00CD4880">
      <w:pPr>
        <w:spacing w:line="360" w:lineRule="auto"/>
        <w:jc w:val="both"/>
        <w:rPr>
          <w:rFonts w:ascii="Arial" w:hAnsi="Arial"/>
          <w:sz w:val="22"/>
          <w:szCs w:val="22"/>
        </w:rPr>
      </w:pPr>
      <w:r>
        <w:rPr>
          <w:rFonts w:ascii="Arial" w:hAnsi="Arial"/>
          <w:sz w:val="22"/>
          <w:szCs w:val="22"/>
        </w:rPr>
        <w:t>Data originated from European Prospective Osteoporosis studies and General Practice Research database showing increased fracture rate of hip, vertebral and distal forearm with age. The incidences of fractures are shown to be higher in women than in men</w:t>
      </w:r>
      <w:r w:rsidR="00D04374">
        <w:rPr>
          <w:rFonts w:ascii="Arial" w:hAnsi="Arial"/>
          <w:sz w:val="22"/>
          <w:szCs w:val="22"/>
        </w:rPr>
        <w:t>.</w:t>
      </w:r>
    </w:p>
    <w:p w14:paraId="50FC7C62" w14:textId="77777777" w:rsidR="007B76C3" w:rsidRDefault="007B76C3" w:rsidP="00CD4880">
      <w:pPr>
        <w:spacing w:line="360" w:lineRule="auto"/>
        <w:jc w:val="both"/>
        <w:rPr>
          <w:rFonts w:ascii="Arial" w:hAnsi="Arial" w:cs="Arial"/>
          <w:sz w:val="22"/>
          <w:szCs w:val="22"/>
        </w:rPr>
      </w:pPr>
      <w:r>
        <w:rPr>
          <w:rFonts w:ascii="Arial" w:hAnsi="Arial" w:cs="Arial"/>
          <w:sz w:val="22"/>
          <w:szCs w:val="22"/>
        </w:rPr>
        <w:t xml:space="preserve">Image reproduced with permission from </w:t>
      </w:r>
      <w:r w:rsidR="00D04374">
        <w:rPr>
          <w:rFonts w:ascii="Arial" w:hAnsi="Arial" w:cs="Arial"/>
          <w:sz w:val="22"/>
          <w:szCs w:val="22"/>
        </w:rPr>
        <w:fldChar w:fldCharType="begin"/>
      </w:r>
      <w:r w:rsidR="00A108A1">
        <w:rPr>
          <w:rFonts w:ascii="Arial" w:hAnsi="Arial" w:cs="Arial"/>
          <w:sz w:val="22"/>
          <w:szCs w:val="22"/>
        </w:rPr>
        <w:instrText xml:space="preserve"> ADDIN EN.CITE &lt;EndNote&gt;&lt;Cite&gt;&lt;Author&gt;Sambrook&lt;/Author&gt;&lt;Year&gt;2006&lt;/Year&gt;&lt;RecNum&gt;325&lt;/RecNum&gt;&lt;DisplayText&gt;(Sambrook and Cooper, 2006)&lt;/DisplayText&gt;&lt;record&gt;&lt;rec-number&gt;325&lt;/rec-number&gt;&lt;foreign-keys&gt;&lt;key app="EN" db-id="ae9rewfrpdttrheppfxxv0p4950wpd25r09x" timestamp="1520658297"&gt;325&lt;/key&gt;&lt;/foreign-keys&gt;&lt;ref-type name="Journal Article"&gt;17&lt;/ref-type&gt;&lt;contributors&gt;&lt;authors&gt;&lt;author&gt;Sambrook, Philip&lt;/author&gt;&lt;author&gt;Cooper, Cyrus&lt;/author&gt;&lt;/authors&gt;&lt;/contributors&gt;&lt;titles&gt;&lt;title&gt;Osteoporosis&lt;/title&gt;&lt;secondary-title&gt;The Lancet&lt;/secondary-title&gt;&lt;/titles&gt;&lt;periodical&gt;&lt;full-title&gt;The Lancet&lt;/full-title&gt;&lt;/periodical&gt;&lt;pages&gt;2010-2018&lt;/pages&gt;&lt;volume&gt;367&lt;/volume&gt;&lt;number&gt;9527&lt;/number&gt;&lt;dates&gt;&lt;year&gt;2006&lt;/year&gt;&lt;/dates&gt;&lt;isbn&gt;0140-6736&lt;/isbn&gt;&lt;urls&gt;&lt;/urls&gt;&lt;electronic-resource-num&gt;10.1016/S0140-6736(06)68891-0&lt;/electronic-resource-num&gt;&lt;/record&gt;&lt;/Cite&gt;&lt;/EndNote&gt;</w:instrText>
      </w:r>
      <w:r w:rsidR="00D04374">
        <w:rPr>
          <w:rFonts w:ascii="Arial" w:hAnsi="Arial" w:cs="Arial"/>
          <w:sz w:val="22"/>
          <w:szCs w:val="22"/>
        </w:rPr>
        <w:fldChar w:fldCharType="separate"/>
      </w:r>
      <w:r w:rsidR="00D04374">
        <w:rPr>
          <w:rFonts w:ascii="Arial" w:hAnsi="Arial" w:cs="Arial"/>
          <w:noProof/>
          <w:sz w:val="22"/>
          <w:szCs w:val="22"/>
        </w:rPr>
        <w:t>(Sambrook and Cooper, 2006)</w:t>
      </w:r>
      <w:r w:rsidR="00D04374">
        <w:rPr>
          <w:rFonts w:ascii="Arial" w:hAnsi="Arial" w:cs="Arial"/>
          <w:sz w:val="22"/>
          <w:szCs w:val="22"/>
        </w:rPr>
        <w:fldChar w:fldCharType="end"/>
      </w:r>
    </w:p>
    <w:p w14:paraId="013CAE52" w14:textId="77777777" w:rsidR="00CD4880" w:rsidRDefault="00CD4880" w:rsidP="00CD4880">
      <w:pPr>
        <w:spacing w:line="360" w:lineRule="auto"/>
        <w:jc w:val="both"/>
        <w:rPr>
          <w:rFonts w:ascii="Arial" w:hAnsi="Arial" w:cs="Arial"/>
          <w:sz w:val="22"/>
          <w:szCs w:val="22"/>
        </w:rPr>
      </w:pPr>
    </w:p>
    <w:p w14:paraId="0FF836CA" w14:textId="77777777" w:rsidR="007B76C3" w:rsidRDefault="007B76C3" w:rsidP="007B76C3">
      <w:pPr>
        <w:spacing w:line="480" w:lineRule="auto"/>
        <w:jc w:val="both"/>
        <w:rPr>
          <w:rFonts w:ascii="Arial" w:hAnsi="Arial" w:cs="Arial"/>
        </w:rPr>
      </w:pPr>
    </w:p>
    <w:p w14:paraId="405AA34C" w14:textId="77777777" w:rsidR="007B76C3" w:rsidRPr="006F7587" w:rsidRDefault="007B76C3" w:rsidP="007B76C3">
      <w:pPr>
        <w:spacing w:line="480" w:lineRule="auto"/>
        <w:jc w:val="both"/>
        <w:rPr>
          <w:rFonts w:ascii="Arial" w:hAnsi="Arial" w:cs="Lucida Grande"/>
          <w:szCs w:val="26"/>
        </w:rPr>
      </w:pPr>
      <w:r>
        <w:rPr>
          <w:rFonts w:ascii="Arial" w:hAnsi="Arial" w:cs="Arial"/>
        </w:rPr>
        <w:t xml:space="preserve">The age-related bone loss manifests itself as thinning of cortical shell and trabecular struts, and loss of trabecular bone as seen in animal models and humans </w:t>
      </w:r>
      <w:r w:rsidR="002139E3">
        <w:rPr>
          <w:rFonts w:ascii="Arial" w:hAnsi="Arial" w:cs="Arial"/>
        </w:rPr>
        <w:fldChar w:fldCharType="begin">
          <w:fldData xml:space="preserve">PEVuZE5vdGU+PENpdGU+PEF1dGhvcj5QYXJmaXR0PC9BdXRob3I+PFllYXI+MTk4NDwvWWVhcj48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PEVuZE5vdGU+PENpdGU+PEF1dGhvcj5QYXJmaXR0PC9BdXRob3I+PFllYXI+MTk4NDwvWWVhcj48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2139E3">
        <w:rPr>
          <w:rFonts w:ascii="Arial" w:hAnsi="Arial" w:cs="Arial"/>
        </w:rPr>
      </w:r>
      <w:r w:rsidR="002139E3">
        <w:rPr>
          <w:rFonts w:ascii="Arial" w:hAnsi="Arial" w:cs="Arial"/>
        </w:rPr>
        <w:fldChar w:fldCharType="separate"/>
      </w:r>
      <w:r w:rsidR="00054AD6">
        <w:rPr>
          <w:rFonts w:ascii="Arial" w:hAnsi="Arial" w:cs="Arial"/>
          <w:noProof/>
        </w:rPr>
        <w:t>(Parfitt, 1984, Riggs et al., 2004, Willinghamm et al., 2010)</w:t>
      </w:r>
      <w:r w:rsidR="002139E3">
        <w:rPr>
          <w:rFonts w:ascii="Arial" w:hAnsi="Arial" w:cs="Arial"/>
        </w:rPr>
        <w:fldChar w:fldCharType="end"/>
      </w:r>
      <w:r w:rsidR="00054AD6">
        <w:rPr>
          <w:rFonts w:ascii="Arial" w:hAnsi="Arial" w:cs="Arial"/>
        </w:rPr>
        <w:t xml:space="preserve">. </w:t>
      </w:r>
      <w:r w:rsidR="00161FEA">
        <w:rPr>
          <w:rFonts w:ascii="Arial" w:hAnsi="Arial" w:cs="Arial"/>
        </w:rPr>
        <w:t xml:space="preserve">Figure </w:t>
      </w:r>
      <w:r w:rsidR="0052733C">
        <w:rPr>
          <w:rFonts w:ascii="Arial" w:hAnsi="Arial" w:cs="Arial"/>
        </w:rPr>
        <w:t>8</w:t>
      </w:r>
      <w:r>
        <w:rPr>
          <w:rFonts w:ascii="Arial" w:hAnsi="Arial" w:cs="Arial"/>
        </w:rPr>
        <w:t xml:space="preserve"> shows age-related changes of vertebral trabecular bone in young adult and aged women. While age-related changes in bone morphology, mass and architecture are generally due to negative balance during bone remodelling process</w:t>
      </w:r>
      <w:r w:rsidR="00054AD6">
        <w:rPr>
          <w:rFonts w:ascii="Arial" w:hAnsi="Arial" w:cs="Arial"/>
        </w:rPr>
        <w:t xml:space="preserve"> </w:t>
      </w:r>
      <w:r w:rsidR="00054AD6">
        <w:rPr>
          <w:rFonts w:ascii="Arial" w:hAnsi="Arial" w:cs="Arial"/>
        </w:rPr>
        <w:fldChar w:fldCharType="begin"/>
      </w:r>
      <w:r w:rsidR="00A108A1">
        <w:rPr>
          <w:rFonts w:ascii="Arial" w:hAnsi="Arial" w:cs="Arial"/>
        </w:rPr>
        <w:instrText xml:space="preserve"> ADDIN EN.CITE &lt;EndNote&gt;&lt;Cite&gt;&lt;Author&gt;Mosekilde&lt;/Author&gt;&lt;Year&gt;2000&lt;/Year&gt;&lt;RecNum&gt;54&lt;/RecNum&gt;&lt;DisplayText&gt;(Mosekilde, 2000, Seeman, 2003)&lt;/DisplayText&gt;&lt;record&gt;&lt;rec-number&gt;54&lt;/rec-number&gt;&lt;foreign-keys&gt;&lt;key app="EN" db-id="ae9rewfrpdttrheppfxxv0p4950wpd25r09x" timestamp="1520657656"&gt;54&lt;/key&gt;&lt;key app="ENWeb" db-id=""&gt;0&lt;/key&gt;&lt;/foreign-keys&gt;&lt;ref-type name="Journal Article"&gt;17&lt;/ref-type&gt;&lt;contributors&gt;&lt;authors&gt;&lt;author&gt;Mosekilde, Lis&lt;/author&gt;&lt;/authors&gt;&lt;/contributors&gt;&lt;titles&gt;&lt;title&gt;Age- related changes in bone mass, structure, and strength - Effects of loading&lt;/title&gt;&lt;secondary-title&gt;Zeitschrift fur Rheumatologie&lt;/secondary-title&gt;&lt;/titles&gt;&lt;periodical&gt;&lt;full-title&gt;Zeitschrift fur Rheumatologie&lt;/full-title&gt;&lt;/periodical&gt;&lt;pages&gt;1-9&lt;/pages&gt;&lt;volume&gt;59&lt;/volume&gt;&lt;number&gt;1&lt;/number&gt;&lt;keywords&gt;&lt;keyword&gt;Aging&lt;/keyword&gt;&lt;keyword&gt;Bone Mass&lt;/keyword&gt;&lt;keyword&gt;Bone Strength&lt;/keyword&gt;&lt;keyword&gt;Loading&lt;/keyword&gt;&lt;keyword&gt;Spine&lt;/keyword&gt;&lt;/keywords&gt;&lt;dates&gt;&lt;year&gt;2000&lt;/year&gt;&lt;/dates&gt;&lt;isbn&gt;03401855&lt;/isbn&gt;&lt;urls&gt;&lt;/urls&gt;&lt;/record&gt;&lt;/Cite&gt;&lt;Cite&gt;&lt;Author&gt;Seeman&lt;/Author&gt;&lt;Year&gt;2003&lt;/Year&gt;&lt;RecNum&gt;329&lt;/RecNum&gt;&lt;record&gt;&lt;rec-number&gt;329&lt;/rec-number&gt;&lt;foreign-keys&gt;&lt;key app="EN" db-id="ae9rewfrpdttrheppfxxv0p4950wpd25r09x" timestamp="1520658298"&gt;329&lt;/key&gt;&lt;/foreign-keys&gt;&lt;ref-type name="Journal Article"&gt;17&lt;/ref-type&gt;&lt;contributors&gt;&lt;authors&gt;&lt;author&gt;Seeman, Ego&lt;/author&gt;&lt;/authors&gt;&lt;/contributors&gt;&lt;titles&gt;&lt;title&gt;Periosteal Bone Formation — A Neglected Determinant of Bone Strength&lt;/title&gt;&lt;secondary-title&gt;The New England Journal of Medicine&lt;/secondary-title&gt;&lt;/titles&gt;&lt;periodical&gt;&lt;full-title&gt;The New England Journal of Medicine&lt;/full-title&gt;&lt;/periodical&gt;&lt;pages&gt;320-323&lt;/pages&gt;&lt;volume&gt;349&lt;/volume&gt;&lt;number&gt;4&lt;/number&gt;&lt;keywords&gt;&lt;keyword&gt;Bone Strength&lt;/keyword&gt;&lt;keyword&gt;Periosteum&lt;/keyword&gt;&lt;keyword&gt;Bone (Long)&lt;/keyword&gt;&lt;keyword&gt;Mechanical Properties&lt;/keyword&gt;&lt;keyword&gt;Bone: Physical Investigations&lt;/keyword&gt;&lt;/keywords&gt;&lt;dates&gt;&lt;year&gt;2003&lt;/year&gt;&lt;/dates&gt;&lt;isbn&gt;0028-4793&lt;/isbn&gt;&lt;urls&gt;&lt;/urls&gt;&lt;electronic-resource-num&gt;10.1056/NEJMp038101&lt;/electronic-resource-num&gt;&lt;/record&gt;&lt;/Cite&gt;&lt;/EndNote&gt;</w:instrText>
      </w:r>
      <w:r w:rsidR="00054AD6">
        <w:rPr>
          <w:rFonts w:ascii="Arial" w:hAnsi="Arial" w:cs="Arial"/>
        </w:rPr>
        <w:fldChar w:fldCharType="separate"/>
      </w:r>
      <w:r w:rsidR="005D464D">
        <w:rPr>
          <w:rFonts w:ascii="Arial" w:hAnsi="Arial" w:cs="Arial"/>
          <w:noProof/>
        </w:rPr>
        <w:t>(Mosekilde, 2000, Seeman, 2003)</w:t>
      </w:r>
      <w:r w:rsidR="00054AD6">
        <w:rPr>
          <w:rFonts w:ascii="Arial" w:hAnsi="Arial" w:cs="Arial"/>
        </w:rPr>
        <w:fldChar w:fldCharType="end"/>
      </w:r>
      <w:r w:rsidR="00054AD6">
        <w:rPr>
          <w:rFonts w:ascii="Arial" w:hAnsi="Arial" w:cs="Arial"/>
        </w:rPr>
        <w:t xml:space="preserve">; </w:t>
      </w:r>
      <w:r>
        <w:rPr>
          <w:rFonts w:ascii="Arial" w:hAnsi="Arial" w:cs="Lucida Grande"/>
          <w:szCs w:val="26"/>
        </w:rPr>
        <w:t>it does not affect all the bones equally. The differences in bones including vertebral, femoral neck, radius and tibial bones depend on</w:t>
      </w:r>
      <w:r w:rsidR="00CC42C7">
        <w:rPr>
          <w:rFonts w:ascii="Arial" w:hAnsi="Arial" w:cs="Lucida Grande"/>
          <w:szCs w:val="26"/>
        </w:rPr>
        <w:t xml:space="preserve"> </w:t>
      </w:r>
      <w:r w:rsidR="004769C1">
        <w:rPr>
          <w:rFonts w:ascii="Arial" w:hAnsi="Arial" w:cs="Lucida Grande"/>
          <w:szCs w:val="26"/>
        </w:rPr>
        <w:t xml:space="preserve">the </w:t>
      </w:r>
      <w:r w:rsidR="007A0FA4">
        <w:rPr>
          <w:rFonts w:ascii="Arial" w:hAnsi="Arial" w:cs="Lucida Grande"/>
          <w:szCs w:val="26"/>
        </w:rPr>
        <w:t>strain</w:t>
      </w:r>
      <w:r w:rsidR="00054AD6">
        <w:rPr>
          <w:rFonts w:ascii="Arial" w:hAnsi="Arial" w:cs="Lucida Grande"/>
          <w:szCs w:val="26"/>
        </w:rPr>
        <w:t xml:space="preserve"> experienced</w:t>
      </w:r>
      <w:r w:rsidR="007A0FA4">
        <w:rPr>
          <w:rFonts w:ascii="Arial" w:hAnsi="Arial" w:cs="Lucida Grande"/>
          <w:szCs w:val="26"/>
        </w:rPr>
        <w:t>,</w:t>
      </w:r>
      <w:r w:rsidR="005F5266">
        <w:rPr>
          <w:rFonts w:ascii="Arial" w:hAnsi="Arial" w:cs="Lucida Grande"/>
          <w:szCs w:val="26"/>
        </w:rPr>
        <w:t xml:space="preserve"> activities</w:t>
      </w:r>
      <w:r w:rsidR="00CC42C7">
        <w:rPr>
          <w:rFonts w:ascii="Arial" w:hAnsi="Arial" w:cs="Lucida Grande"/>
          <w:szCs w:val="26"/>
        </w:rPr>
        <w:t xml:space="preserve"> of the bone cells and </w:t>
      </w:r>
      <w:r>
        <w:rPr>
          <w:rFonts w:ascii="Arial" w:hAnsi="Arial" w:cs="Lucida Grande"/>
          <w:szCs w:val="26"/>
        </w:rPr>
        <w:t>g</w:t>
      </w:r>
      <w:r w:rsidR="00CC42C7">
        <w:rPr>
          <w:rFonts w:ascii="Arial" w:hAnsi="Arial" w:cs="Lucida Grande"/>
          <w:szCs w:val="26"/>
        </w:rPr>
        <w:t>enetic predisposition to ageing</w:t>
      </w:r>
      <w:r w:rsidR="005F5266">
        <w:rPr>
          <w:rFonts w:ascii="Arial" w:hAnsi="Arial" w:cs="Lucida Grande"/>
          <w:szCs w:val="26"/>
        </w:rPr>
        <w:t>,</w:t>
      </w:r>
      <w:r w:rsidR="00CC42C7">
        <w:rPr>
          <w:rFonts w:ascii="Arial" w:hAnsi="Arial" w:cs="Lucida Grande"/>
          <w:szCs w:val="26"/>
        </w:rPr>
        <w:t xml:space="preserve"> </w:t>
      </w:r>
      <w:r w:rsidR="009034B9">
        <w:rPr>
          <w:rFonts w:ascii="Arial" w:hAnsi="Arial" w:cs="Lucida Grande"/>
          <w:szCs w:val="26"/>
        </w:rPr>
        <w:t xml:space="preserve">which have been </w:t>
      </w:r>
      <w:r>
        <w:rPr>
          <w:rFonts w:ascii="Arial" w:hAnsi="Arial" w:cs="Lucida Grande"/>
          <w:szCs w:val="26"/>
        </w:rPr>
        <w:t>previously reviewed</w:t>
      </w:r>
      <w:r w:rsidR="00254FFD">
        <w:rPr>
          <w:rFonts w:ascii="Arial" w:hAnsi="Arial" w:cs="Lucida Grande"/>
          <w:szCs w:val="26"/>
        </w:rPr>
        <w:t xml:space="preserve"> </w:t>
      </w:r>
      <w:r w:rsidR="00254FFD">
        <w:rPr>
          <w:rFonts w:ascii="Arial" w:hAnsi="Arial" w:cs="Lucida Grande"/>
          <w:szCs w:val="26"/>
        </w:rPr>
        <w:fldChar w:fldCharType="begin">
          <w:fldData xml:space="preserve">PEVuZE5vdGU+PENpdGU+PEF1dGhvcj5Cb3NrZXk8L0F1dGhvcj48WWVhcj4yMDEwPC9ZZWFyPjxS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</w:fldData>
        </w:fldChar>
      </w:r>
      <w:r w:rsidR="00B97465">
        <w:rPr>
          <w:rFonts w:ascii="Arial" w:hAnsi="Arial" w:cs="Lucida Grande"/>
          <w:szCs w:val="26"/>
        </w:rPr>
        <w:instrText xml:space="preserve"> ADDIN EN.CITE </w:instrText>
      </w:r>
      <w:r w:rsidR="00B97465">
        <w:rPr>
          <w:rFonts w:ascii="Arial" w:hAnsi="Arial" w:cs="Lucida Grande"/>
          <w:szCs w:val="26"/>
        </w:rPr>
        <w:fldChar w:fldCharType="begin">
          <w:fldData xml:space="preserve">PEVuZE5vdGU+PENpdGU+PEF1dGhvcj5Cb3NrZXk8L0F1dGhvcj48WWVhcj4yMDEwPC9ZZWFyPjxS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</w:fldData>
        </w:fldChar>
      </w:r>
      <w:r w:rsidR="00B97465">
        <w:rPr>
          <w:rFonts w:ascii="Arial" w:hAnsi="Arial" w:cs="Lucida Grande"/>
          <w:szCs w:val="26"/>
        </w:rPr>
        <w:instrText xml:space="preserve"> ADDIN EN.CITE.DATA </w:instrText>
      </w:r>
      <w:r w:rsidR="00B97465">
        <w:rPr>
          <w:rFonts w:ascii="Arial" w:hAnsi="Arial" w:cs="Lucida Grande"/>
          <w:szCs w:val="26"/>
        </w:rPr>
      </w:r>
      <w:r w:rsidR="00B97465">
        <w:rPr>
          <w:rFonts w:ascii="Arial" w:hAnsi="Arial" w:cs="Lucida Grande"/>
          <w:szCs w:val="26"/>
        </w:rPr>
        <w:fldChar w:fldCharType="end"/>
      </w:r>
      <w:r w:rsidR="00254FFD">
        <w:rPr>
          <w:rFonts w:ascii="Arial" w:hAnsi="Arial" w:cs="Lucida Grande"/>
          <w:szCs w:val="26"/>
        </w:rPr>
      </w:r>
      <w:r w:rsidR="00254FFD">
        <w:rPr>
          <w:rFonts w:ascii="Arial" w:hAnsi="Arial" w:cs="Lucida Grande"/>
          <w:szCs w:val="26"/>
        </w:rPr>
        <w:fldChar w:fldCharType="separate"/>
      </w:r>
      <w:r w:rsidR="00254FFD">
        <w:rPr>
          <w:rFonts w:ascii="Arial" w:hAnsi="Arial" w:cs="Lucida Grande"/>
          <w:noProof/>
          <w:szCs w:val="26"/>
        </w:rPr>
        <w:t>(Boskey and Coleman, 2010, Chen et al., 2013)</w:t>
      </w:r>
      <w:r w:rsidR="00254FFD">
        <w:rPr>
          <w:rFonts w:ascii="Arial" w:hAnsi="Arial" w:cs="Lucida Grande"/>
          <w:szCs w:val="26"/>
        </w:rPr>
        <w:fldChar w:fldCharType="end"/>
      </w:r>
      <w:r w:rsidR="00254FFD">
        <w:rPr>
          <w:rFonts w:ascii="Arial" w:hAnsi="Arial" w:cs="Lucida Grande"/>
          <w:szCs w:val="26"/>
        </w:rPr>
        <w:t>.</w:t>
      </w:r>
    </w:p>
    <w:p w14:paraId="70377DA0" w14:textId="77777777" w:rsidR="00D27346" w:rsidRDefault="007B76C3" w:rsidP="00D27346">
      <w:pPr>
        <w:keepNext/>
        <w:tabs>
          <w:tab w:val="left" w:pos="3828"/>
          <w:tab w:val="left" w:pos="4678"/>
        </w:tabs>
        <w:jc w:val="center"/>
      </w:pPr>
      <w:r w:rsidRPr="00E60543">
        <w:rPr>
          <w:rFonts w:ascii="Arial" w:hAnsi="Arial" w:cs="Arial"/>
          <w:noProof/>
          <w:color w:val="000000" w:themeColor="text1"/>
          <w:lang w:val="en-US"/>
        </w:rPr>
        <w:lastRenderedPageBreak/>
        <w:drawing>
          <wp:inline distT="0" distB="0" distL="0" distR="0" wp14:anchorId="7DE299AE" wp14:editId="792E9E98">
            <wp:extent cx="2965450" cy="3225726"/>
            <wp:effectExtent l="0" t="0" r="6350" b="635"/>
            <wp:docPr id="7" name="Picture 7" descr="Macintosh HD:Users:appleuser:Desktop:19x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ppleuser:Desktop:19xlg.jp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50000"/>
                              </a14:imgEffect>
                              <a14:imgEffect>
                                <a14:brightnessContrast bright="1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65450" cy="3225726"/>
                    </a:xfrm>
                    <a:prstGeom prst="rect">
                      <a:avLst/>
                    </a:prstGeom>
                    <a:noFill/>
                    <a:ln>
                      <a:noFill/>
                    </a:ln>
                  </pic:spPr>
                </pic:pic>
              </a:graphicData>
            </a:graphic>
          </wp:inline>
        </w:drawing>
      </w:r>
      <w:r>
        <w:rPr>
          <w:rFonts w:ascii="Arial" w:hAnsi="Arial" w:cs="Arial"/>
          <w:noProof/>
          <w:color w:val="000000" w:themeColor="text1"/>
          <w:lang w:val="en-US"/>
        </w:rPr>
        <w:drawing>
          <wp:inline distT="0" distB="0" distL="0" distR="0" wp14:anchorId="0C872D20" wp14:editId="38DADA80">
            <wp:extent cx="2976880" cy="3227589"/>
            <wp:effectExtent l="0" t="0" r="0" b="0"/>
            <wp:docPr id="10" name="Picture 10" descr="Macintosh HD:Users:appleuser:Desktop:19xl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ppleuser:Desktop:19xlg1..jpg"/>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Effect>
                                <a14:brightnessContrast bright="1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76880" cy="3227589"/>
                    </a:xfrm>
                    <a:prstGeom prst="rect">
                      <a:avLst/>
                    </a:prstGeom>
                    <a:noFill/>
                    <a:ln>
                      <a:noFill/>
                    </a:ln>
                  </pic:spPr>
                </pic:pic>
              </a:graphicData>
            </a:graphic>
          </wp:inline>
        </w:drawing>
      </w:r>
    </w:p>
    <w:p w14:paraId="1BDB5192" w14:textId="77777777" w:rsidR="00D27346" w:rsidRDefault="00D27346" w:rsidP="00D27346">
      <w:pPr>
        <w:pStyle w:val="Caption"/>
        <w:jc w:val="both"/>
      </w:pPr>
    </w:p>
    <w:p w14:paraId="47D51DFD" w14:textId="77777777" w:rsidR="007B76C3" w:rsidRPr="00DF07C1" w:rsidRDefault="004A37C7" w:rsidP="00D27346">
      <w:pPr>
        <w:pStyle w:val="Caption"/>
        <w:spacing w:line="360" w:lineRule="auto"/>
        <w:jc w:val="both"/>
        <w:rPr>
          <w:rFonts w:ascii="Arial" w:hAnsi="Arial" w:cs="Arial"/>
          <w:b w:val="0"/>
          <w:color w:val="244061" w:themeColor="accent1" w:themeShade="80"/>
          <w:sz w:val="24"/>
          <w:szCs w:val="24"/>
        </w:rPr>
      </w:pPr>
      <w:bookmarkStart w:id="20" w:name="_Toc383544599"/>
      <w:r w:rsidRPr="00DF07C1">
        <w:rPr>
          <w:rFonts w:ascii="Arial" w:hAnsi="Arial" w:cs="Arial"/>
          <w:color w:val="244061" w:themeColor="accent1" w:themeShade="80"/>
          <w:sz w:val="24"/>
          <w:szCs w:val="24"/>
        </w:rPr>
        <w:t xml:space="preserve">Figure </w:t>
      </w:r>
      <w:r w:rsidR="00D27346" w:rsidRPr="00DF07C1">
        <w:rPr>
          <w:rFonts w:ascii="Arial" w:hAnsi="Arial" w:cs="Arial"/>
          <w:color w:val="244061" w:themeColor="accent1" w:themeShade="80"/>
          <w:sz w:val="24"/>
          <w:szCs w:val="24"/>
        </w:rPr>
        <w:fldChar w:fldCharType="begin"/>
      </w:r>
      <w:r w:rsidR="00D27346" w:rsidRPr="00DF07C1">
        <w:rPr>
          <w:rFonts w:ascii="Arial" w:hAnsi="Arial" w:cs="Arial"/>
          <w:color w:val="244061" w:themeColor="accent1" w:themeShade="80"/>
          <w:sz w:val="24"/>
          <w:szCs w:val="24"/>
        </w:rPr>
        <w:instrText xml:space="preserve"> SEQ Figure \* ARABIC </w:instrText>
      </w:r>
      <w:r w:rsidR="00D27346" w:rsidRPr="00DF07C1">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8</w:t>
      </w:r>
      <w:r w:rsidR="00D27346" w:rsidRPr="00DF07C1">
        <w:rPr>
          <w:rFonts w:ascii="Arial" w:hAnsi="Arial" w:cs="Arial"/>
          <w:color w:val="244061" w:themeColor="accent1" w:themeShade="80"/>
          <w:sz w:val="24"/>
          <w:szCs w:val="24"/>
        </w:rPr>
        <w:fldChar w:fldCharType="end"/>
      </w:r>
      <w:r w:rsidR="00D27346" w:rsidRPr="00DF07C1">
        <w:rPr>
          <w:rFonts w:ascii="Arial" w:hAnsi="Arial" w:cs="Arial"/>
          <w:color w:val="244061" w:themeColor="accent1" w:themeShade="80"/>
          <w:sz w:val="24"/>
          <w:szCs w:val="24"/>
        </w:rPr>
        <w:t xml:space="preserve"> Scanning electron micrographs (SEMs) of the trabecular bone of the third lumbar (L3) vertebrae of healthy adult 30 years old (left) and osteoporotic 71 years old (right) females</w:t>
      </w:r>
      <w:bookmarkEnd w:id="20"/>
    </w:p>
    <w:p w14:paraId="55EC457B" w14:textId="77777777" w:rsidR="007B76C3" w:rsidRDefault="003A5E0D" w:rsidP="007B76C3">
      <w:pPr>
        <w:tabs>
          <w:tab w:val="left" w:pos="4678"/>
        </w:tabs>
        <w:spacing w:line="360" w:lineRule="auto"/>
        <w:jc w:val="both"/>
        <w:rPr>
          <w:rFonts w:ascii="Arial" w:hAnsi="Arial" w:cs="Arial"/>
          <w:sz w:val="22"/>
          <w:szCs w:val="22"/>
        </w:rPr>
      </w:pPr>
      <w:r>
        <w:rPr>
          <w:rFonts w:ascii="Arial" w:hAnsi="Arial" w:cs="Arial"/>
          <w:sz w:val="22"/>
          <w:szCs w:val="22"/>
        </w:rPr>
        <w:t>Image reproduced</w:t>
      </w:r>
      <w:r w:rsidR="007B76C3">
        <w:rPr>
          <w:rFonts w:ascii="Arial" w:hAnsi="Arial" w:cs="Arial"/>
          <w:sz w:val="22"/>
          <w:szCs w:val="22"/>
        </w:rPr>
        <w:t xml:space="preserve"> from European Calcified Tissue Society (ECTS) Resource Centre produced by Tim Arnett, University </w:t>
      </w:r>
      <w:r w:rsidR="00762C6B">
        <w:rPr>
          <w:rFonts w:ascii="Arial" w:hAnsi="Arial" w:cs="Arial"/>
          <w:sz w:val="22"/>
          <w:szCs w:val="22"/>
        </w:rPr>
        <w:t>College</w:t>
      </w:r>
      <w:r w:rsidR="007B76C3">
        <w:rPr>
          <w:rFonts w:ascii="Arial" w:hAnsi="Arial" w:cs="Arial"/>
          <w:sz w:val="22"/>
          <w:szCs w:val="22"/>
        </w:rPr>
        <w:t xml:space="preserve"> London</w:t>
      </w:r>
    </w:p>
    <w:p w14:paraId="64325FF7" w14:textId="77777777" w:rsidR="007B76C3" w:rsidRDefault="007B76C3" w:rsidP="007B76C3">
      <w:pPr>
        <w:spacing w:line="480" w:lineRule="auto"/>
        <w:jc w:val="both"/>
        <w:rPr>
          <w:rFonts w:ascii="Arial" w:hAnsi="Arial" w:cs="Arial"/>
        </w:rPr>
      </w:pPr>
    </w:p>
    <w:p w14:paraId="7B98703A" w14:textId="77777777" w:rsidR="00E56FC6" w:rsidRDefault="00E56FC6" w:rsidP="007B76C3">
      <w:pPr>
        <w:spacing w:line="480" w:lineRule="auto"/>
        <w:jc w:val="both"/>
        <w:rPr>
          <w:rFonts w:ascii="Arial" w:hAnsi="Arial" w:cs="Arial"/>
        </w:rPr>
      </w:pPr>
    </w:p>
    <w:p w14:paraId="221657AF" w14:textId="77777777" w:rsidR="007B76C3" w:rsidRDefault="007B76C3" w:rsidP="007B76C3">
      <w:pPr>
        <w:spacing w:line="480" w:lineRule="auto"/>
        <w:jc w:val="both"/>
        <w:rPr>
          <w:rFonts w:ascii="Arial" w:hAnsi="Arial" w:cs="Arial"/>
        </w:rPr>
      </w:pPr>
      <w:r>
        <w:rPr>
          <w:rFonts w:ascii="Arial" w:hAnsi="Arial" w:cs="Arial"/>
        </w:rPr>
        <w:t>Decline in b</w:t>
      </w:r>
      <w:r w:rsidRPr="00516FB4">
        <w:rPr>
          <w:rFonts w:ascii="Arial" w:hAnsi="Arial" w:cs="Arial"/>
        </w:rPr>
        <w:t>one mineral density (BMD)</w:t>
      </w:r>
      <w:r>
        <w:rPr>
          <w:rFonts w:ascii="Arial" w:hAnsi="Arial" w:cs="Arial"/>
        </w:rPr>
        <w:t xml:space="preserve"> measured using widely recognised dual-energy x-ray absorptiometry (DEXA) is one of the risk factors and marker of bone fracture susceptib</w:t>
      </w:r>
      <w:r w:rsidR="0035209E">
        <w:rPr>
          <w:rFonts w:ascii="Arial" w:hAnsi="Arial" w:cs="Arial"/>
        </w:rPr>
        <w:t>ilit</w:t>
      </w:r>
      <w:r>
        <w:rPr>
          <w:rFonts w:ascii="Arial" w:hAnsi="Arial" w:cs="Arial"/>
        </w:rPr>
        <w:t xml:space="preserve">y </w:t>
      </w:r>
      <w:r w:rsidRPr="00516FB4">
        <w:rPr>
          <w:rFonts w:ascii="Arial" w:hAnsi="Arial" w:cs="Arial"/>
        </w:rPr>
        <w:fldChar w:fldCharType="begin">
          <w:fldData xml:space="preserve">PEVuZE5vdGU+PENpdGU+PEF1dGhvcj5HZW5hbnQ8L0F1dGhvcj48WWVhcj4xOTkxPC9ZZWFyPjxS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PEVuZE5vdGU+PENpdGU+PEF1dGhvcj5HZW5hbnQ8L0F1dGhvcj48WWVhcj4xOTkxPC9ZZWFyPjxS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Pr="00516FB4">
        <w:rPr>
          <w:rFonts w:ascii="Arial" w:hAnsi="Arial" w:cs="Arial"/>
        </w:rPr>
      </w:r>
      <w:r w:rsidRPr="00516FB4">
        <w:rPr>
          <w:rFonts w:ascii="Arial" w:hAnsi="Arial" w:cs="Arial"/>
        </w:rPr>
        <w:fldChar w:fldCharType="separate"/>
      </w:r>
      <w:r w:rsidRPr="00516FB4">
        <w:rPr>
          <w:rFonts w:ascii="Arial" w:hAnsi="Arial" w:cs="Arial"/>
          <w:noProof/>
        </w:rPr>
        <w:t>(Genant et al., 1991, Riggs et al., 2004)</w:t>
      </w:r>
      <w:r w:rsidRPr="00516FB4">
        <w:rPr>
          <w:rFonts w:ascii="Arial" w:hAnsi="Arial" w:cs="Arial"/>
        </w:rPr>
        <w:fldChar w:fldCharType="end"/>
      </w:r>
      <w:r w:rsidRPr="00516FB4">
        <w:rPr>
          <w:rFonts w:ascii="Arial" w:hAnsi="Arial" w:cs="Arial"/>
        </w:rPr>
        <w:t xml:space="preserve">. </w:t>
      </w:r>
      <w:r>
        <w:rPr>
          <w:rFonts w:ascii="Arial" w:hAnsi="Arial" w:cs="Arial"/>
        </w:rPr>
        <w:t xml:space="preserve">Although BMD is important predictor, </w:t>
      </w:r>
      <w:r>
        <w:rPr>
          <w:rFonts w:ascii="Arial" w:hAnsi="Arial"/>
        </w:rPr>
        <w:t>various other</w:t>
      </w:r>
      <w:r w:rsidRPr="00EF50C3">
        <w:rPr>
          <w:rFonts w:ascii="Arial" w:hAnsi="Arial"/>
        </w:rPr>
        <w:t xml:space="preserve"> </w:t>
      </w:r>
      <w:r>
        <w:rPr>
          <w:rFonts w:ascii="Arial" w:hAnsi="Arial"/>
        </w:rPr>
        <w:t>age-related BMD-independent changes in bo</w:t>
      </w:r>
      <w:r w:rsidRPr="00EF50C3">
        <w:rPr>
          <w:rFonts w:ascii="Arial" w:hAnsi="Arial"/>
        </w:rPr>
        <w:t xml:space="preserve">ne quality </w:t>
      </w:r>
      <w:r>
        <w:rPr>
          <w:rFonts w:ascii="Arial" w:hAnsi="Arial"/>
        </w:rPr>
        <w:t xml:space="preserve">also </w:t>
      </w:r>
      <w:r w:rsidRPr="00EF50C3">
        <w:rPr>
          <w:rFonts w:ascii="Arial" w:hAnsi="Arial"/>
        </w:rPr>
        <w:t xml:space="preserve">contribute </w:t>
      </w:r>
      <w:r>
        <w:rPr>
          <w:rFonts w:ascii="Arial" w:hAnsi="Arial"/>
        </w:rPr>
        <w:t xml:space="preserve">to the increased fracture risk </w:t>
      </w:r>
      <w:r w:rsidR="00383AC1">
        <w:rPr>
          <w:rFonts w:ascii="Arial" w:hAnsi="Arial"/>
        </w:rPr>
        <w:fldChar w:fldCharType="begin">
          <w:fldData xml:space="preserve">PEVuZE5vdGU+PENpdGU+PEF1dGhvcj5TeWVkPC9BdXRob3I+PFllYXI+MjAxMDwvWWVhcj48UmVj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</w:fldData>
        </w:fldChar>
      </w:r>
      <w:r w:rsidR="00A108A1">
        <w:rPr>
          <w:rFonts w:ascii="Arial" w:hAnsi="Arial"/>
        </w:rPr>
        <w:instrText xml:space="preserve"> ADDIN EN.CITE </w:instrText>
      </w:r>
      <w:r w:rsidR="00A108A1">
        <w:rPr>
          <w:rFonts w:ascii="Arial" w:hAnsi="Arial"/>
        </w:rPr>
        <w:fldChar w:fldCharType="begin">
          <w:fldData xml:space="preserve">PEVuZE5vdGU+PENpdGU+PEF1dGhvcj5TeWVkPC9BdXRob3I+PFllYXI+MjAxMDwvWWVhcj48UmVj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</w:fldData>
        </w:fldChar>
      </w:r>
      <w:r w:rsidR="00A108A1">
        <w:rPr>
          <w:rFonts w:ascii="Arial" w:hAnsi="Arial"/>
        </w:rPr>
        <w:instrText xml:space="preserve"> ADDIN EN.CITE.DATA </w:instrText>
      </w:r>
      <w:r w:rsidR="00A108A1">
        <w:rPr>
          <w:rFonts w:ascii="Arial" w:hAnsi="Arial"/>
        </w:rPr>
      </w:r>
      <w:r w:rsidR="00A108A1">
        <w:rPr>
          <w:rFonts w:ascii="Arial" w:hAnsi="Arial"/>
        </w:rPr>
        <w:fldChar w:fldCharType="end"/>
      </w:r>
      <w:r w:rsidR="00383AC1">
        <w:rPr>
          <w:rFonts w:ascii="Arial" w:hAnsi="Arial"/>
        </w:rPr>
      </w:r>
      <w:r w:rsidR="00383AC1">
        <w:rPr>
          <w:rFonts w:ascii="Arial" w:hAnsi="Arial"/>
        </w:rPr>
        <w:fldChar w:fldCharType="separate"/>
      </w:r>
      <w:r w:rsidR="00383AC1">
        <w:rPr>
          <w:rFonts w:ascii="Arial" w:hAnsi="Arial"/>
          <w:noProof/>
        </w:rPr>
        <w:t>(Syed and Ng, 2010, Gabet and Bab, 2011)</w:t>
      </w:r>
      <w:r w:rsidR="00383AC1">
        <w:rPr>
          <w:rFonts w:ascii="Arial" w:hAnsi="Arial"/>
        </w:rPr>
        <w:fldChar w:fldCharType="end"/>
      </w:r>
      <w:r w:rsidR="00383AC1">
        <w:rPr>
          <w:rFonts w:ascii="Arial" w:hAnsi="Arial"/>
        </w:rPr>
        <w:t>.</w:t>
      </w:r>
      <w:r>
        <w:rPr>
          <w:rFonts w:ascii="Arial" w:hAnsi="Arial"/>
        </w:rPr>
        <w:t xml:space="preserve"> High resolution peripheral quantitative CT (HR-pQCT) and micro computed tomography (</w:t>
      </w:r>
      <w:r>
        <w:rPr>
          <w:rFonts w:ascii="Arial" w:hAnsi="Arial" w:cs="Arial"/>
        </w:rPr>
        <w:t>μ</w:t>
      </w:r>
      <w:r>
        <w:rPr>
          <w:rFonts w:ascii="Arial" w:hAnsi="Arial"/>
        </w:rPr>
        <w:t xml:space="preserve">CT) allow for detailed three-dimensional (3D) assessment of cortical and trabecular microstructures separately, which is an advantage over DEXA </w:t>
      </w:r>
      <w:r w:rsidR="005A645A">
        <w:rPr>
          <w:rFonts w:ascii="Arial" w:hAnsi="Arial"/>
        </w:rPr>
        <w:fldChar w:fldCharType="begin"/>
      </w:r>
      <w:r w:rsidR="00A108A1">
        <w:rPr>
          <w:rFonts w:ascii="Arial" w:hAnsi="Arial"/>
        </w:rPr>
        <w:instrText xml:space="preserve"> ADDIN EN.CITE &lt;EndNote&gt;&lt;Cite&gt;&lt;Author&gt;Chen&lt;/Author&gt;&lt;Year&gt;2012&lt;/Year&gt;&lt;RecNum&gt;333&lt;/RecNum&gt;&lt;DisplayText&gt;(Chen et al., 2012)&lt;/DisplayText&gt;&lt;record&gt;&lt;rec-number&gt;333&lt;/rec-number&gt;&lt;foreign-keys&gt;&lt;key app="EN" db-id="ae9rewfrpdttrheppfxxv0p4950wpd25r09x" timestamp="1520658298"&gt;333&lt;/key&gt;&lt;/foreign-keys&gt;&lt;ref-type name="Journal Article"&gt;17&lt;/ref-type&gt;&lt;contributors&gt;&lt;authors&gt;&lt;author&gt;Chen, G.&lt;/author&gt;&lt;author&gt;Fan, W.&lt;/author&gt;&lt;author&gt;Mishra, S.&lt;/author&gt;&lt;author&gt;El-Atem, A.&lt;/author&gt;&lt;author&gt;Schuetz, M. A.&lt;/author&gt;&lt;author&gt;Xiao, Y.&lt;/author&gt;&lt;/authors&gt;&lt;/contributors&gt;&lt;titles&gt;&lt;title&gt;Tooth fracture risk analysis based on a new finite element dental structure models using micro- CT data&lt;/title&gt;&lt;secondary-title&gt;Computers in Biology and Medicine&lt;/secondary-title&gt;&lt;/titles&gt;&lt;periodical&gt;&lt;full-title&gt;Computers in Biology and Medicine&lt;/full-title&gt;&lt;/periodical&gt;&lt;pages&gt;957-963&lt;/pages&gt;&lt;volume&gt;42&lt;/volume&gt;&lt;number&gt;10&lt;/number&gt;&lt;keywords&gt;&lt;keyword&gt;Tooth&lt;/keyword&gt;&lt;keyword&gt;Endodontic Treatment&lt;/keyword&gt;&lt;keyword&gt;Vertical Root Fracture&lt;/keyword&gt;&lt;keyword&gt;Microcomputed Tomography&lt;/keyword&gt;&lt;keyword&gt;Finite Element Model&lt;/keyword&gt;&lt;/keywords&gt;&lt;dates&gt;&lt;year&gt;2012&lt;/year&gt;&lt;/dates&gt;&lt;isbn&gt;0010-4825&lt;/isbn&gt;&lt;urls&gt;&lt;/urls&gt;&lt;electronic-resource-num&gt;10.1016/j.compbiomed.2012.07.006&lt;/electronic-resource-num&gt;&lt;/record&gt;&lt;/Cite&gt;&lt;/EndNote&gt;</w:instrText>
      </w:r>
      <w:r w:rsidR="005A645A">
        <w:rPr>
          <w:rFonts w:ascii="Arial" w:hAnsi="Arial"/>
        </w:rPr>
        <w:fldChar w:fldCharType="separate"/>
      </w:r>
      <w:r w:rsidR="005A645A">
        <w:rPr>
          <w:rFonts w:ascii="Arial" w:hAnsi="Arial"/>
          <w:noProof/>
        </w:rPr>
        <w:t>(Chen et al., 2012)</w:t>
      </w:r>
      <w:r w:rsidR="005A645A">
        <w:rPr>
          <w:rFonts w:ascii="Arial" w:hAnsi="Arial"/>
        </w:rPr>
        <w:fldChar w:fldCharType="end"/>
      </w:r>
      <w:r w:rsidR="005A645A">
        <w:rPr>
          <w:rFonts w:ascii="Arial" w:hAnsi="Arial"/>
        </w:rPr>
        <w:t>.</w:t>
      </w:r>
    </w:p>
    <w:p w14:paraId="4E2E9CBB" w14:textId="77777777" w:rsidR="007B76C3" w:rsidRDefault="007B76C3" w:rsidP="007B76C3">
      <w:pPr>
        <w:spacing w:line="480" w:lineRule="auto"/>
        <w:jc w:val="both"/>
        <w:rPr>
          <w:rFonts w:ascii="Arial" w:hAnsi="Arial"/>
        </w:rPr>
      </w:pPr>
    </w:p>
    <w:p w14:paraId="6D3F88B3" w14:textId="77777777" w:rsidR="007B76C3" w:rsidRDefault="007B76C3" w:rsidP="007B76C3">
      <w:pPr>
        <w:spacing w:line="480" w:lineRule="auto"/>
        <w:jc w:val="both"/>
        <w:rPr>
          <w:rFonts w:ascii="Arial" w:hAnsi="Arial"/>
        </w:rPr>
      </w:pPr>
      <w:r>
        <w:rPr>
          <w:rFonts w:ascii="Arial" w:hAnsi="Arial"/>
        </w:rPr>
        <w:lastRenderedPageBreak/>
        <w:t xml:space="preserve">Age-related changes in number and function of the bone cells contribute to failure in the regulation of bone mass by remodelling. Like other cells, bone cells </w:t>
      </w:r>
      <w:r w:rsidR="00841A8F">
        <w:rPr>
          <w:rFonts w:ascii="Arial" w:hAnsi="Arial"/>
        </w:rPr>
        <w:t>are subject to</w:t>
      </w:r>
      <w:r>
        <w:rPr>
          <w:rFonts w:ascii="Arial" w:hAnsi="Arial"/>
        </w:rPr>
        <w:t xml:space="preserve"> the Hayflick limit </w:t>
      </w:r>
      <w:r w:rsidR="00C16194">
        <w:rPr>
          <w:rFonts w:ascii="Arial" w:hAnsi="Arial"/>
        </w:rPr>
        <w:t xml:space="preserve">on the numbers </w:t>
      </w:r>
      <w:r>
        <w:rPr>
          <w:rFonts w:ascii="Arial" w:hAnsi="Arial"/>
        </w:rPr>
        <w:t>of cell division</w:t>
      </w:r>
      <w:r w:rsidR="00841A8F">
        <w:rPr>
          <w:rFonts w:ascii="Arial" w:hAnsi="Arial"/>
        </w:rPr>
        <w:t xml:space="preserve">s before senescence emerges </w:t>
      </w:r>
      <w:r w:rsidR="00A025E8">
        <w:rPr>
          <w:rFonts w:ascii="Arial" w:hAnsi="Arial"/>
        </w:rPr>
        <w:fldChar w:fldCharType="begin"/>
      </w:r>
      <w:r w:rsidR="00A025E8">
        <w:rPr>
          <w:rFonts w:ascii="Arial" w:hAnsi="Arial"/>
        </w:rPr>
        <w:fldChar w:fldCharType="separate"/>
      </w:r>
      <w:r w:rsidR="00A025E8">
        <w:rPr>
          <w:rFonts w:ascii="Arial" w:hAnsi="Arial"/>
        </w:rPr>
        <w:t>{Martin, 1989 #110}</w:t>
      </w:r>
      <w:r w:rsidR="00A025E8">
        <w:rPr>
          <w:rFonts w:ascii="Arial" w:hAnsi="Arial"/>
        </w:rPr>
        <w:fldChar w:fldCharType="end"/>
      </w:r>
      <w:r w:rsidR="002F698A">
        <w:rPr>
          <w:rFonts w:ascii="Arial" w:hAnsi="Arial"/>
        </w:rPr>
        <w:fldChar w:fldCharType="begin"/>
      </w:r>
      <w:r w:rsidR="00A108A1">
        <w:rPr>
          <w:rFonts w:ascii="Arial" w:hAnsi="Arial"/>
        </w:rPr>
        <w:instrText xml:space="preserve"> ADDIN EN.CITE &lt;EndNote&gt;&lt;Cite&gt;&lt;Author&gt;Martin&lt;/Author&gt;&lt;Year&gt;1970&lt;/Year&gt;&lt;RecNum&gt;334&lt;/RecNum&gt;&lt;DisplayText&gt;(Martin et al., 1970)&lt;/DisplayText&gt;&lt;record&gt;&lt;rec-number&gt;334&lt;/rec-number&gt;&lt;foreign-keys&gt;&lt;key app="EN" db-id="ae9rewfrpdttrheppfxxv0p4950wpd25r09x" timestamp="1520658298"&gt;334&lt;/key&gt;&lt;/foreign-keys&gt;&lt;ref-type name="Journal Article"&gt;17&lt;/ref-type&gt;&lt;contributors&gt;&lt;authors&gt;&lt;author&gt;Martin, G. M., &lt;/author&gt;&lt;author&gt;Sprague, C. A., &lt;/author&gt;&lt;author&gt;Epstein, C. J.&lt;/author&gt;&lt;/authors&gt;&lt;/contributors&gt;&lt;titles&gt;&lt;title&gt;Replicative life-span of cultivated human cells. Effects of donor’s age, tissue, and genotype.&lt;/title&gt;&lt;secondary-title&gt;Laboratory Investigation&lt;/secondary-title&gt;&lt;/titles&gt;&lt;periodical&gt;&lt;full-title&gt;Laboratory Investigation&lt;/full-title&gt;&lt;/periodical&gt;&lt;pages&gt;86-92&lt;/pages&gt;&lt;volume&gt;23&lt;/volume&gt;&lt;dates&gt;&lt;year&gt;1970&lt;/year&gt;&lt;/dates&gt;&lt;urls&gt;&lt;/urls&gt;&lt;/record&gt;&lt;/Cite&gt;&lt;/EndNote&gt;</w:instrText>
      </w:r>
      <w:r w:rsidR="002F698A">
        <w:rPr>
          <w:rFonts w:ascii="Arial" w:hAnsi="Arial"/>
        </w:rPr>
        <w:fldChar w:fldCharType="separate"/>
      </w:r>
      <w:r w:rsidR="002F698A">
        <w:rPr>
          <w:rFonts w:ascii="Arial" w:hAnsi="Arial"/>
          <w:noProof/>
        </w:rPr>
        <w:t>(Martin et al., 1970)</w:t>
      </w:r>
      <w:r w:rsidR="002F698A">
        <w:rPr>
          <w:rFonts w:ascii="Arial" w:hAnsi="Arial"/>
        </w:rPr>
        <w:fldChar w:fldCharType="end"/>
      </w:r>
      <w:r w:rsidR="002F698A">
        <w:rPr>
          <w:rFonts w:ascii="Arial" w:hAnsi="Arial"/>
        </w:rPr>
        <w:t xml:space="preserve">. </w:t>
      </w:r>
      <w:r w:rsidRPr="00105ED7">
        <w:rPr>
          <w:rFonts w:ascii="Arial" w:hAnsi="Arial"/>
        </w:rPr>
        <w:t xml:space="preserve">Number </w:t>
      </w:r>
      <w:r>
        <w:rPr>
          <w:rFonts w:ascii="Arial" w:hAnsi="Arial"/>
        </w:rPr>
        <w:t xml:space="preserve">and function </w:t>
      </w:r>
      <w:r w:rsidRPr="00105ED7">
        <w:rPr>
          <w:rFonts w:ascii="Arial" w:hAnsi="Arial"/>
        </w:rPr>
        <w:t xml:space="preserve">of osteocytes </w:t>
      </w:r>
      <w:r>
        <w:rPr>
          <w:rFonts w:ascii="Arial" w:hAnsi="Arial"/>
        </w:rPr>
        <w:t>and osteoblasts have been shown to decline with ageing in mice</w:t>
      </w:r>
      <w:r w:rsidR="00651FFE">
        <w:rPr>
          <w:rFonts w:ascii="Arial" w:hAnsi="Arial"/>
        </w:rPr>
        <w:t xml:space="preserve"> </w:t>
      </w:r>
      <w:r w:rsidR="005E62A7">
        <w:rPr>
          <w:rFonts w:ascii="Arial" w:hAnsi="Arial"/>
        </w:rPr>
        <w:fldChar w:fldCharType="begin"/>
      </w:r>
      <w:r w:rsidR="00A108A1">
        <w:rPr>
          <w:rFonts w:ascii="Arial" w:hAnsi="Arial"/>
        </w:rPr>
        <w:instrText xml:space="preserve"> ADDIN EN.CITE &lt;EndNote&gt;&lt;Cite&gt;&lt;Author&gt;Weinstein&lt;/Author&gt;&lt;Year&gt;2010&lt;/Year&gt;&lt;RecNum&gt;335&lt;/RecNum&gt;&lt;DisplayText&gt;(Weinstein et al., 2010)&lt;/DisplayText&gt;&lt;record&gt;&lt;rec-number&gt;335&lt;/rec-number&gt;&lt;foreign-keys&gt;&lt;key app="EN" db-id="ae9rewfrpdttrheppfxxv0p4950wpd25r09x" timestamp="1520658298"&gt;335&lt;/key&gt;&lt;/foreign-keys&gt;&lt;ref-type name="Journal Article"&gt;17&lt;/ref-type&gt;&lt;contributors&gt;&lt;authors&gt;&lt;author&gt;Weinstein, Robert S.&lt;/author&gt;&lt;author&gt;Wan, Chao&lt;/author&gt;&lt;author&gt;Liu, Qinglan&lt;/author&gt;&lt;author&gt;Wang, Ying&lt;/author&gt;&lt;author&gt;Almeida, Maria&lt;/author&gt;&lt;author&gt;O’brien, Charles A.&lt;/author&gt;&lt;author&gt;Thostenson, Jeff&lt;/author&gt;&lt;author&gt;Roberson, Paula K.&lt;/author&gt;&lt;author&gt;Boskey, Adele L.&lt;/author&gt;&lt;author&gt;Clemens, Thomas L.&lt;/author&gt;&lt;author&gt;Manolagas, Stavros C.&lt;/author&gt;&lt;/authors&gt;&lt;/contributors&gt;&lt;titles&gt;&lt;title&gt;Endogenous glucocorticoids decrease skeletal angiogenesis, vascularity, hydration, and strength in aged mice&lt;/title&gt;&lt;secondary-title&gt;Aging Cell&lt;/secondary-title&gt;&lt;/titles&gt;&lt;periodical&gt;&lt;full-title&gt;Aging Cell&lt;/full-title&gt;&lt;/periodical&gt;&lt;pages&gt;147-161&lt;/pages&gt;&lt;volume&gt;9&lt;/volume&gt;&lt;number&gt;2&lt;/number&gt;&lt;keywords&gt;&lt;keyword&gt;11β</w:instrText>
      </w:r>
      <w:r w:rsidR="00A108A1">
        <w:rPr>
          <w:rFonts w:ascii="American Typewriter" w:hAnsi="American Typewriter" w:cs="American Typewriter"/>
        </w:rPr>
        <w:instrText>‐</w:instrText>
      </w:r>
      <w:r w:rsidR="00A108A1">
        <w:rPr>
          <w:rFonts w:ascii="Arial" w:hAnsi="Arial"/>
        </w:rPr>
        <w:instrText>Hydroxysteroid Dehydrogenase&lt;/keyword&gt;&lt;keyword&gt;Aging&lt;/keyword&gt;&lt;keyword&gt;Angiogenesis&lt;/keyword&gt;&lt;keyword&gt;Apoptosis&lt;/keyword&gt;&lt;keyword&gt;Bone Histomorphometry&lt;/keyword&gt;&lt;keyword&gt;Glucocorticoids&lt;/keyword&gt;&lt;keyword&gt;Hydraulic Support&lt;/keyword&gt;&lt;keyword&gt;Osteoporosis&lt;/keyword&gt;&lt;/keywords&gt;&lt;dates&gt;&lt;year&gt;2010&lt;/year&gt;&lt;/dates&gt;&lt;pub-location&gt;Oxford, UK&lt;/pub-location&gt;&lt;isbn&gt;1474-9718&lt;/isbn&gt;&lt;urls&gt;&lt;/urls&gt;&lt;electronic-resource-num&gt;10.1111/j.1474-9726.2009.00545.x&lt;/electronic-resource-num&gt;&lt;/record&gt;&lt;/Cite&gt;&lt;/EndNote&gt;</w:instrText>
      </w:r>
      <w:r w:rsidR="005E62A7">
        <w:rPr>
          <w:rFonts w:ascii="Arial" w:hAnsi="Arial"/>
        </w:rPr>
        <w:fldChar w:fldCharType="separate"/>
      </w:r>
      <w:r w:rsidR="005E62A7">
        <w:rPr>
          <w:rFonts w:ascii="Arial" w:hAnsi="Arial"/>
          <w:noProof/>
        </w:rPr>
        <w:t>(Weinstein et al., 2010)</w:t>
      </w:r>
      <w:r w:rsidR="005E62A7">
        <w:rPr>
          <w:rFonts w:ascii="Arial" w:hAnsi="Arial"/>
        </w:rPr>
        <w:fldChar w:fldCharType="end"/>
      </w:r>
      <w:r>
        <w:rPr>
          <w:rFonts w:ascii="Arial" w:hAnsi="Arial"/>
        </w:rPr>
        <w:t xml:space="preserve"> and humans </w:t>
      </w:r>
      <w:r w:rsidR="00651FFE">
        <w:rPr>
          <w:rFonts w:ascii="Arial" w:hAnsi="Arial"/>
        </w:rPr>
        <w:fldChar w:fldCharType="begin"/>
      </w:r>
      <w:r w:rsidR="00A108A1">
        <w:rPr>
          <w:rFonts w:ascii="Arial" w:hAnsi="Arial"/>
        </w:rPr>
        <w:instrText xml:space="preserve"> ADDIN EN.CITE &lt;EndNote&gt;&lt;Cite&gt;&lt;Author&gt;Dunstan&lt;/Author&gt;&lt;Year&gt;1993&lt;/Year&gt;&lt;RecNum&gt;336&lt;/RecNum&gt;&lt;DisplayText&gt;(Dunstan et al., 1993)&lt;/DisplayText&gt;&lt;record&gt;&lt;rec-number&gt;336&lt;/rec-number&gt;&lt;foreign-keys&gt;&lt;key app="EN" db-id="ae9rewfrpdttrheppfxxv0p4950wpd25r09x" timestamp="1520658298"&gt;336&lt;/key&gt;&lt;/foreign-keys&gt;&lt;ref-type name="Journal Article"&gt;17&lt;/ref-type&gt;&lt;contributors&gt;&lt;authors&gt;&lt;author&gt;Dunstan, Colin&lt;/author&gt;&lt;author&gt;Somers, Nicole&lt;/author&gt;&lt;author&gt;Evans, Richard&lt;/author&gt;&lt;/authors&gt;&lt;/contributors&gt;&lt;titles&gt;&lt;title&gt;Osteocyte death and hip fracture&lt;/title&gt;&lt;secondary-title&gt;Calcified Tissue International&lt;/secondary-title&gt;&lt;/titles&gt;&lt;periodical&gt;&lt;full-title&gt;Calcified Tissue International&lt;/full-title&gt;&lt;/periodical&gt;&lt;pages&gt;S113-S117&lt;/pages&gt;&lt;volume&gt;53&lt;/volume&gt;&lt;number&gt;1&lt;/number&gt;&lt;keywords&gt;&lt;keyword&gt;Bone&lt;/keyword&gt;&lt;keyword&gt;Osteocyte&lt;/keyword&gt;&lt;keyword&gt;Femoral neck fractures&lt;/keyword&gt;&lt;/keywords&gt;&lt;dates&gt;&lt;year&gt;1993&lt;/year&gt;&lt;/dates&gt;&lt;pub-location&gt;New York&lt;/pub-location&gt;&lt;isbn&gt;0171-967X&lt;/isbn&gt;&lt;urls&gt;&lt;/urls&gt;&lt;electronic-resource-num&gt;10.1007/BF01673417&lt;/electronic-resource-num&gt;&lt;/record&gt;&lt;/Cite&gt;&lt;/EndNote&gt;</w:instrText>
      </w:r>
      <w:r w:rsidR="00651FFE">
        <w:rPr>
          <w:rFonts w:ascii="Arial" w:hAnsi="Arial"/>
        </w:rPr>
        <w:fldChar w:fldCharType="separate"/>
      </w:r>
      <w:r w:rsidR="00651FFE">
        <w:rPr>
          <w:rFonts w:ascii="Arial" w:hAnsi="Arial"/>
          <w:noProof/>
        </w:rPr>
        <w:t>(Dunstan et al., 1993)</w:t>
      </w:r>
      <w:r w:rsidR="00651FFE">
        <w:rPr>
          <w:rFonts w:ascii="Arial" w:hAnsi="Arial"/>
        </w:rPr>
        <w:fldChar w:fldCharType="end"/>
      </w:r>
      <w:r>
        <w:rPr>
          <w:rFonts w:ascii="Arial" w:hAnsi="Arial"/>
        </w:rPr>
        <w:t xml:space="preserve"> leading to a reduced ability to sense and transduce bone microdamage and subsequent bone formation </w:t>
      </w:r>
      <w:r w:rsidR="006270BD">
        <w:rPr>
          <w:rFonts w:ascii="Arial" w:hAnsi="Arial"/>
        </w:rPr>
        <w:fldChar w:fldCharType="begin"/>
      </w:r>
      <w:r w:rsidR="00A108A1">
        <w:rPr>
          <w:rFonts w:ascii="Arial" w:hAnsi="Arial"/>
        </w:rPr>
        <w:instrText xml:space="preserve"> ADDIN EN.CITE &lt;EndNote&gt;&lt;Cite&gt;&lt;Author&gt;Bonewald&lt;/Author&gt;&lt;Year&gt;2011&lt;/Year&gt;&lt;RecNum&gt;66&lt;/RecNum&gt;&lt;DisplayText&gt;(Bonewald, 2011)&lt;/DisplayText&gt;&lt;record&gt;&lt;rec-number&gt;66&lt;/rec-number&gt;&lt;foreign-keys&gt;&lt;key app="EN" db-id="ae9rewfrpdttrheppfxxv0p4950wpd25r09x" timestamp="1520657748"&gt;66&lt;/key&gt;&lt;key app="ENWeb" db-id=""&gt;0&lt;/key&gt;&lt;/foreign-keys&gt;&lt;ref-type name="Journal Article"&gt;17&lt;/ref-type&gt;&lt;contributors&gt;&lt;authors&gt;&lt;author&gt;Bonewald, Lynda F.&lt;/author&gt;&lt;/authors&gt;&lt;/contributors&gt;&lt;titles&gt;&lt;title&gt;The amazing osteocyte&lt;/title&gt;&lt;secondary-title&gt;Journal of Bone and Mineral Research&lt;/secondary-title&gt;&lt;/titles&gt;&lt;periodical&gt;&lt;full-title&gt;Journal of Bone and Mineral Research&lt;/full-title&gt;&lt;/periodical&gt;&lt;pages&gt;229-238&lt;/pages&gt;&lt;volume&gt;26&lt;/volume&gt;&lt;number&gt;2&lt;/number&gt;&lt;keywords&gt;&lt;keyword&gt;Osteocyte&lt;/keyword&gt;&lt;keyword&gt;Osteocytic Osteolysis&lt;/keyword&gt;&lt;keyword&gt;Osteocytic Resorption&lt;/keyword&gt;&lt;keyword&gt;Remodeling&lt;/keyword&gt;&lt;/keywords&gt;&lt;dates&gt;&lt;year&gt;2011&lt;/year&gt;&lt;/dates&gt;&lt;isbn&gt;08840431&lt;/isbn&gt;&lt;urls&gt;&lt;/urls&gt;&lt;electronic-resource-num&gt;10.1002/jbmr.320&lt;/electronic-resource-num&gt;&lt;/record&gt;&lt;/Cite&gt;&lt;/EndNote&gt;</w:instrText>
      </w:r>
      <w:r w:rsidR="006270BD">
        <w:rPr>
          <w:rFonts w:ascii="Arial" w:hAnsi="Arial"/>
        </w:rPr>
        <w:fldChar w:fldCharType="separate"/>
      </w:r>
      <w:r w:rsidR="006270BD">
        <w:rPr>
          <w:rFonts w:ascii="Arial" w:hAnsi="Arial"/>
          <w:noProof/>
        </w:rPr>
        <w:t>(Bonewald, 2011)</w:t>
      </w:r>
      <w:r w:rsidR="006270BD">
        <w:rPr>
          <w:rFonts w:ascii="Arial" w:hAnsi="Arial"/>
        </w:rPr>
        <w:fldChar w:fldCharType="end"/>
      </w:r>
      <w:r w:rsidR="006270BD">
        <w:rPr>
          <w:rFonts w:ascii="Arial" w:hAnsi="Arial"/>
        </w:rPr>
        <w:t>.</w:t>
      </w:r>
      <w:r>
        <w:rPr>
          <w:rFonts w:ascii="Arial" w:hAnsi="Arial"/>
        </w:rPr>
        <w:t xml:space="preserve"> Almost 50 years ago Harold Frost first noted that death of the osteocytes, inferred from the presence of empty lacunae in the rib cortical bone, increased with ageing and followed with changes referred as micropetrosis including hypermineralisation of perilacunar bone and filling of canaliculae with mineralized tissue, which increased bone fragility </w:t>
      </w:r>
      <w:r w:rsidR="008425C5">
        <w:rPr>
          <w:rFonts w:ascii="Arial" w:hAnsi="Arial"/>
        </w:rPr>
        <w:fldChar w:fldCharType="begin"/>
      </w:r>
      <w:r w:rsidR="00A108A1">
        <w:rPr>
          <w:rFonts w:ascii="Arial" w:hAnsi="Arial"/>
        </w:rPr>
        <w:instrText xml:space="preserve"> ADDIN EN.CITE &lt;EndNote&gt;&lt;Cite&gt;&lt;Author&gt;Frost&lt;/Author&gt;&lt;Year&gt;1960&lt;/Year&gt;&lt;RecNum&gt;338&lt;/RecNum&gt;&lt;DisplayText&gt;(Frost, 1960, Frost, 2000)&lt;/DisplayText&gt;&lt;record&gt;&lt;rec-number&gt;338&lt;/rec-number&gt;&lt;foreign-keys&gt;&lt;key app="EN" db-id="ae9rewfrpdttrheppfxxv0p4950wpd25r09x" timestamp="1520658298"&gt;338&lt;/key&gt;&lt;/foreign-keys&gt;&lt;ref-type name="Journal Article"&gt;17&lt;/ref-type&gt;&lt;contributors&gt;&lt;authors&gt;&lt;author&gt;Frost, H. M.&lt;/author&gt;&lt;/authors&gt;&lt;/contributors&gt;&lt;titles&gt;&lt;title&gt;Presence of microscopic cracks in vivo in bone.&lt;/title&gt;&lt;secondary-title&gt;Henry Ford Hospital Medical Bulletin&lt;/secondary-title&gt;&lt;/titles&gt;&lt;periodical&gt;&lt;full-title&gt;Henry Ford Hospital Medical Bulletin&lt;/full-title&gt;&lt;/periodical&gt;&lt;pages&gt;25-35&lt;/pages&gt;&lt;volume&gt;8&lt;/volume&gt;&lt;dates&gt;&lt;year&gt;1960&lt;/year&gt;&lt;/dates&gt;&lt;urls&gt;&lt;/urls&gt;&lt;/record&gt;&lt;/Cite&gt;&lt;Cite&gt;&lt;Author&gt;Frost&lt;/Author&gt;&lt;Year&gt;2000&lt;/Year&gt;&lt;RecNum&gt;337&lt;/RecNum&gt;&lt;record&gt;&lt;rec-number&gt;337&lt;/rec-number&gt;&lt;foreign-keys&gt;&lt;key app="EN" db-id="ae9rewfrpdttrheppfxxv0p4950wpd25r09x" timestamp="1520658298"&gt;337&lt;/key&gt;&lt;/foreign-keys&gt;&lt;ref-type name="Journal Article"&gt;17&lt;/ref-type&gt;&lt;contributors&gt;&lt;authors&gt;&lt;author&gt;Frost, Harold M.&lt;/author&gt;&lt;/authors&gt;&lt;/contributors&gt;&lt;titles&gt;&lt;title&gt;The Utah paradigm of skeletal physiology: an overview of its insights for bone, cartilage and collagenous tissue organs&lt;/title&gt;&lt;secondary-title&gt;Journal of Bone and Mineral Metabolism&lt;/secondary-title&gt;&lt;/titles&gt;&lt;periodical&gt;&lt;full-title&gt;Journal of Bone and Mineral Metabolism&lt;/full-title&gt;&lt;/periodical&gt;&lt;pages&gt;305-316&lt;/pages&gt;&lt;volume&gt;18&lt;/volume&gt;&lt;number&gt;6&lt;/number&gt;&lt;keywords&gt;&lt;keyword&gt;Key words Utah paradigm&lt;/keyword&gt;&lt;keyword&gt;Bone&lt;/keyword&gt;&lt;keyword&gt;Joint&lt;/keyword&gt;&lt;keyword&gt;Ligament&lt;/keyword&gt;&lt;keyword&gt;Biomechanics&lt;/keyword&gt;&lt;keyword&gt;Osteoporosis&lt;/keyword&gt;&lt;/keywords&gt;&lt;dates&gt;&lt;year&gt;2000&lt;/year&gt;&lt;/dates&gt;&lt;pub-location&gt;Tokyo&lt;/pub-location&gt;&lt;isbn&gt;0914-8779&lt;/isbn&gt;&lt;urls&gt;&lt;/urls&gt;&lt;electronic-resource-num&gt;10.1007/s007740070001&lt;/electronic-resource-num&gt;&lt;/record&gt;&lt;/Cite&gt;&lt;/EndNote&gt;</w:instrText>
      </w:r>
      <w:r w:rsidR="008425C5">
        <w:rPr>
          <w:rFonts w:ascii="Arial" w:hAnsi="Arial"/>
        </w:rPr>
        <w:fldChar w:fldCharType="separate"/>
      </w:r>
      <w:r w:rsidR="008425C5">
        <w:rPr>
          <w:rFonts w:ascii="Arial" w:hAnsi="Arial"/>
          <w:noProof/>
        </w:rPr>
        <w:t>(Frost, 1960, Frost, 2000)</w:t>
      </w:r>
      <w:r w:rsidR="008425C5">
        <w:rPr>
          <w:rFonts w:ascii="Arial" w:hAnsi="Arial"/>
        </w:rPr>
        <w:fldChar w:fldCharType="end"/>
      </w:r>
      <w:r w:rsidR="008425C5">
        <w:rPr>
          <w:rFonts w:ascii="Arial" w:hAnsi="Arial"/>
        </w:rPr>
        <w:t xml:space="preserve">. </w:t>
      </w:r>
      <w:r w:rsidR="0028603D">
        <w:rPr>
          <w:rFonts w:ascii="Arial" w:hAnsi="Arial"/>
        </w:rPr>
        <w:t>Most of the o</w:t>
      </w:r>
      <w:r>
        <w:rPr>
          <w:rFonts w:ascii="Arial" w:hAnsi="Arial"/>
        </w:rPr>
        <w:t xml:space="preserve">steocyte apoptosis </w:t>
      </w:r>
      <w:r w:rsidR="00FB511F">
        <w:rPr>
          <w:rFonts w:ascii="Arial" w:hAnsi="Arial"/>
        </w:rPr>
        <w:t xml:space="preserve">may </w:t>
      </w:r>
      <w:r>
        <w:rPr>
          <w:rFonts w:ascii="Arial" w:hAnsi="Arial"/>
        </w:rPr>
        <w:t>increase in response to a ra</w:t>
      </w:r>
      <w:r w:rsidR="000543EC">
        <w:rPr>
          <w:rFonts w:ascii="Arial" w:hAnsi="Arial"/>
        </w:rPr>
        <w:t>n</w:t>
      </w:r>
      <w:r>
        <w:rPr>
          <w:rFonts w:ascii="Arial" w:hAnsi="Arial"/>
        </w:rPr>
        <w:t xml:space="preserve">ge of stimuli including systemic changes in hormone concentrations, oestrogen deficiency </w:t>
      </w:r>
      <w:r w:rsidR="0057158B">
        <w:rPr>
          <w:rFonts w:ascii="Arial" w:hAnsi="Arial"/>
        </w:rPr>
        <w:fldChar w:fldCharType="begin"/>
      </w:r>
      <w:r w:rsidR="00A108A1">
        <w:rPr>
          <w:rFonts w:ascii="Arial" w:hAnsi="Arial"/>
        </w:rPr>
        <w:instrText xml:space="preserve"> ADDIN EN.CITE &lt;EndNote&gt;&lt;Cite&gt;&lt;Author&gt;Emerton&lt;/Author&gt;&lt;Year&gt;2010&lt;/Year&gt;&lt;RecNum&gt;339&lt;/RecNum&gt;&lt;DisplayText&gt;(Emerton et al., 2010)&lt;/DisplayText&gt;&lt;record&gt;&lt;rec-number&gt;339&lt;/rec-number&gt;&lt;foreign-keys&gt;&lt;key app="EN" db-id="ae9rewfrpdttrheppfxxv0p4950wpd25r09x" timestamp="1520658298"&gt;339&lt;/key&gt;&lt;/foreign-keys&gt;&lt;ref-type name="Journal Article"&gt;17&lt;/ref-type&gt;&lt;contributors&gt;&lt;authors&gt;&lt;author&gt;Emerton, K. B.&lt;/author&gt;&lt;author&gt;Hu, B.&lt;/author&gt;&lt;author&gt;Woo, A. A.&lt;/author&gt;&lt;author&gt;Sinofsky, A.&lt;/author&gt;&lt;author&gt;Hernandez, C.&lt;/author&gt;&lt;author&gt;Majeska, R. J.&lt;/author&gt;&lt;author&gt;Jepsen, K. J.&lt;/author&gt;&lt;author&gt;Schaffler, M. B.&lt;/author&gt;&lt;/authors&gt;&lt;/contributors&gt;&lt;titles&gt;&lt;title&gt;Osteocyte apoptosis and control of bone resorption following ovariectomy in mice&lt;/title&gt;&lt;secondary-title&gt;Bone&lt;/secondary-title&gt;&lt;/titles&gt;&lt;periodical&gt;&lt;full-title&gt;Bone&lt;/full-title&gt;&lt;/periodical&gt;&lt;pages&gt;577-583&lt;/pages&gt;&lt;volume&gt;46&lt;/volume&gt;&lt;number&gt;3&lt;/number&gt;&lt;keywords&gt;&lt;keyword&gt;Osteocytes&lt;/keyword&gt;&lt;keyword&gt;Apoptosis&lt;/keyword&gt;&lt;keyword&gt;Estrogen Loss&lt;/keyword&gt;&lt;keyword&gt;Bone Resorption&lt;/keyword&gt;&lt;keyword&gt;Caspase Inhibitor&lt;/keyword&gt;&lt;/keywords&gt;&lt;dates&gt;&lt;year&gt;2010&lt;/year&gt;&lt;/dates&gt;&lt;isbn&gt;8756-3282&lt;/isbn&gt;&lt;urls&gt;&lt;/urls&gt;&lt;electronic-resource-num&gt;10.1016/j.bone.2009.11.006&lt;/electronic-resource-num&gt;&lt;/record&gt;&lt;/Cite&gt;&lt;/EndNote&gt;</w:instrText>
      </w:r>
      <w:r w:rsidR="0057158B">
        <w:rPr>
          <w:rFonts w:ascii="Arial" w:hAnsi="Arial"/>
        </w:rPr>
        <w:fldChar w:fldCharType="separate"/>
      </w:r>
      <w:r w:rsidR="0057158B">
        <w:rPr>
          <w:rFonts w:ascii="Arial" w:hAnsi="Arial"/>
          <w:noProof/>
        </w:rPr>
        <w:t>(Emerton et al., 2010)</w:t>
      </w:r>
      <w:r w:rsidR="0057158B">
        <w:rPr>
          <w:rFonts w:ascii="Arial" w:hAnsi="Arial"/>
        </w:rPr>
        <w:fldChar w:fldCharType="end"/>
      </w:r>
      <w:r w:rsidR="0057158B">
        <w:rPr>
          <w:rFonts w:ascii="Arial" w:hAnsi="Arial"/>
        </w:rPr>
        <w:t>,</w:t>
      </w:r>
      <w:r>
        <w:rPr>
          <w:rFonts w:ascii="Arial" w:hAnsi="Arial"/>
        </w:rPr>
        <w:t xml:space="preserve"> inflammatory factors </w:t>
      </w:r>
      <w:r w:rsidR="00DF4D37">
        <w:rPr>
          <w:rFonts w:ascii="Arial" w:hAnsi="Arial"/>
        </w:rPr>
        <w:fldChar w:fldCharType="begin"/>
      </w:r>
      <w:r w:rsidR="00DF4D37">
        <w:rPr>
          <w:rFonts w:ascii="Arial" w:hAnsi="Arial"/>
        </w:rPr>
        <w:fldChar w:fldCharType="separate"/>
      </w:r>
      <w:r w:rsidR="00DF4D37">
        <w:rPr>
          <w:rFonts w:ascii="Arial" w:hAnsi="Arial"/>
        </w:rPr>
        <w:t>{Xia, 2010 #397}</w:t>
      </w:r>
      <w:r w:rsidR="00DF4D37">
        <w:rPr>
          <w:rFonts w:ascii="Arial" w:hAnsi="Arial"/>
        </w:rPr>
        <w:fldChar w:fldCharType="end"/>
      </w:r>
      <w:r w:rsidR="00DF4D37">
        <w:rPr>
          <w:rFonts w:ascii="Arial" w:hAnsi="Arial"/>
        </w:rPr>
        <w:fldChar w:fldCharType="begin"/>
      </w:r>
      <w:r w:rsidR="00A108A1">
        <w:rPr>
          <w:rFonts w:ascii="Arial" w:hAnsi="Arial"/>
        </w:rPr>
        <w:instrText xml:space="preserve"> ADDIN EN.CITE &lt;EndNote&gt;&lt;Cite&gt;&lt;Author&gt;Bonewald&lt;/Author&gt;&lt;Year&gt;2011&lt;/Year&gt;&lt;RecNum&gt;66&lt;/RecNum&gt;&lt;DisplayText&gt;(Bonewald, 2011)&lt;/DisplayText&gt;&lt;record&gt;&lt;rec-number&gt;66&lt;/rec-number&gt;&lt;foreign-keys&gt;&lt;key app="EN" db-id="ae9rewfrpdttrheppfxxv0p4950wpd25r09x" timestamp="1520657748"&gt;66&lt;/key&gt;&lt;key app="ENWeb" db-id=""&gt;0&lt;/key&gt;&lt;/foreign-keys&gt;&lt;ref-type name="Journal Article"&gt;17&lt;/ref-type&gt;&lt;contributors&gt;&lt;authors&gt;&lt;author&gt;Bonewald, Lynda F.&lt;/author&gt;&lt;/authors&gt;&lt;/contributors&gt;&lt;titles&gt;&lt;title&gt;The amazing osteocyte&lt;/title&gt;&lt;secondary-title&gt;Journal of Bone and Mineral Research&lt;/secondary-title&gt;&lt;/titles&gt;&lt;periodical&gt;&lt;full-title&gt;Journal of Bone and Mineral Research&lt;/full-title&gt;&lt;/periodical&gt;&lt;pages&gt;229-238&lt;/pages&gt;&lt;volume&gt;26&lt;/volume&gt;&lt;number&gt;2&lt;/number&gt;&lt;keywords&gt;&lt;keyword&gt;Osteocyte&lt;/keyword&gt;&lt;keyword&gt;Osteocytic Osteolysis&lt;/keyword&gt;&lt;keyword&gt;Osteocytic Resorption&lt;/keyword&gt;&lt;keyword&gt;Remodeling&lt;/keyword&gt;&lt;/keywords&gt;&lt;dates&gt;&lt;year&gt;2011&lt;/year&gt;&lt;/dates&gt;&lt;isbn&gt;08840431&lt;/isbn&gt;&lt;urls&gt;&lt;/urls&gt;&lt;electronic-resource-num&gt;10.1002/jbmr.320&lt;/electronic-resource-num&gt;&lt;/record&gt;&lt;/Cite&gt;&lt;/EndNote&gt;</w:instrText>
      </w:r>
      <w:r w:rsidR="00DF4D37">
        <w:rPr>
          <w:rFonts w:ascii="Arial" w:hAnsi="Arial"/>
        </w:rPr>
        <w:fldChar w:fldCharType="separate"/>
      </w:r>
      <w:r w:rsidR="00DF4D37">
        <w:rPr>
          <w:rFonts w:ascii="Arial" w:hAnsi="Arial"/>
          <w:noProof/>
        </w:rPr>
        <w:t>(Bonewald, 2011)</w:t>
      </w:r>
      <w:r w:rsidR="00DF4D37">
        <w:rPr>
          <w:rFonts w:ascii="Arial" w:hAnsi="Arial"/>
        </w:rPr>
        <w:fldChar w:fldCharType="end"/>
      </w:r>
      <w:r>
        <w:rPr>
          <w:rFonts w:ascii="Arial" w:hAnsi="Arial"/>
        </w:rPr>
        <w:t>, high dose glucocorticoids and chemotherapeutic agents</w:t>
      </w:r>
      <w:r w:rsidR="00330741">
        <w:rPr>
          <w:rFonts w:ascii="Arial" w:hAnsi="Arial"/>
        </w:rPr>
        <w:t xml:space="preserve"> </w:t>
      </w:r>
      <w:r w:rsidR="00330741">
        <w:rPr>
          <w:rFonts w:ascii="Arial" w:hAnsi="Arial"/>
        </w:rPr>
        <w:fldChar w:fldCharType="begin"/>
      </w:r>
      <w:r w:rsidR="00A108A1">
        <w:rPr>
          <w:rFonts w:ascii="Arial" w:hAnsi="Arial"/>
        </w:rPr>
        <w:instrText xml:space="preserve"> ADDIN EN.CITE &lt;EndNote&gt;&lt;Cite&gt;&lt;Author&gt;Weinstein&lt;/Author&gt;&lt;Year&gt;2000&lt;/Year&gt;&lt;RecNum&gt;341&lt;/RecNum&gt;&lt;DisplayText&gt;(Weinstein et al., 2000)&lt;/DisplayText&gt;&lt;record&gt;&lt;rec-number&gt;341&lt;/rec-number&gt;&lt;foreign-keys&gt;&lt;key app="EN" db-id="ae9rewfrpdttrheppfxxv0p4950wpd25r09x" timestamp="1520658298"&gt;341&lt;/key&gt;&lt;/foreign-keys&gt;&lt;ref-type name="Journal Article"&gt;17&lt;/ref-type&gt;&lt;contributors&gt;&lt;authors&gt;&lt;author&gt;Weinstein, Robert S.&lt;/author&gt;&lt;author&gt;Manolagas, Stavros C.&lt;/author&gt;&lt;author&gt;Nicholas, Richard W.&lt;/author&gt;&lt;/authors&gt;&lt;/contributors&gt;&lt;titles&gt;&lt;title&gt;Apoptosis of osteocytes in glucocorticoid- induced osteonecrosis of the hip&lt;/title&gt;&lt;secondary-title&gt;Journal of Clinical Endocrinology and Metabolism&lt;/secondary-title&gt;&lt;/titles&gt;&lt;periodical&gt;&lt;full-title&gt;Journal of Clinical Endocrinology and Metabolism&lt;/full-title&gt;&lt;/periodical&gt;&lt;pages&gt;2907-2912&lt;/pages&gt;&lt;volume&gt;85&lt;/volume&gt;&lt;number&gt;8&lt;/number&gt;&lt;dates&gt;&lt;year&gt;2000&lt;/year&gt;&lt;/dates&gt;&lt;isbn&gt;0021972X&lt;/isbn&gt;&lt;urls&gt;&lt;/urls&gt;&lt;electronic-resource-num&gt;10.1210/jc.85.8.2907&lt;/electronic-resource-num&gt;&lt;/record&gt;&lt;/Cite&gt;&lt;/EndNote&gt;</w:instrText>
      </w:r>
      <w:r w:rsidR="00330741">
        <w:rPr>
          <w:rFonts w:ascii="Arial" w:hAnsi="Arial"/>
        </w:rPr>
        <w:fldChar w:fldCharType="separate"/>
      </w:r>
      <w:r w:rsidR="00330741">
        <w:rPr>
          <w:rFonts w:ascii="Arial" w:hAnsi="Arial"/>
          <w:noProof/>
        </w:rPr>
        <w:t>(Weinstein et al., 2000)</w:t>
      </w:r>
      <w:r w:rsidR="00330741">
        <w:rPr>
          <w:rFonts w:ascii="Arial" w:hAnsi="Arial"/>
        </w:rPr>
        <w:fldChar w:fldCharType="end"/>
      </w:r>
      <w:r w:rsidR="00330741">
        <w:rPr>
          <w:rFonts w:ascii="Arial" w:hAnsi="Arial"/>
        </w:rPr>
        <w:t xml:space="preserve">, </w:t>
      </w:r>
      <w:r>
        <w:rPr>
          <w:rFonts w:ascii="Arial" w:hAnsi="Arial"/>
        </w:rPr>
        <w:t xml:space="preserve">oxidative stress </w:t>
      </w:r>
      <w:r w:rsidR="00330741">
        <w:rPr>
          <w:rFonts w:ascii="Arial" w:hAnsi="Arial"/>
        </w:rPr>
        <w:fldChar w:fldCharType="begin"/>
      </w:r>
      <w:r w:rsidR="00B97465">
        <w:rPr>
          <w:rFonts w:ascii="Arial" w:hAnsi="Arial"/>
        </w:rPr>
        <w:instrText xml:space="preserve"> ADDIN EN.CITE &lt;EndNote&gt;&lt;Cite&gt;&lt;Author&gt;Almeida&lt;/Author&gt;&lt;Year&gt;2007&lt;/Year&gt;&lt;RecNum&gt;342&lt;/RecNum&gt;&lt;DisplayText&gt;(Almeida et al., 2007a)&lt;/DisplayText&gt;&lt;record&gt;&lt;rec-number&gt;342&lt;/rec-number&gt;&lt;foreign-keys&gt;&lt;key app="EN" db-id="ae9rewfrpdttrheppfxxv0p4950wpd25r09x" timestamp="1520658298"&gt;342&lt;/key&gt;&lt;/foreign-keys&gt;&lt;ref-type name="Journal Article"&gt;17&lt;/ref-type&gt;&lt;contributors&gt;&lt;authors&gt;&lt;author&gt;Almeida, Maria&lt;/author&gt;&lt;author&gt;Han, Li&lt;/author&gt;&lt;author&gt;Martin-Millan, Marta&lt;/author&gt;&lt;author&gt;Brien, Charles A.&lt;/author&gt;&lt;author&gt;Manolagas, Stavros C.&lt;/author&gt;&lt;/authors&gt;&lt;/contributors&gt;&lt;titles&gt;&lt;title&gt;Oxidative stress antagonizes Wnt signaling in osteoblast precursors by diverting beta- catenin from T cell factor- to forkhead box O- mediated transcription&lt;/title&gt;&lt;secondary-title&gt;Journal of Biological Chemistry&lt;/secondary-title&gt;&lt;/titles&gt;&lt;periodical&gt;&lt;full-title&gt;Journal of Biological Chemistry&lt;/full-title&gt;&lt;/periodical&gt;&lt;pages&gt;27298-27305&lt;/pages&gt;&lt;volume&gt;282&lt;/volume&gt;&lt;number&gt;37&lt;/number&gt;&lt;keywords&gt;&lt;keyword&gt;Oxidative Stress&lt;/keyword&gt;&lt;keyword&gt;Transcription, Genetic&lt;/keyword&gt;&lt;keyword&gt;Forkhead Transcription Factors -- Physiology&lt;/keyword&gt;&lt;keyword&gt;Osteoblasts -- Metabolism&lt;/keyword&gt;&lt;keyword&gt;Signal Transduction -- Physiology&lt;/keyword&gt;&lt;keyword&gt;Stem Cells -- Metabolism&lt;/keyword&gt;&lt;keyword&gt;Tcf Transcription Factors -- Physiology&lt;/keyword&gt;&lt;keyword&gt;Wnt Proteins -- Physiology&lt;/keyword&gt;&lt;keyword&gt;Beta Catenin -- Physiology&lt;/keyword&gt;&lt;/keywords&gt;&lt;dates&gt;&lt;year&gt;2007&lt;/year&gt;&lt;/dates&gt;&lt;isbn&gt;0021-9258&lt;/isbn&gt;&lt;urls&gt;&lt;/urls&gt;&lt;electronic-resource-num&gt;10.1074/jbc.M702811200&lt;/electronic-resource-num&gt;&lt;/record&gt;&lt;/Cite&gt;&lt;/EndNote&gt;</w:instrText>
      </w:r>
      <w:r w:rsidR="00330741">
        <w:rPr>
          <w:rFonts w:ascii="Arial" w:hAnsi="Arial"/>
        </w:rPr>
        <w:fldChar w:fldCharType="separate"/>
      </w:r>
      <w:r w:rsidR="00A12B05">
        <w:rPr>
          <w:rFonts w:ascii="Arial" w:hAnsi="Arial"/>
          <w:noProof/>
        </w:rPr>
        <w:t>(Almeida et al., 2007a)</w:t>
      </w:r>
      <w:r w:rsidR="00330741">
        <w:rPr>
          <w:rFonts w:ascii="Arial" w:hAnsi="Arial"/>
        </w:rPr>
        <w:fldChar w:fldCharType="end"/>
      </w:r>
      <w:r w:rsidR="00330741">
        <w:rPr>
          <w:rFonts w:ascii="Arial" w:hAnsi="Arial"/>
        </w:rPr>
        <w:t>,</w:t>
      </w:r>
      <w:r>
        <w:rPr>
          <w:rFonts w:ascii="Arial" w:hAnsi="Arial"/>
        </w:rPr>
        <w:t xml:space="preserve"> reduced physical activity and mechanical unloading </w:t>
      </w:r>
      <w:r w:rsidR="00844F85">
        <w:rPr>
          <w:rFonts w:ascii="Arial" w:hAnsi="Arial"/>
        </w:rPr>
        <w:fldChar w:fldCharType="begin"/>
      </w:r>
      <w:r w:rsidR="00A108A1">
        <w:rPr>
          <w:rFonts w:ascii="Arial" w:hAnsi="Arial"/>
        </w:rPr>
        <w:instrText xml:space="preserve"> ADDIN EN.CITE &lt;EndNote&gt;&lt;Cite&gt;&lt;Author&gt;Noble&lt;/Author&gt;&lt;Year&gt;2003&lt;/Year&gt;&lt;RecNum&gt;344&lt;/RecNum&gt;&lt;DisplayText&gt;(Noble et al., 2003)&lt;/DisplayText&gt;&lt;record&gt;&lt;rec-number&gt;344&lt;/rec-number&gt;&lt;foreign-keys&gt;&lt;key app="EN" db-id="ae9rewfrpdttrheppfxxv0p4950wpd25r09x" timestamp="1520658298"&gt;344&lt;/key&gt;&lt;/foreign-keys&gt;&lt;ref-type name="Journal Article"&gt;17&lt;/ref-type&gt;&lt;contributors&gt;&lt;authors&gt;&lt;author&gt;Noble, Brendon S.&lt;/author&gt;&lt;author&gt;Stevens, Hazel Y.&lt;/author&gt;&lt;author&gt;Mosley, John R.&lt;/author&gt;&lt;author&gt;Lanyon, Lance E.&lt;/author&gt;&lt;author&gt;Reeve, Jonathan&lt;/author&gt;&lt;author&gt;Peet, Nicky&lt;/author&gt;&lt;author&gt;Brabbs, Alex&lt;/author&gt;&lt;author&gt;Reilly, Gwendolen C.&lt;/author&gt;&lt;author&gt;Skerry, Timothy M.&lt;/author&gt;&lt;/authors&gt;&lt;/contributors&gt;&lt;titles&gt;&lt;title&gt;Mechanical loading: Biphasic osteocyte survival and targeting of osteoclasts for bone destruction in rat cortical bone&lt;/title&gt;&lt;secondary-title&gt;American Journal of Physiology - Cell Physiology&lt;/secondary-title&gt;&lt;/titles&gt;&lt;periodical&gt;&lt;full-title&gt;American Journal of Physiology - Cell Physiology&lt;/full-title&gt;&lt;/periodical&gt;&lt;pages&gt;C934-C943&lt;/pages&gt;&lt;volume&gt;284&lt;/volume&gt;&lt;number&gt;4&lt;/number&gt;&lt;keywords&gt;&lt;keyword&gt;Cell Death&lt;/keyword&gt;&lt;keyword&gt;In Vivo&lt;/keyword&gt;&lt;keyword&gt;Osteocytes&lt;/keyword&gt;&lt;keyword&gt;Rat Ulnae&lt;/keyword&gt;&lt;/keywords&gt;&lt;dates&gt;&lt;year&gt;2003&lt;/year&gt;&lt;/dates&gt;&lt;isbn&gt;03636143&lt;/isbn&gt;&lt;urls&gt;&lt;/urls&gt;&lt;electronic-resource-num&gt;10.1152/ajpcell.00234.2002&lt;/electronic-resource-num&gt;&lt;/record&gt;&lt;/Cite&gt;&lt;/EndNote&gt;</w:instrText>
      </w:r>
      <w:r w:rsidR="00844F85">
        <w:rPr>
          <w:rFonts w:ascii="Arial" w:hAnsi="Arial"/>
        </w:rPr>
        <w:fldChar w:fldCharType="separate"/>
      </w:r>
      <w:r w:rsidR="00844F85">
        <w:rPr>
          <w:rFonts w:ascii="Arial" w:hAnsi="Arial"/>
          <w:noProof/>
        </w:rPr>
        <w:t>(Noble et al., 2003)</w:t>
      </w:r>
      <w:r w:rsidR="00844F85">
        <w:rPr>
          <w:rFonts w:ascii="Arial" w:hAnsi="Arial"/>
        </w:rPr>
        <w:fldChar w:fldCharType="end"/>
      </w:r>
      <w:r w:rsidR="00844F85">
        <w:rPr>
          <w:rFonts w:ascii="Arial" w:hAnsi="Arial"/>
        </w:rPr>
        <w:t>.</w:t>
      </w:r>
    </w:p>
    <w:p w14:paraId="396C21E8" w14:textId="77777777" w:rsidR="007B76C3" w:rsidRDefault="007B76C3" w:rsidP="007B76C3">
      <w:pPr>
        <w:spacing w:line="480" w:lineRule="auto"/>
        <w:jc w:val="both"/>
        <w:rPr>
          <w:rFonts w:ascii="Arial" w:hAnsi="Arial"/>
        </w:rPr>
      </w:pPr>
    </w:p>
    <w:p w14:paraId="045D83E5" w14:textId="77777777" w:rsidR="007B76C3" w:rsidRDefault="007B76C3" w:rsidP="007B76C3">
      <w:pPr>
        <w:spacing w:line="480" w:lineRule="auto"/>
        <w:jc w:val="both"/>
        <w:rPr>
          <w:rFonts w:ascii="Arial" w:hAnsi="Arial"/>
        </w:rPr>
      </w:pPr>
      <w:r>
        <w:rPr>
          <w:rFonts w:ascii="Arial" w:hAnsi="Arial"/>
        </w:rPr>
        <w:t>Age-related osteoblast dysfunction is one of the main reasons of bone loss both in men and women and is due to systemic changes of hormone concentrations and intrinsic mechanisms caused by cellular senescence, as previously reviewed</w:t>
      </w:r>
      <w:r w:rsidR="00764CC0">
        <w:rPr>
          <w:rFonts w:ascii="Arial" w:hAnsi="Arial"/>
        </w:rPr>
        <w:t xml:space="preserve"> </w:t>
      </w:r>
      <w:r w:rsidR="00764CC0">
        <w:rPr>
          <w:rFonts w:ascii="Arial" w:hAnsi="Arial"/>
        </w:rPr>
        <w:fldChar w:fldCharType="begin"/>
      </w:r>
      <w:r w:rsidR="00A108A1">
        <w:rPr>
          <w:rFonts w:ascii="Arial" w:hAnsi="Arial"/>
        </w:rPr>
        <w:instrText xml:space="preserve"> ADDIN EN.CITE &lt;EndNote&gt;&lt;Cite&gt;&lt;Author&gt;Kassem&lt;/Author&gt;&lt;Year&gt;2011&lt;/Year&gt;&lt;RecNum&gt;345&lt;/RecNum&gt;&lt;DisplayText&gt;(Kassem and Marie, 2011)&lt;/DisplayText&gt;&lt;record&gt;&lt;rec-number&gt;345&lt;/rec-number&gt;&lt;foreign-keys&gt;&lt;key app="EN" db-id="ae9rewfrpdttrheppfxxv0p4950wpd25r09x" timestamp="1520658299"&gt;345&lt;/key&gt;&lt;/foreign-keys&gt;&lt;ref-type name="Generic"&gt;13&lt;/ref-type&gt;&lt;contributors&gt;&lt;authors&gt;&lt;author&gt;Kassem, M.&lt;/author&gt;&lt;author&gt;Marie, Pj&lt;/author&gt;&lt;/authors&gt;&lt;/contributors&gt;&lt;titles&gt;&lt;title&gt;Senescence- associated intrinsic mechanisms of osteoblast dysfunctions&lt;/title&gt;&lt;secondary-title&gt;Aging Cell&lt;/secondary-title&gt;&lt;/titles&gt;&lt;periodical&gt;&lt;full-title&gt;Aging Cell&lt;/full-title&gt;&lt;/periodical&gt;&lt;pages&gt;191-197&lt;/pages&gt;&lt;volume&gt;10&lt;/volume&gt;&lt;keywords&gt;&lt;keyword&gt;Adipocytes–Cytology&lt;/keyword&gt;&lt;keyword&gt;Adipocytes–Physiology&lt;/keyword&gt;&lt;keyword&gt;Aging–Physiology&lt;/keyword&gt;&lt;keyword&gt;Bone &amp;amp;amp&lt;/keyword&gt;&lt;keyword&gt;Bones–Cytology&lt;/keyword&gt;&lt;keyword&gt;Bone &amp;amp;amp&lt;/keyword&gt;&lt;keyword&gt;Bones–Physiology&lt;/keyword&gt;&lt;keyword&gt;Bone &amp;amp;amp&lt;/keyword&gt;&lt;keyword&gt;Bones–Physiopathology&lt;/keyword&gt;&lt;keyword&gt;Cell Aging–Physiology&lt;/keyword&gt;&lt;keyword&gt;Cell Differentiation–Metabolism&lt;/keyword&gt;&lt;keyword&gt;Cell Proliferation–Cytology&lt;/keyword&gt;&lt;keyword&gt;DNA Damage–Physiology&lt;/keyword&gt;&lt;keyword&gt;DNA Repair–Physiopathology&lt;/keyword&gt;&lt;keyword&gt;Humans–Pathology&lt;/keyword&gt;&lt;keyword&gt;Intercellular Signaling Peptides &amp;amp;amp&lt;/keyword&gt;&lt;keyword&gt;Proteins–Physiology&lt;/keyword&gt;&lt;keyword&gt;Osteoblasts–Deficiency&lt;/keyword&gt;&lt;keyword&gt;Osteoblasts–Deficiency&lt;/keyword&gt;&lt;keyword&gt;Osteoporosis–Deficiency&lt;/keyword&gt;&lt;keyword&gt;Stem Cells–Deficiency&lt;/keyword&gt;&lt;keyword&gt;Stem Cells–Deficiency&lt;/keyword&gt;&lt;keyword&gt;Telomerase–Deficiency&lt;/keyword&gt;&lt;keyword&gt;Osteoporosis&lt;/keyword&gt;&lt;keyword&gt;Senescence&lt;/keyword&gt;&lt;keyword&gt;Medical Research&lt;/keyword&gt;&lt;keyword&gt;Intercellular Signaling Peptides and Proteins&lt;/keyword&gt;&lt;keyword&gt;Telomerase&lt;/keyword&gt;&lt;/keywords&gt;&lt;dates&gt;&lt;year&gt;2011&lt;/year&gt;&lt;/dates&gt;&lt;isbn&gt;1474-9718&lt;/isbn&gt;&lt;urls&gt;&lt;/urls&gt;&lt;electronic-resource-num&gt;10.1111/j.1474-9726.2011.00669.x&lt;/electronic-resource-num&gt;&lt;/record&gt;&lt;/Cite&gt;&lt;/EndNote&gt;</w:instrText>
      </w:r>
      <w:r w:rsidR="00764CC0">
        <w:rPr>
          <w:rFonts w:ascii="Arial" w:hAnsi="Arial"/>
        </w:rPr>
        <w:fldChar w:fldCharType="separate"/>
      </w:r>
      <w:r w:rsidR="00764CC0">
        <w:rPr>
          <w:rFonts w:ascii="Arial" w:hAnsi="Arial"/>
          <w:noProof/>
        </w:rPr>
        <w:t>(Kassem and Marie, 2011)</w:t>
      </w:r>
      <w:r w:rsidR="00764CC0">
        <w:rPr>
          <w:rFonts w:ascii="Arial" w:hAnsi="Arial"/>
        </w:rPr>
        <w:fldChar w:fldCharType="end"/>
      </w:r>
      <w:r w:rsidR="00764CC0">
        <w:rPr>
          <w:rFonts w:ascii="Arial" w:hAnsi="Arial"/>
        </w:rPr>
        <w:t xml:space="preserve">. </w:t>
      </w:r>
      <w:r>
        <w:rPr>
          <w:rFonts w:ascii="Arial" w:hAnsi="Arial"/>
        </w:rPr>
        <w:t xml:space="preserve">With ageing, the number of bone marrow colony forming units (CFUs) decreases in rodents </w:t>
      </w:r>
      <w:r w:rsidR="00D02C60">
        <w:rPr>
          <w:rFonts w:ascii="Arial" w:hAnsi="Arial"/>
        </w:rPr>
        <w:fldChar w:fldCharType="begin">
          <w:fldData xml:space="preserve">PEVuZE5vdGU+PENpdGU+PEF1dGhvcj5RdWFydG88L0F1dGhvcj48WWVhcj4xOTk1PC9ZZWFyPjxS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=
</w:fldData>
        </w:fldChar>
      </w:r>
      <w:r w:rsidR="0000415D">
        <w:rPr>
          <w:rFonts w:ascii="Arial" w:hAnsi="Arial"/>
        </w:rPr>
        <w:instrText xml:space="preserve"> ADDIN EN.CITE </w:instrText>
      </w:r>
      <w:r w:rsidR="0000415D">
        <w:rPr>
          <w:rFonts w:ascii="Arial" w:hAnsi="Arial"/>
        </w:rPr>
        <w:fldChar w:fldCharType="begin">
          <w:fldData xml:space="preserve">PEVuZE5vdGU+PENpdGU+PEF1dGhvcj5RdWFydG88L0F1dGhvcj48WWVhcj4xOTk1PC9ZZWFyPjxS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=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00D02C60">
        <w:rPr>
          <w:rFonts w:ascii="Arial" w:hAnsi="Arial"/>
        </w:rPr>
      </w:r>
      <w:r w:rsidR="00D02C60">
        <w:rPr>
          <w:rFonts w:ascii="Arial" w:hAnsi="Arial"/>
        </w:rPr>
        <w:fldChar w:fldCharType="separate"/>
      </w:r>
      <w:r w:rsidR="00517418">
        <w:rPr>
          <w:rFonts w:ascii="Arial" w:hAnsi="Arial"/>
          <w:noProof/>
        </w:rPr>
        <w:t>(Quarto et al., 1995, Stolzing and Scutt, 2006)</w:t>
      </w:r>
      <w:r w:rsidR="00D02C60">
        <w:rPr>
          <w:rFonts w:ascii="Arial" w:hAnsi="Arial"/>
        </w:rPr>
        <w:fldChar w:fldCharType="end"/>
      </w:r>
      <w:r>
        <w:rPr>
          <w:rFonts w:ascii="Arial" w:hAnsi="Arial"/>
        </w:rPr>
        <w:t xml:space="preserve">. The osteoblastic cell proliferation and differentiation from precursors is shown to be impaired with ageing </w:t>
      </w:r>
      <w:r w:rsidR="00404C4F">
        <w:rPr>
          <w:rFonts w:ascii="Arial" w:hAnsi="Arial"/>
        </w:rPr>
        <w:fldChar w:fldCharType="begin"/>
      </w:r>
      <w:r w:rsidR="0000415D">
        <w:rPr>
          <w:rFonts w:ascii="Arial" w:hAnsi="Arial"/>
        </w:rPr>
        <w:instrText xml:space="preserve"> ADDIN EN.CITE &lt;EndNote&gt;&lt;Cite&gt;&lt;Author&gt;Roholl&lt;/Author&gt;&lt;Year&gt;1994&lt;/Year&gt;&lt;RecNum&gt;348&lt;/RecNum&gt;&lt;DisplayText&gt;(Roholl et al., 1994)&lt;/DisplayText&gt;&lt;record&gt;&lt;rec-number&gt;348&lt;/rec-number&gt;&lt;foreign-keys&gt;&lt;key app="EN" db-id="ae9rewfrpdttrheppfxxv0p4950wpd25r09x" timestamp="1520658299"&gt;348&lt;/key&gt;&lt;/foreign-keys&gt;&lt;ref-type name="Journal Article"&gt;17&lt;/ref-type&gt;&lt;contributors&gt;&lt;authors&gt;&lt;author&gt;Roholl, P. J.&lt;/author&gt;&lt;author&gt;Blauw, E.&lt;/author&gt;&lt;author&gt;Zurcher, C.&lt;/author&gt;&lt;author&gt;Dormans, J. A.&lt;/author&gt;&lt;author&gt;Theuns, H. M.&lt;/author&gt;&lt;/authors&gt;&lt;/contributors&gt;&lt;titles&gt;&lt;title&gt;Evidence for a diminished maturation of preosteoblasts into osteoblasts during aging in rats: an ultrastructural analysis&lt;/title&gt;&lt;secondary-title&gt;Journal of Bone and Mineral Research &lt;/secondary-title&gt;&lt;/titles&gt;&lt;periodical&gt;&lt;full-title&gt;Journal of Bone and Mineral Research&lt;/full-title&gt;&lt;/periodical&gt;&lt;pages&gt;355-366&lt;/pages&gt;&lt;volume&gt;9&lt;/volume&gt;&lt;number&gt;3&lt;/number&gt;&lt;dates&gt;&lt;year&gt;1994&lt;/year&gt;&lt;/dates&gt;&lt;pub-location&gt;Malden, MA :&lt;/pub-location&gt;&lt;isbn&gt;0884-0431&lt;/isbn&gt;&lt;urls&gt;&lt;/urls&gt;&lt;electronic-resource-num&gt;10.1002/jbmr.5650090310&lt;/electronic-resource-num&gt;&lt;/record&gt;&lt;/Cite&gt;&lt;/EndNote&gt;</w:instrText>
      </w:r>
      <w:r w:rsidR="00404C4F">
        <w:rPr>
          <w:rFonts w:ascii="Arial" w:hAnsi="Arial"/>
        </w:rPr>
        <w:fldChar w:fldCharType="separate"/>
      </w:r>
      <w:r w:rsidR="00404C4F">
        <w:rPr>
          <w:rFonts w:ascii="Arial" w:hAnsi="Arial"/>
          <w:noProof/>
        </w:rPr>
        <w:t>(Roholl et al., 1994)</w:t>
      </w:r>
      <w:r w:rsidR="00404C4F">
        <w:rPr>
          <w:rFonts w:ascii="Arial" w:hAnsi="Arial"/>
        </w:rPr>
        <w:fldChar w:fldCharType="end"/>
      </w:r>
      <w:r w:rsidR="00404C4F">
        <w:rPr>
          <w:rFonts w:ascii="Arial" w:hAnsi="Arial"/>
        </w:rPr>
        <w:t>.</w:t>
      </w:r>
      <w:r>
        <w:rPr>
          <w:rFonts w:ascii="Arial" w:hAnsi="Arial"/>
        </w:rPr>
        <w:t xml:space="preserve"> Due to co-existence of bone and fat, adipocyte differentiation from </w:t>
      </w:r>
      <w:r w:rsidR="00CD1DBA">
        <w:rPr>
          <w:rFonts w:ascii="Arial" w:hAnsi="Arial"/>
        </w:rPr>
        <w:t xml:space="preserve">the </w:t>
      </w:r>
      <w:r>
        <w:rPr>
          <w:rFonts w:ascii="Arial" w:hAnsi="Arial"/>
        </w:rPr>
        <w:t xml:space="preserve">MSC </w:t>
      </w:r>
      <w:r w:rsidR="00CD1DBA">
        <w:rPr>
          <w:rFonts w:ascii="Arial" w:hAnsi="Arial"/>
        </w:rPr>
        <w:t>may enhance</w:t>
      </w:r>
      <w:r>
        <w:rPr>
          <w:rFonts w:ascii="Arial" w:hAnsi="Arial"/>
        </w:rPr>
        <w:t xml:space="preserve"> with ageing leading to reduced osteoblastogenesis and consequent bone formation </w:t>
      </w:r>
      <w:r w:rsidR="00404C4F">
        <w:rPr>
          <w:rFonts w:ascii="Arial" w:hAnsi="Arial"/>
        </w:rPr>
        <w:fldChar w:fldCharType="begin">
          <w:fldData xml:space="preserve">PEVuZE5vdGU+PENpdGU+PEF1dGhvcj5MYW55b248L0F1dGhvcj48WWVhcj4yMDAxPC9ZZWFyPjxS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</w:fldData>
        </w:fldChar>
      </w:r>
      <w:r w:rsidR="0000415D">
        <w:rPr>
          <w:rFonts w:ascii="Arial" w:hAnsi="Arial"/>
        </w:rPr>
        <w:instrText xml:space="preserve"> ADDIN EN.CITE </w:instrText>
      </w:r>
      <w:r w:rsidR="0000415D">
        <w:rPr>
          <w:rFonts w:ascii="Arial" w:hAnsi="Arial"/>
        </w:rPr>
        <w:fldChar w:fldCharType="begin">
          <w:fldData xml:space="preserve">PEVuZE5vdGU+PENpdGU+PEF1dGhvcj5MYW55b248L0F1dGhvcj48WWVhcj4yMDAxPC9ZZWFyPjxS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00404C4F">
        <w:rPr>
          <w:rFonts w:ascii="Arial" w:hAnsi="Arial"/>
        </w:rPr>
      </w:r>
      <w:r w:rsidR="00404C4F">
        <w:rPr>
          <w:rFonts w:ascii="Arial" w:hAnsi="Arial"/>
        </w:rPr>
        <w:fldChar w:fldCharType="separate"/>
      </w:r>
      <w:r w:rsidR="00BF7395">
        <w:rPr>
          <w:rFonts w:ascii="Arial" w:hAnsi="Arial"/>
          <w:noProof/>
        </w:rPr>
        <w:t>(Lanyon and Skerry, 2001, Rosen et al., 2009)</w:t>
      </w:r>
      <w:r w:rsidR="00404C4F">
        <w:rPr>
          <w:rFonts w:ascii="Arial" w:hAnsi="Arial"/>
        </w:rPr>
        <w:fldChar w:fldCharType="end"/>
      </w:r>
      <w:r w:rsidR="00404C4F">
        <w:rPr>
          <w:rFonts w:ascii="Arial" w:hAnsi="Arial"/>
        </w:rPr>
        <w:t xml:space="preserve">. </w:t>
      </w:r>
      <w:r>
        <w:rPr>
          <w:rFonts w:ascii="Arial" w:hAnsi="Arial"/>
        </w:rPr>
        <w:t xml:space="preserve">Age-related decrease in bone </w:t>
      </w:r>
      <w:r>
        <w:rPr>
          <w:rFonts w:ascii="Arial" w:hAnsi="Arial"/>
        </w:rPr>
        <w:lastRenderedPageBreak/>
        <w:t>mass is also associated with increased osteoblastic apoptosis due to enhanced oxidative stress, inflammatory cytokines, local paracrine and autocrine factors (Wnt, TGF</w:t>
      </w:r>
      <w:r>
        <w:rPr>
          <w:rFonts w:ascii="Arial" w:hAnsi="Arial" w:cs="Arial"/>
        </w:rPr>
        <w:t>β</w:t>
      </w:r>
      <w:r>
        <w:rPr>
          <w:rFonts w:ascii="Arial" w:hAnsi="Arial"/>
        </w:rPr>
        <w:t xml:space="preserve">) </w:t>
      </w:r>
      <w:r w:rsidR="00D74FA2">
        <w:rPr>
          <w:rFonts w:ascii="Arial" w:hAnsi="Arial"/>
        </w:rPr>
        <w:fldChar w:fldCharType="begin"/>
      </w:r>
      <w:r w:rsidR="00B97465">
        <w:rPr>
          <w:rFonts w:ascii="Arial" w:hAnsi="Arial"/>
        </w:rPr>
        <w:instrText xml:space="preserve"> ADDIN EN.CITE &lt;EndNote&gt;&lt;Cite&gt;&lt;Author&gt;Almeida&lt;/Author&gt;&lt;Year&gt;2007&lt;/Year&gt;&lt;RecNum&gt;342&lt;/RecNum&gt;&lt;DisplayText&gt;(Almeida et al., 2007a)&lt;/DisplayText&gt;&lt;record&gt;&lt;rec-number&gt;342&lt;/rec-number&gt;&lt;foreign-keys&gt;&lt;key app="EN" db-id="ae9rewfrpdttrheppfxxv0p4950wpd25r09x" timestamp="1520658298"&gt;342&lt;/key&gt;&lt;/foreign-keys&gt;&lt;ref-type name="Journal Article"&gt;17&lt;/ref-type&gt;&lt;contributors&gt;&lt;authors&gt;&lt;author&gt;Almeida, Maria&lt;/author&gt;&lt;author&gt;Han, Li&lt;/author&gt;&lt;author&gt;Martin-Millan, Marta&lt;/author&gt;&lt;author&gt;Brien, Charles A.&lt;/author&gt;&lt;author&gt;Manolagas, Stavros C.&lt;/author&gt;&lt;/authors&gt;&lt;/contributors&gt;&lt;titles&gt;&lt;title&gt;Oxidative stress antagonizes Wnt signaling in osteoblast precursors by diverting beta- catenin from T cell factor- to forkhead box O- mediated transcription&lt;/title&gt;&lt;secondary-title&gt;Journal of Biological Chemistry&lt;/secondary-title&gt;&lt;/titles&gt;&lt;periodical&gt;&lt;full-title&gt;Journal of Biological Chemistry&lt;/full-title&gt;&lt;/periodical&gt;&lt;pages&gt;27298-27305&lt;/pages&gt;&lt;volume&gt;282&lt;/volume&gt;&lt;number&gt;37&lt;/number&gt;&lt;keywords&gt;&lt;keyword&gt;Oxidative Stress&lt;/keyword&gt;&lt;keyword&gt;Transcription, Genetic&lt;/keyword&gt;&lt;keyword&gt;Forkhead Transcription Factors -- Physiology&lt;/keyword&gt;&lt;keyword&gt;Osteoblasts -- Metabolism&lt;/keyword&gt;&lt;keyword&gt;Signal Transduction -- Physiology&lt;/keyword&gt;&lt;keyword&gt;Stem Cells -- Metabolism&lt;/keyword&gt;&lt;keyword&gt;Tcf Transcription Factors -- Physiology&lt;/keyword&gt;&lt;keyword&gt;Wnt Proteins -- Physiology&lt;/keyword&gt;&lt;keyword&gt;Beta Catenin -- Physiology&lt;/keyword&gt;&lt;/keywords&gt;&lt;dates&gt;&lt;year&gt;2007&lt;/year&gt;&lt;/dates&gt;&lt;isbn&gt;0021-9258&lt;/isbn&gt;&lt;urls&gt;&lt;/urls&gt;&lt;electronic-resource-num&gt;10.1074/jbc.M702811200&lt;/electronic-resource-num&gt;&lt;/record&gt;&lt;/Cite&gt;&lt;/EndNote&gt;</w:instrText>
      </w:r>
      <w:r w:rsidR="00D74FA2">
        <w:rPr>
          <w:rFonts w:ascii="Arial" w:hAnsi="Arial"/>
        </w:rPr>
        <w:fldChar w:fldCharType="separate"/>
      </w:r>
      <w:r w:rsidR="00A12B05">
        <w:rPr>
          <w:rFonts w:ascii="Arial" w:hAnsi="Arial"/>
          <w:noProof/>
        </w:rPr>
        <w:t>(Almeida et al., 2007a)</w:t>
      </w:r>
      <w:r w:rsidR="00D74FA2">
        <w:rPr>
          <w:rFonts w:ascii="Arial" w:hAnsi="Arial"/>
        </w:rPr>
        <w:fldChar w:fldCharType="end"/>
      </w:r>
      <w:r w:rsidR="00D74FA2">
        <w:rPr>
          <w:rFonts w:ascii="Arial" w:hAnsi="Arial"/>
        </w:rPr>
        <w:t>,</w:t>
      </w:r>
      <w:r>
        <w:rPr>
          <w:rFonts w:ascii="Arial" w:hAnsi="Arial"/>
        </w:rPr>
        <w:t xml:space="preserve"> telomere shortening, altered gene expression </w:t>
      </w:r>
      <w:r w:rsidR="00162724">
        <w:rPr>
          <w:rFonts w:ascii="Arial" w:hAnsi="Arial"/>
        </w:rPr>
        <w:fldChar w:fldCharType="begin">
          <w:fldData xml:space="preserve">PEVuZE5vdGU+PENpdGU+PEF1dGhvcj5DcmFiYmU8L0F1dGhvcj48WWVhcj4yMDA3PC9ZZWFyPjxS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</w:fldData>
        </w:fldChar>
      </w:r>
      <w:r w:rsidR="00651EFF">
        <w:rPr>
          <w:rFonts w:ascii="Arial" w:hAnsi="Arial"/>
        </w:rPr>
        <w:instrText xml:space="preserve"> ADDIN EN.CITE </w:instrText>
      </w:r>
      <w:r w:rsidR="00651EFF">
        <w:rPr>
          <w:rFonts w:ascii="Arial" w:hAnsi="Arial"/>
        </w:rPr>
        <w:fldChar w:fldCharType="begin">
          <w:fldData xml:space="preserve">PEVuZE5vdGU+PENpdGU+PEF1dGhvcj5DcmFiYmU8L0F1dGhvcj48WWVhcj4yMDA3PC9ZZWFyPjxS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</w:fldData>
        </w:fldChar>
      </w:r>
      <w:r w:rsidR="00651EFF">
        <w:rPr>
          <w:rFonts w:ascii="Arial" w:hAnsi="Arial"/>
        </w:rPr>
        <w:instrText xml:space="preserve"> ADDIN EN.CITE.DATA </w:instrText>
      </w:r>
      <w:r w:rsidR="00651EFF">
        <w:rPr>
          <w:rFonts w:ascii="Arial" w:hAnsi="Arial"/>
        </w:rPr>
      </w:r>
      <w:r w:rsidR="00651EFF">
        <w:rPr>
          <w:rFonts w:ascii="Arial" w:hAnsi="Arial"/>
        </w:rPr>
        <w:fldChar w:fldCharType="end"/>
      </w:r>
      <w:r w:rsidR="00162724">
        <w:rPr>
          <w:rFonts w:ascii="Arial" w:hAnsi="Arial"/>
        </w:rPr>
      </w:r>
      <w:r w:rsidR="00162724">
        <w:rPr>
          <w:rFonts w:ascii="Arial" w:hAnsi="Arial"/>
        </w:rPr>
        <w:fldChar w:fldCharType="separate"/>
      </w:r>
      <w:r w:rsidR="00162724">
        <w:rPr>
          <w:rFonts w:ascii="Arial" w:hAnsi="Arial"/>
          <w:noProof/>
        </w:rPr>
        <w:t>(Crabbe et al., 2007, Pignolo et al., 2008)</w:t>
      </w:r>
      <w:r w:rsidR="00162724">
        <w:rPr>
          <w:rFonts w:ascii="Arial" w:hAnsi="Arial"/>
        </w:rPr>
        <w:fldChar w:fldCharType="end"/>
      </w:r>
      <w:r>
        <w:rPr>
          <w:rFonts w:ascii="Arial" w:hAnsi="Arial"/>
        </w:rPr>
        <w:t xml:space="preserve"> and impaired DNA repair mechanisms</w:t>
      </w:r>
      <w:r w:rsidR="002F1579">
        <w:rPr>
          <w:rFonts w:ascii="Arial" w:hAnsi="Arial"/>
        </w:rPr>
        <w:t xml:space="preserve"> </w:t>
      </w:r>
      <w:r w:rsidR="002F1579">
        <w:rPr>
          <w:rFonts w:ascii="Arial" w:hAnsi="Arial"/>
        </w:rPr>
        <w:fldChar w:fldCharType="begin"/>
      </w:r>
      <w:r w:rsidR="00651EFF">
        <w:rPr>
          <w:rFonts w:ascii="Arial" w:hAnsi="Arial"/>
        </w:rPr>
        <w:instrText xml:space="preserve"> ADDIN EN.CITE &lt;EndNote&gt;&lt;Cite&gt;&lt;Author&gt;de Boer&lt;/Author&gt;&lt;Year&gt;2002&lt;/Year&gt;&lt;RecNum&gt;352&lt;/RecNum&gt;&lt;DisplayText&gt;(De Boer et al., 2002)&lt;/DisplayText&gt;&lt;record&gt;&lt;rec-number&gt;352&lt;/rec-number&gt;&lt;foreign-keys&gt;&lt;key app="EN" db-id="ae9rewfrpdttrheppfxxv0p4950wpd25r09x" timestamp="1520658299"&gt;352&lt;/key&gt;&lt;/foreign-keys&gt;&lt;ref-type name="Journal Article"&gt;17&lt;/ref-type&gt;&lt;contributors&gt;&lt;authors&gt;&lt;author&gt;De Boer, Jan&lt;/author&gt;&lt;author&gt;Andressoo, Jaan Olle&lt;/author&gt;&lt;author&gt;de Wit, Jan&lt;/author&gt;&lt;author&gt;Huijmans, Jan&lt;/author&gt;&lt;author&gt;Beems, Rudolph B.&lt;/author&gt;&lt;author&gt;van Steeg, Harry&lt;/author&gt;&lt;author&gt;Weeda, Geert&lt;/author&gt;&lt;author&gt;van Der Horst, Gijsbertus T. J.&lt;/author&gt;&lt;author&gt;van Leeuwen, Wibeke&lt;/author&gt;&lt;author&gt;Themmen, Axel P. N.&lt;/author&gt;&lt;author&gt;Meradji, Morteza&lt;/author&gt;&lt;author&gt;Hoeijmakers, Jan H. J.&lt;/author&gt;&lt;/authors&gt;&lt;/contributors&gt;&lt;titles&gt;&lt;title&gt;Premature aging in mice deficient in DNA repair and transcription&lt;/title&gt;&lt;secondary-title&gt;Science &lt;/secondary-title&gt;&lt;/titles&gt;&lt;periodical&gt;&lt;full-title&gt;Science&lt;/full-title&gt;&lt;/periodical&gt;&lt;pages&gt;1276-1279&lt;/pages&gt;&lt;volume&gt;296&lt;/volume&gt;&lt;number&gt;5571&lt;/number&gt;&lt;keywords&gt;&lt;keyword&gt;Aging&lt;/keyword&gt;&lt;keyword&gt;DNA Damage&lt;/keyword&gt;&lt;keyword&gt;DNA Repair&lt;/keyword&gt;&lt;keyword&gt;Transcription Factors&lt;/keyword&gt;&lt;keyword&gt;Aging, Premature -- Etiology&lt;/keyword&gt;&lt;keyword&gt;DNA Helicases -- Physiology&lt;/keyword&gt;&lt;keyword&gt;Proteins -- Physiology&lt;/keyword&gt;&lt;/keywords&gt;&lt;dates&gt;&lt;year&gt;2002&lt;/year&gt;&lt;/dates&gt;&lt;urls&gt;&lt;/urls&gt;&lt;electronic-resource-num&gt;10.1126/science.1070174&lt;/electronic-resource-num&gt;&lt;/record&gt;&lt;/Cite&gt;&lt;/EndNote&gt;</w:instrText>
      </w:r>
      <w:r w:rsidR="002F1579">
        <w:rPr>
          <w:rFonts w:ascii="Arial" w:hAnsi="Arial"/>
        </w:rPr>
        <w:fldChar w:fldCharType="separate"/>
      </w:r>
      <w:r w:rsidR="00651EFF">
        <w:rPr>
          <w:rFonts w:ascii="Arial" w:hAnsi="Arial"/>
          <w:noProof/>
        </w:rPr>
        <w:t>(De Boer et al., 2002)</w:t>
      </w:r>
      <w:r w:rsidR="002F1579">
        <w:rPr>
          <w:rFonts w:ascii="Arial" w:hAnsi="Arial"/>
        </w:rPr>
        <w:fldChar w:fldCharType="end"/>
      </w:r>
      <w:r>
        <w:rPr>
          <w:rFonts w:ascii="Arial" w:hAnsi="Arial"/>
        </w:rPr>
        <w:t xml:space="preserve">. </w:t>
      </w:r>
    </w:p>
    <w:p w14:paraId="1299AE07" w14:textId="77777777" w:rsidR="007B76C3" w:rsidRDefault="007B76C3" w:rsidP="007B76C3">
      <w:pPr>
        <w:spacing w:line="480" w:lineRule="auto"/>
        <w:jc w:val="both"/>
        <w:rPr>
          <w:rFonts w:ascii="Arial" w:hAnsi="Arial"/>
        </w:rPr>
      </w:pPr>
    </w:p>
    <w:p w14:paraId="2CB6011C" w14:textId="77777777" w:rsidR="0094576F" w:rsidRPr="008D0093" w:rsidRDefault="007B76C3" w:rsidP="007B76C3">
      <w:pPr>
        <w:spacing w:line="480" w:lineRule="auto"/>
        <w:jc w:val="both"/>
        <w:rPr>
          <w:rFonts w:ascii="Arial" w:hAnsi="Arial"/>
        </w:rPr>
      </w:pPr>
      <w:r>
        <w:rPr>
          <w:rFonts w:ascii="Arial" w:hAnsi="Arial"/>
        </w:rPr>
        <w:t xml:space="preserve">Ageing leads to an increased rate in osteoclastic bone resorption, which is regulated by numerous factors including oestrogen, PTH, cytokines </w:t>
      </w:r>
      <w:r w:rsidR="007B7DD6" w:rsidRPr="007B7DD6">
        <w:rPr>
          <w:rFonts w:ascii="Arial" w:hAnsi="Arial" w:cs="Arial"/>
        </w:rPr>
        <w:t>tumour necrosis factor alpha</w:t>
      </w:r>
      <w:r w:rsidR="007B7DD6">
        <w:rPr>
          <w:rFonts w:ascii="Arial" w:hAnsi="Arial" w:cs="Arial"/>
          <w:b/>
        </w:rPr>
        <w:t xml:space="preserve"> (</w:t>
      </w:r>
      <w:r>
        <w:rPr>
          <w:rFonts w:ascii="Arial" w:hAnsi="Arial"/>
        </w:rPr>
        <w:t>TNF</w:t>
      </w:r>
      <w:r>
        <w:rPr>
          <w:rFonts w:ascii="Arial" w:hAnsi="Arial" w:cs="Arial"/>
        </w:rPr>
        <w:t>α</w:t>
      </w:r>
      <w:r w:rsidR="007B7DD6">
        <w:rPr>
          <w:rFonts w:ascii="Arial" w:hAnsi="Arial" w:cs="Arial"/>
        </w:rPr>
        <w:t>)</w:t>
      </w:r>
      <w:r>
        <w:rPr>
          <w:rFonts w:ascii="Arial" w:hAnsi="Arial" w:cs="Arial"/>
        </w:rPr>
        <w:t xml:space="preserve"> and</w:t>
      </w:r>
      <w:r>
        <w:rPr>
          <w:rFonts w:ascii="Arial" w:hAnsi="Arial"/>
        </w:rPr>
        <w:t xml:space="preserve"> </w:t>
      </w:r>
      <w:r w:rsidR="007B7DD6" w:rsidRPr="007B7DD6">
        <w:rPr>
          <w:rFonts w:ascii="Arial" w:hAnsi="Arial" w:cs="Arial"/>
        </w:rPr>
        <w:t>interleukin 1 beta</w:t>
      </w:r>
      <w:r w:rsidR="007B7DD6">
        <w:rPr>
          <w:rFonts w:ascii="Arial" w:hAnsi="Arial" w:cs="Arial"/>
          <w:b/>
        </w:rPr>
        <w:t xml:space="preserve"> (</w:t>
      </w:r>
      <w:r>
        <w:rPr>
          <w:rFonts w:ascii="Arial" w:hAnsi="Arial"/>
        </w:rPr>
        <w:t>IL-1</w:t>
      </w:r>
      <w:r>
        <w:rPr>
          <w:rFonts w:ascii="Arial" w:hAnsi="Arial" w:cs="Arial"/>
        </w:rPr>
        <w:t>β</w:t>
      </w:r>
      <w:r w:rsidR="007B7DD6">
        <w:rPr>
          <w:rFonts w:ascii="Arial" w:hAnsi="Arial" w:cs="Arial"/>
        </w:rPr>
        <w:t>)</w:t>
      </w:r>
      <w:r>
        <w:rPr>
          <w:rFonts w:ascii="Arial" w:hAnsi="Arial" w:cs="Arial"/>
        </w:rPr>
        <w:t xml:space="preserve"> </w:t>
      </w:r>
      <w:r w:rsidR="004A2EEF">
        <w:rPr>
          <w:rFonts w:ascii="Arial" w:hAnsi="Arial" w:cs="Arial"/>
        </w:rPr>
        <w:fldChar w:fldCharType="begin"/>
      </w:r>
      <w:r w:rsidR="00A108A1">
        <w:rPr>
          <w:rFonts w:ascii="Arial" w:hAnsi="Arial" w:cs="Arial"/>
        </w:rPr>
        <w:instrText xml:space="preserve"> ADDIN EN.CITE &lt;EndNote&gt;&lt;Cite&gt;&lt;Author&gt;Li&lt;/Author&gt;&lt;Year&gt;2000&lt;/Year&gt;&lt;RecNum&gt;353&lt;/RecNum&gt;&lt;DisplayText&gt;(Li et al., 2000)&lt;/DisplayText&gt;&lt;record&gt;&lt;rec-number&gt;353&lt;/rec-number&gt;&lt;foreign-keys&gt;&lt;key app="EN" db-id="ae9rewfrpdttrheppfxxv0p4950wpd25r09x" timestamp="1520658299"&gt;353&lt;/key&gt;&lt;/foreign-keys&gt;&lt;ref-type name="Journal Article"&gt;17&lt;/ref-type&gt;&lt;contributors&gt;&lt;authors&gt;&lt;author&gt;Li, Xiaodong&lt;/author&gt;&lt;author&gt;Okada, Yosuke&lt;/author&gt;&lt;author&gt;Pilbeam, Carol C.&lt;/author&gt;&lt;author&gt;Lorenzo, Joseph A.&lt;/author&gt;&lt;author&gt;Kennedy, Christopher R. J.&lt;/author&gt;&lt;author&gt;Breyer, Richard M.&lt;/author&gt;&lt;author&gt;Raisz, Lawrence G.&lt;/author&gt;&lt;/authors&gt;&lt;/contributors&gt;&lt;titles&gt;&lt;title&gt;Knockout of the Murine Prostaglandin EP2 Receptor Impairs Osteoclastogenesis in Vitro1&lt;/title&gt;&lt;secondary-title&gt;Endocrinology&lt;/secondary-title&gt;&lt;/titles&gt;&lt;periodical&gt;&lt;full-title&gt;Endocrinology&lt;/full-title&gt;&lt;/periodical&gt;&lt;pages&gt;2054-2061&lt;/pages&gt;&lt;volume&gt;141&lt;/volume&gt;&lt;number&gt;6&lt;/number&gt;&lt;keywords&gt;&lt;keyword&gt;Medicine&lt;/keyword&gt;&lt;keyword&gt;Anatomy &amp;amp;amp&lt;/keyword&gt;&lt;keyword&gt;Physiology&lt;/keyword&gt;&lt;/keywords&gt;&lt;dates&gt;&lt;year&gt;2000&lt;/year&gt;&lt;/dates&gt;&lt;isbn&gt;0013-7227&lt;/isbn&gt;&lt;urls&gt;&lt;/urls&gt;&lt;electronic-resource-num&gt;10.1210/endo.141.6.7518&lt;/electronic-resource-num&gt;&lt;/record&gt;&lt;/Cite&gt;&lt;/EndNote&gt;</w:instrText>
      </w:r>
      <w:r w:rsidR="004A2EEF">
        <w:rPr>
          <w:rFonts w:ascii="Arial" w:hAnsi="Arial" w:cs="Arial"/>
        </w:rPr>
        <w:fldChar w:fldCharType="separate"/>
      </w:r>
      <w:r w:rsidR="004A2EEF">
        <w:rPr>
          <w:rFonts w:ascii="Arial" w:hAnsi="Arial" w:cs="Arial"/>
          <w:noProof/>
        </w:rPr>
        <w:t>(Li et al., 2000)</w:t>
      </w:r>
      <w:r w:rsidR="004A2EEF">
        <w:rPr>
          <w:rFonts w:ascii="Arial" w:hAnsi="Arial" w:cs="Arial"/>
        </w:rPr>
        <w:fldChar w:fldCharType="end"/>
      </w:r>
      <w:r w:rsidR="004A2EEF">
        <w:rPr>
          <w:rFonts w:ascii="Arial" w:hAnsi="Arial" w:cs="Arial"/>
        </w:rPr>
        <w:t>.</w:t>
      </w:r>
      <w:r>
        <w:rPr>
          <w:rFonts w:ascii="Arial" w:hAnsi="Arial"/>
        </w:rPr>
        <w:t xml:space="preserve"> In a human bone marrow stromal cells gene expression study, RANKL, the marker of osteoclast differentiation was increased in female, but not male patients</w:t>
      </w:r>
      <w:r w:rsidRPr="00EF482D">
        <w:rPr>
          <w:rFonts w:ascii="Arial" w:hAnsi="Arial"/>
        </w:rPr>
        <w:t xml:space="preserve"> </w:t>
      </w:r>
      <w:r>
        <w:rPr>
          <w:rFonts w:ascii="Arial" w:hAnsi="Arial"/>
        </w:rPr>
        <w:t>with ageing</w:t>
      </w:r>
      <w:r w:rsidR="004A2EEF">
        <w:rPr>
          <w:rFonts w:ascii="Arial" w:hAnsi="Arial"/>
        </w:rPr>
        <w:t xml:space="preserve"> </w:t>
      </w:r>
      <w:r w:rsidR="004A2EEF">
        <w:rPr>
          <w:rFonts w:ascii="Arial" w:hAnsi="Arial"/>
        </w:rPr>
        <w:fldChar w:fldCharType="begin"/>
      </w:r>
      <w:r w:rsidR="00651EFF">
        <w:rPr>
          <w:rFonts w:ascii="Arial" w:hAnsi="Arial"/>
        </w:rPr>
        <w:instrText xml:space="preserve"> ADDIN EN.CITE &lt;EndNote&gt;&lt;Cite&gt;&lt;Author&gt;Jiang&lt;/Author&gt;&lt;Year&gt;2008&lt;/Year&gt;&lt;RecNum&gt;354&lt;/RecNum&gt;&lt;DisplayText&gt;(Jiang et al., 2008)&lt;/DisplayText&gt;&lt;record&gt;&lt;rec-number&gt;354&lt;/rec-number&gt;&lt;foreign-keys&gt;&lt;key app="EN" db-id="ae9rewfrpdttrheppfxxv0p4950wpd25r09x" timestamp="1520658299"&gt;354&lt;/key&gt;&lt;/foreign-keys&gt;&lt;ref-type name="Journal Article"&gt;17&lt;/ref-type&gt;&lt;contributors&gt;&lt;authors&gt;&lt;author&gt;Jiang, Ying&lt;/author&gt;&lt;author&gt;Mishima, Hajime&lt;/author&gt;&lt;author&gt;Sakai, Shinsuke&lt;/author&gt;&lt;author&gt;Liu, Yin</w:instrText>
      </w:r>
      <w:r w:rsidR="00651EFF">
        <w:rPr>
          <w:rFonts w:ascii="American Typewriter" w:hAnsi="American Typewriter" w:cs="American Typewriter"/>
        </w:rPr>
        <w:instrText>‐</w:instrText>
      </w:r>
      <w:r w:rsidR="00651EFF">
        <w:rPr>
          <w:rFonts w:ascii="Arial" w:hAnsi="Arial"/>
        </w:rPr>
        <w:instrText>Kun&lt;/author&gt;&lt;author&gt;Ohyabu, Yoshimi&lt;/author&gt;&lt;author&gt;Uemura, Toshimasa&lt;/author&gt;&lt;/authors&gt;&lt;/contributors&gt;&lt;titles&gt;&lt;title&gt;Gene expression analysis of major lineage</w:instrText>
      </w:r>
      <w:r w:rsidR="00651EFF">
        <w:rPr>
          <w:rFonts w:ascii="American Typewriter" w:hAnsi="American Typewriter" w:cs="American Typewriter"/>
        </w:rPr>
        <w:instrText>‐</w:instrText>
      </w:r>
      <w:r w:rsidR="00651EFF">
        <w:rPr>
          <w:rFonts w:ascii="Arial" w:hAnsi="Arial"/>
        </w:rPr>
        <w:instrText xml:space="preserve"> defining factors in human bone marrow cells: Effect of aging, gender, and age-related disorders&lt;/title&gt;&lt;secondary-title&gt;Journal of Orthopaedic Research&lt;/secondary-title&gt;&lt;/titles&gt;&lt;periodical&gt;&lt;full-title&gt;Journal of Orthopaedic Research&lt;/full-title&gt;&lt;/periodical&gt;&lt;pages&gt;910-917&lt;/pages&gt;&lt;volume&gt;26&lt;/volume&gt;&lt;number&gt;7&lt;/number&gt;&lt;keywords&gt;&lt;keyword&gt;Bone Narrow&lt;/keyword&gt;&lt;keyword&gt;Aging&lt;/keyword&gt;&lt;keyword&gt;Lineage&lt;/keyword&gt;&lt;keyword&gt;Transcription Factor&lt;/keyword&gt;&lt;keyword&gt;Apoptosis&lt;/keyword&gt;&lt;/keywords&gt;&lt;dates&gt;&lt;year&gt;2008&lt;/year&gt;&lt;/dates&gt;&lt;pub-location&gt;Hoboken&lt;/pub-location&gt;&lt;isbn&gt;0736-0266&lt;/isbn&gt;&lt;urls&gt;&lt;/urls&gt;&lt;electronic-resource-num&gt;10.1002/jor.20623&lt;/electronic-resource-num&gt;&lt;/record&gt;&lt;/Cite&gt;&lt;/EndNote&gt;</w:instrText>
      </w:r>
      <w:r w:rsidR="004A2EEF">
        <w:rPr>
          <w:rFonts w:ascii="Arial" w:hAnsi="Arial"/>
        </w:rPr>
        <w:fldChar w:fldCharType="separate"/>
      </w:r>
      <w:r w:rsidR="00454BB1">
        <w:rPr>
          <w:rFonts w:ascii="Arial" w:hAnsi="Arial"/>
          <w:noProof/>
        </w:rPr>
        <w:t>(Jiang et al., 2008)</w:t>
      </w:r>
      <w:r w:rsidR="004A2EEF">
        <w:rPr>
          <w:rFonts w:ascii="Arial" w:hAnsi="Arial"/>
        </w:rPr>
        <w:fldChar w:fldCharType="end"/>
      </w:r>
      <w:r>
        <w:rPr>
          <w:rFonts w:ascii="Arial" w:hAnsi="Arial"/>
        </w:rPr>
        <w:t>. Increase in osteoclast number was shown in the periosteum of aged female rats compared with that in juvenile and mature animals reflecting the age-related increase in bone resorption</w:t>
      </w:r>
      <w:r w:rsidR="00454BB1">
        <w:rPr>
          <w:rFonts w:ascii="Arial" w:hAnsi="Arial"/>
        </w:rPr>
        <w:t xml:space="preserve"> </w:t>
      </w:r>
      <w:r w:rsidR="00454BB1">
        <w:rPr>
          <w:rFonts w:ascii="Arial" w:hAnsi="Arial"/>
        </w:rPr>
        <w:fldChar w:fldCharType="begin"/>
      </w:r>
      <w:r w:rsidR="00A108A1">
        <w:rPr>
          <w:rFonts w:ascii="Arial" w:hAnsi="Arial"/>
        </w:rPr>
        <w:instrText xml:space="preserve"> ADDIN EN.CITE &lt;EndNote&gt;&lt;Cite&gt;&lt;Author&gt;Fan&lt;/Author&gt;&lt;Year&gt;2008&lt;/Year&gt;&lt;RecNum&gt;355&lt;/RecNum&gt;&lt;DisplayText&gt;(Fan et al., 2008)&lt;/DisplayText&gt;&lt;record&gt;&lt;rec-number&gt;355&lt;/rec-number&gt;&lt;foreign-keys&gt;&lt;key app="EN" db-id="ae9rewfrpdttrheppfxxv0p4950wpd25r09x" timestamp="1520658299"&gt;355&lt;/key&gt;&lt;/foreign-keys&gt;&lt;ref-type name="Journal Article"&gt;17&lt;/ref-type&gt;&lt;contributors&gt;&lt;authors&gt;&lt;author&gt;Fan, Wei&lt;/author&gt;&lt;author&gt;Crawford, Ross&lt;/author&gt;&lt;author&gt;Xiao, Yin&lt;/author&gt;&lt;/authors&gt;&lt;/contributors&gt;&lt;titles&gt;&lt;title&gt;Structural and cellular differences between metaphyseal and diaphyseal periosteum in different aged rats&lt;/title&gt;&lt;secondary-title&gt;Bone&lt;/secondary-title&gt;&lt;/titles&gt;&lt;periodical&gt;&lt;full-title&gt;Bone&lt;/full-title&gt;&lt;/periodical&gt;&lt;pages&gt;81-89&lt;/pages&gt;&lt;volume&gt;42&lt;/volume&gt;&lt;number&gt;1&lt;/number&gt;&lt;keywords&gt;&lt;keyword&gt;Periosteum&lt;/keyword&gt;&lt;keyword&gt;Ageing&lt;/keyword&gt;&lt;keyword&gt;Macrophages&lt;/keyword&gt;&lt;keyword&gt;Osteoblasts&lt;/keyword&gt;&lt;keyword&gt;Stro-1&lt;/keyword&gt;&lt;/keywords&gt;&lt;dates&gt;&lt;year&gt;2008&lt;/year&gt;&lt;/dates&gt;&lt;isbn&gt;8756-3282&lt;/isbn&gt;&lt;urls&gt;&lt;/urls&gt;&lt;electronic-resource-num&gt;10.1016/j.bone.2007.08.048&lt;/electronic-resource-num&gt;&lt;/record&gt;&lt;/Cite&gt;&lt;/EndNote&gt;</w:instrText>
      </w:r>
      <w:r w:rsidR="00454BB1">
        <w:rPr>
          <w:rFonts w:ascii="Arial" w:hAnsi="Arial"/>
        </w:rPr>
        <w:fldChar w:fldCharType="separate"/>
      </w:r>
      <w:r w:rsidR="00454BB1">
        <w:rPr>
          <w:rFonts w:ascii="Arial" w:hAnsi="Arial"/>
          <w:noProof/>
        </w:rPr>
        <w:t>(Fan et al., 2008)</w:t>
      </w:r>
      <w:r w:rsidR="00454BB1">
        <w:rPr>
          <w:rFonts w:ascii="Arial" w:hAnsi="Arial"/>
        </w:rPr>
        <w:fldChar w:fldCharType="end"/>
      </w:r>
      <w:r>
        <w:rPr>
          <w:rFonts w:ascii="Arial" w:hAnsi="Arial"/>
        </w:rPr>
        <w:t xml:space="preserve">. Interestingly, </w:t>
      </w:r>
      <w:r>
        <w:rPr>
          <w:rFonts w:ascii="Arial" w:hAnsi="Arial"/>
          <w:i/>
        </w:rPr>
        <w:t>i</w:t>
      </w:r>
      <w:r w:rsidRPr="00F72251">
        <w:rPr>
          <w:rFonts w:ascii="Arial" w:hAnsi="Arial"/>
          <w:i/>
        </w:rPr>
        <w:t>n vitro</w:t>
      </w:r>
      <w:r>
        <w:rPr>
          <w:rFonts w:ascii="Arial" w:hAnsi="Arial"/>
        </w:rPr>
        <w:t xml:space="preserve"> studies revealed that older bone was resorbed preferentially by osteoclasts due to augmented osteoclastogenesis on aged compared to the young bone </w:t>
      </w:r>
      <w:r w:rsidR="00454BB1">
        <w:rPr>
          <w:rFonts w:ascii="Arial" w:hAnsi="Arial"/>
        </w:rPr>
        <w:fldChar w:fldCharType="begin"/>
      </w:r>
      <w:r w:rsidR="00A108A1">
        <w:rPr>
          <w:rFonts w:ascii="Arial" w:hAnsi="Arial"/>
        </w:rPr>
        <w:instrText xml:space="preserve"> ADDIN EN.CITE &lt;EndNote&gt;&lt;Cite&gt;&lt;Author&gt;Henriksen&lt;/Author&gt;&lt;Year&gt;2007&lt;/Year&gt;&lt;RecNum&gt;356&lt;/RecNum&gt;&lt;DisplayText&gt;(Henriksen et al., 2007)&lt;/DisplayText&gt;&lt;record&gt;&lt;rec-number&gt;356&lt;/rec-number&gt;&lt;foreign-keys&gt;&lt;key app="EN" db-id="ae9rewfrpdttrheppfxxv0p4950wpd25r09x" timestamp="1520658299"&gt;356&lt;/key&gt;&lt;/foreign-keys&gt;&lt;ref-type name="Journal Article"&gt;17&lt;/ref-type&gt;&lt;contributors&gt;&lt;authors&gt;&lt;author&gt;Henriksen, K.&lt;/author&gt;&lt;author&gt;Leeming, D.&lt;/author&gt;&lt;author&gt;Byrjalsen, I.&lt;/author&gt;&lt;author&gt;Nielsen, R.&lt;/author&gt;&lt;author&gt;Sorensen, M.&lt;/author&gt;&lt;author&gt;Dziegiel, M.&lt;/author&gt;&lt;author&gt;Martin, T.&lt;/author&gt;&lt;author&gt;Christiansen, C.&lt;/author&gt;&lt;author&gt;Qvist, P.&lt;/author&gt;&lt;author&gt;Karsdal, M.&lt;/author&gt;&lt;/authors&gt;&lt;/contributors&gt;&lt;titles&gt;&lt;title&gt;Osteoclasts prefer aged bone&lt;/title&gt;&lt;secondary-title&gt;With other metabolic bone diseases&lt;/secondary-title&gt;&lt;/titles&gt;&lt;periodical&gt;&lt;full-title&gt;With other Metabolic Bone Diseases&lt;/full-title&gt;&lt;/periodical&gt;&lt;pages&gt;751-759&lt;/pages&gt;&lt;volume&gt;18&lt;/volume&gt;&lt;number&gt;6&lt;/number&gt;&lt;keywords&gt;&lt;keyword&gt;αCTX&lt;/keyword&gt;&lt;keyword&gt;βCTX&lt;/keyword&gt;&lt;keyword&gt;Bone age&lt;/keyword&gt;&lt;keyword&gt;Osteoclasts&lt;/keyword&gt;&lt;keyword&gt;Remodeling&lt;/keyword&gt;&lt;/keywords&gt;&lt;dates&gt;&lt;year&gt;2007&lt;/year&gt;&lt;/dates&gt;&lt;pub-location&gt;London&lt;/pub-location&gt;&lt;isbn&gt;0937-941X&lt;/isbn&gt;&lt;urls&gt;&lt;/urls&gt;&lt;electronic-resource-num&gt;10.1007/s00198-006-0298-4&lt;/electronic-resource-num&gt;&lt;/record&gt;&lt;/Cite&gt;&lt;/EndNote&gt;</w:instrText>
      </w:r>
      <w:r w:rsidR="00454BB1">
        <w:rPr>
          <w:rFonts w:ascii="Arial" w:hAnsi="Arial"/>
        </w:rPr>
        <w:fldChar w:fldCharType="separate"/>
      </w:r>
      <w:r w:rsidR="00454BB1">
        <w:rPr>
          <w:rFonts w:ascii="Arial" w:hAnsi="Arial"/>
          <w:noProof/>
        </w:rPr>
        <w:t>(Henriksen et al., 2007)</w:t>
      </w:r>
      <w:r w:rsidR="00454BB1">
        <w:rPr>
          <w:rFonts w:ascii="Arial" w:hAnsi="Arial"/>
        </w:rPr>
        <w:fldChar w:fldCharType="end"/>
      </w:r>
      <w:r w:rsidR="00454BB1">
        <w:rPr>
          <w:rFonts w:ascii="Arial" w:hAnsi="Arial"/>
        </w:rPr>
        <w:t>.</w:t>
      </w:r>
    </w:p>
    <w:p w14:paraId="5D555C59" w14:textId="77777777" w:rsidR="007B76C3" w:rsidRPr="00B64D3E" w:rsidRDefault="007B76C3" w:rsidP="00D40E59">
      <w:pPr>
        <w:pStyle w:val="Heading2"/>
      </w:pPr>
      <w:bookmarkStart w:id="21" w:name="_Toc383723846"/>
      <w:r w:rsidRPr="00B64D3E">
        <w:t>1.2 The response of bone to exercise/mechanical loading</w:t>
      </w:r>
      <w:bookmarkEnd w:id="21"/>
      <w:r w:rsidRPr="00B64D3E">
        <w:t xml:space="preserve"> </w:t>
      </w:r>
    </w:p>
    <w:p w14:paraId="2EC49F9E" w14:textId="77777777" w:rsidR="005F3E1E" w:rsidRPr="000A792A" w:rsidRDefault="007B76C3" w:rsidP="005F3E1E">
      <w:pPr>
        <w:spacing w:line="480" w:lineRule="auto"/>
        <w:jc w:val="both"/>
        <w:rPr>
          <w:rFonts w:ascii="Arial" w:hAnsi="Arial"/>
        </w:rPr>
      </w:pPr>
      <w:r>
        <w:rPr>
          <w:rFonts w:ascii="Arial" w:hAnsi="Arial"/>
        </w:rPr>
        <w:t xml:space="preserve">Physical activity </w:t>
      </w:r>
      <w:r w:rsidRPr="00E94EBC">
        <w:rPr>
          <w:rFonts w:ascii="Arial" w:hAnsi="Arial"/>
        </w:rPr>
        <w:t>play</w:t>
      </w:r>
      <w:r>
        <w:rPr>
          <w:rFonts w:ascii="Arial" w:hAnsi="Arial"/>
        </w:rPr>
        <w:t>s</w:t>
      </w:r>
      <w:r w:rsidRPr="00E94EBC">
        <w:rPr>
          <w:rFonts w:ascii="Arial" w:hAnsi="Arial"/>
        </w:rPr>
        <w:t xml:space="preserve"> </w:t>
      </w:r>
      <w:r>
        <w:rPr>
          <w:rFonts w:ascii="Arial" w:hAnsi="Arial"/>
        </w:rPr>
        <w:t xml:space="preserve">an important role in maintaining a healthy skeleton throughout life course and preventing bone loss in elderly adults. However, the most effective types of activities, which are more likely to have beneficial effects, are not completely understood </w:t>
      </w:r>
      <w:r w:rsidR="000A792A">
        <w:rPr>
          <w:rFonts w:ascii="Arial" w:hAnsi="Arial"/>
        </w:rPr>
        <w:fldChar w:fldCharType="begin">
          <w:fldData xml:space="preserve">PEVuZE5vdGU+PENpdGU+PEF1dGhvcj5Ta2Vycnk8L0F1dGhvcj48WWVhcj4xOTk3PC9ZZWFyPjxS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</w:fldData>
        </w:fldChar>
      </w:r>
      <w:r w:rsidR="0000415D">
        <w:rPr>
          <w:rFonts w:ascii="Arial" w:hAnsi="Arial"/>
        </w:rPr>
        <w:instrText xml:space="preserve"> ADDIN EN.CITE </w:instrText>
      </w:r>
      <w:r w:rsidR="0000415D">
        <w:rPr>
          <w:rFonts w:ascii="Arial" w:hAnsi="Arial"/>
        </w:rPr>
        <w:fldChar w:fldCharType="begin">
          <w:fldData xml:space="preserve">PEVuZE5vdGU+PENpdGU+PEF1dGhvcj5Ta2Vycnk8L0F1dGhvcj48WWVhcj4xOTk3PC9ZZWFyPjxS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000A792A">
        <w:rPr>
          <w:rFonts w:ascii="Arial" w:hAnsi="Arial"/>
        </w:rPr>
      </w:r>
      <w:r w:rsidR="000A792A">
        <w:rPr>
          <w:rFonts w:ascii="Arial" w:hAnsi="Arial"/>
        </w:rPr>
        <w:fldChar w:fldCharType="separate"/>
      </w:r>
      <w:r w:rsidR="00C57F1B">
        <w:rPr>
          <w:rFonts w:ascii="Arial" w:hAnsi="Arial"/>
          <w:noProof/>
        </w:rPr>
        <w:t>(Skerry, 1997, Ireland et al., 2014a, Tobias et al., 2014)</w:t>
      </w:r>
      <w:r w:rsidR="000A792A">
        <w:rPr>
          <w:rFonts w:ascii="Arial" w:hAnsi="Arial"/>
        </w:rPr>
        <w:fldChar w:fldCharType="end"/>
      </w:r>
      <w:r w:rsidR="000A792A">
        <w:rPr>
          <w:rFonts w:ascii="Arial" w:hAnsi="Arial"/>
        </w:rPr>
        <w:t xml:space="preserve">. </w:t>
      </w:r>
      <w:r>
        <w:rPr>
          <w:rFonts w:ascii="Arial" w:hAnsi="Arial"/>
        </w:rPr>
        <w:t xml:space="preserve">Studies in master athletes and non-athletes suggested that regular high impact exercise was associated with higher BMD, cortical area and other geometrical bone parameters, thus, was effective to maintain bone strength throughout life </w:t>
      </w:r>
      <w:r w:rsidR="00EF74DC">
        <w:rPr>
          <w:rFonts w:ascii="Arial" w:hAnsi="Arial"/>
        </w:rPr>
        <w:fldChar w:fldCharType="begin">
          <w:fldData xml:space="preserve">PEVuZE5vdGU+PENpdGU+PEF1dGhvcj5CYXNzZXk8L0F1dGhvcj48WWVhcj4xOTk0PC9ZZWFyPjxS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</w:fldData>
        </w:fldChar>
      </w:r>
      <w:r w:rsidR="00651EFF">
        <w:rPr>
          <w:rFonts w:ascii="Arial" w:hAnsi="Arial"/>
        </w:rPr>
        <w:instrText xml:space="preserve"> ADDIN EN.CITE </w:instrText>
      </w:r>
      <w:r w:rsidR="00651EFF">
        <w:rPr>
          <w:rFonts w:ascii="Arial" w:hAnsi="Arial"/>
        </w:rPr>
        <w:fldChar w:fldCharType="begin">
          <w:fldData xml:space="preserve">PEVuZE5vdGU+PENpdGU+PEF1dGhvcj5CYXNzZXk8L0F1dGhvcj48WWVhcj4xOTk0PC9ZZWFyPjxS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</w:fldData>
        </w:fldChar>
      </w:r>
      <w:r w:rsidR="00651EFF">
        <w:rPr>
          <w:rFonts w:ascii="Arial" w:hAnsi="Arial"/>
        </w:rPr>
        <w:instrText xml:space="preserve"> ADDIN EN.CITE.DATA </w:instrText>
      </w:r>
      <w:r w:rsidR="00651EFF">
        <w:rPr>
          <w:rFonts w:ascii="Arial" w:hAnsi="Arial"/>
        </w:rPr>
      </w:r>
      <w:r w:rsidR="00651EFF">
        <w:rPr>
          <w:rFonts w:ascii="Arial" w:hAnsi="Arial"/>
        </w:rPr>
        <w:fldChar w:fldCharType="end"/>
      </w:r>
      <w:r w:rsidR="00EF74DC">
        <w:rPr>
          <w:rFonts w:ascii="Arial" w:hAnsi="Arial"/>
        </w:rPr>
      </w:r>
      <w:r w:rsidR="00EF74DC">
        <w:rPr>
          <w:rFonts w:ascii="Arial" w:hAnsi="Arial"/>
        </w:rPr>
        <w:fldChar w:fldCharType="separate"/>
      </w:r>
      <w:r w:rsidR="00EF74DC">
        <w:rPr>
          <w:rFonts w:ascii="Arial" w:hAnsi="Arial"/>
          <w:noProof/>
        </w:rPr>
        <w:t>(Bassey and Ramsdale, 1994, Wilks et al., 2009, Ireland et al., 2011)</w:t>
      </w:r>
      <w:r w:rsidR="00EF74DC">
        <w:rPr>
          <w:rFonts w:ascii="Arial" w:hAnsi="Arial"/>
        </w:rPr>
        <w:fldChar w:fldCharType="end"/>
      </w:r>
      <w:r w:rsidR="00EF74DC">
        <w:rPr>
          <w:rFonts w:ascii="Arial" w:hAnsi="Arial"/>
        </w:rPr>
        <w:t xml:space="preserve">. </w:t>
      </w:r>
      <w:r>
        <w:rPr>
          <w:rFonts w:ascii="Arial" w:hAnsi="Arial"/>
        </w:rPr>
        <w:t>It is apparent that intensity and quantity of physica</w:t>
      </w:r>
      <w:r w:rsidR="000A792A">
        <w:rPr>
          <w:rFonts w:ascii="Arial" w:hAnsi="Arial"/>
        </w:rPr>
        <w:t xml:space="preserve">l activities decline in elderly </w:t>
      </w:r>
      <w:r>
        <w:rPr>
          <w:rFonts w:ascii="Arial" w:hAnsi="Arial"/>
        </w:rPr>
        <w:t>adults contributing to the increased risk of fragility fractures and osteoporosis</w:t>
      </w:r>
      <w:r w:rsidRPr="005A08D2">
        <w:rPr>
          <w:rFonts w:ascii="Arial" w:hAnsi="Arial" w:cs="Arial"/>
          <w:b/>
          <w:bCs/>
        </w:rPr>
        <w:t xml:space="preserve"> </w:t>
      </w:r>
      <w:r w:rsidRPr="00B62BBE">
        <w:rPr>
          <w:rFonts w:ascii="Arial" w:hAnsi="Arial" w:cs="Arial"/>
          <w:bCs/>
        </w:rPr>
        <w:fldChar w:fldCharType="begin">
          <w:fldData xml:space="preserve">PEVuZE5vdGU+PENpdGU+PEF1dGhvcj5GZXNrYW5pY2g8L0F1dGhvcj48WWVhcj4yMDAyPC9ZZWFy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</w:fldData>
        </w:fldChar>
      </w:r>
      <w:r w:rsidR="00A108A1">
        <w:rPr>
          <w:rFonts w:ascii="Arial" w:hAnsi="Arial" w:cs="Arial"/>
          <w:bCs/>
        </w:rPr>
        <w:instrText xml:space="preserve"> ADDIN EN.CITE </w:instrText>
      </w:r>
      <w:r w:rsidR="00A108A1">
        <w:rPr>
          <w:rFonts w:ascii="Arial" w:hAnsi="Arial" w:cs="Arial"/>
          <w:bCs/>
        </w:rPr>
        <w:fldChar w:fldCharType="begin">
          <w:fldData xml:space="preserve">PEVuZE5vdGU+PENpdGU+PEF1dGhvcj5GZXNrYW5pY2g8L0F1dGhvcj48WWVhcj4yMDAyPC9ZZWFy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</w:fldData>
        </w:fldChar>
      </w:r>
      <w:r w:rsidR="00A108A1">
        <w:rPr>
          <w:rFonts w:ascii="Arial" w:hAnsi="Arial" w:cs="Arial"/>
          <w:bCs/>
        </w:rPr>
        <w:instrText xml:space="preserve"> ADDIN EN.CITE.DATA </w:instrText>
      </w:r>
      <w:r w:rsidR="00A108A1">
        <w:rPr>
          <w:rFonts w:ascii="Arial" w:hAnsi="Arial" w:cs="Arial"/>
          <w:bCs/>
        </w:rPr>
      </w:r>
      <w:r w:rsidR="00A108A1">
        <w:rPr>
          <w:rFonts w:ascii="Arial" w:hAnsi="Arial" w:cs="Arial"/>
          <w:bCs/>
        </w:rPr>
        <w:fldChar w:fldCharType="end"/>
      </w:r>
      <w:r w:rsidRPr="00B62BBE">
        <w:rPr>
          <w:rFonts w:ascii="Arial" w:hAnsi="Arial" w:cs="Arial"/>
          <w:bCs/>
        </w:rPr>
      </w:r>
      <w:r w:rsidRPr="00B62BBE">
        <w:rPr>
          <w:rFonts w:ascii="Arial" w:hAnsi="Arial" w:cs="Arial"/>
          <w:bCs/>
        </w:rPr>
        <w:fldChar w:fldCharType="separate"/>
      </w:r>
      <w:r>
        <w:rPr>
          <w:rFonts w:ascii="Arial" w:hAnsi="Arial" w:cs="Arial"/>
          <w:bCs/>
          <w:noProof/>
        </w:rPr>
        <w:t>(Feskanich et al., 2002, Moayyeri et al., 2010)</w:t>
      </w:r>
      <w:r w:rsidRPr="00B62BBE">
        <w:rPr>
          <w:rFonts w:ascii="Arial" w:hAnsi="Arial" w:cs="Arial"/>
          <w:bCs/>
        </w:rPr>
        <w:fldChar w:fldCharType="end"/>
      </w:r>
      <w:r w:rsidR="005F3E1E">
        <w:rPr>
          <w:rFonts w:ascii="Arial" w:hAnsi="Arial" w:cs="Arial"/>
          <w:bCs/>
        </w:rPr>
        <w:t>.</w:t>
      </w:r>
    </w:p>
    <w:p w14:paraId="482C4FB5" w14:textId="77777777" w:rsidR="005F3E1E" w:rsidRDefault="007B76C3" w:rsidP="005F3E1E">
      <w:pPr>
        <w:spacing w:line="480" w:lineRule="auto"/>
        <w:jc w:val="both"/>
        <w:rPr>
          <w:rFonts w:ascii="Arial" w:hAnsi="Arial" w:cs="Lucida Grande"/>
          <w:noProof/>
          <w:szCs w:val="26"/>
        </w:rPr>
      </w:pPr>
      <w:r>
        <w:rPr>
          <w:rFonts w:ascii="Arial" w:hAnsi="Arial" w:cs="Lucida Grande"/>
          <w:szCs w:val="26"/>
        </w:rPr>
        <w:lastRenderedPageBreak/>
        <w:t>The beneficial effects of exercise on the skeleton are widely studied in tennis players showing elite sportsmen had increased bone mass in local areas of higher use, for instance the exercising racket arm compared with non</w:t>
      </w:r>
      <w:r w:rsidR="00E363E4">
        <w:rPr>
          <w:rFonts w:ascii="Arial" w:hAnsi="Arial" w:cs="Lucida Grande"/>
          <w:szCs w:val="26"/>
        </w:rPr>
        <w:t>-</w:t>
      </w:r>
      <w:r>
        <w:rPr>
          <w:rFonts w:ascii="Arial" w:hAnsi="Arial" w:cs="Lucida Grande"/>
          <w:szCs w:val="26"/>
        </w:rPr>
        <w:t>racket contralateral arm</w:t>
      </w:r>
      <w:r w:rsidR="000A792A">
        <w:rPr>
          <w:rFonts w:ascii="Arial" w:hAnsi="Arial" w:cs="Lucida Grande"/>
          <w:szCs w:val="26"/>
        </w:rPr>
        <w:t xml:space="preserve"> </w:t>
      </w:r>
      <w:r w:rsidR="000A792A">
        <w:rPr>
          <w:rFonts w:ascii="Arial" w:hAnsi="Arial" w:cs="Lucida Grande"/>
          <w:szCs w:val="26"/>
        </w:rPr>
        <w:fldChar w:fldCharType="begin">
          <w:fldData xml:space="preserve">PEVuZE5vdGU+PENpdGU+PEF1dGhvcj5CdXNraXJrPC9BdXRob3I+PFllYXI+MTk1NjwvWWVhcj48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</w:fldData>
        </w:fldChar>
      </w:r>
      <w:r w:rsidR="00651EFF">
        <w:rPr>
          <w:rFonts w:ascii="Arial" w:hAnsi="Arial" w:cs="Lucida Grande"/>
          <w:szCs w:val="26"/>
        </w:rPr>
        <w:instrText xml:space="preserve"> ADDIN EN.CITE </w:instrText>
      </w:r>
      <w:r w:rsidR="00651EFF">
        <w:rPr>
          <w:rFonts w:ascii="Arial" w:hAnsi="Arial" w:cs="Lucida Grande"/>
          <w:szCs w:val="26"/>
        </w:rPr>
        <w:fldChar w:fldCharType="begin">
          <w:fldData xml:space="preserve">PEVuZE5vdGU+PENpdGU+PEF1dGhvcj5CdXNraXJrPC9BdXRob3I+PFllYXI+MTk1NjwvWWVhcj48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</w:fldData>
        </w:fldChar>
      </w:r>
      <w:r w:rsidR="00651EFF">
        <w:rPr>
          <w:rFonts w:ascii="Arial" w:hAnsi="Arial" w:cs="Lucida Grande"/>
          <w:szCs w:val="26"/>
        </w:rPr>
        <w:instrText xml:space="preserve"> ADDIN EN.CITE.DATA </w:instrText>
      </w:r>
      <w:r w:rsidR="00651EFF">
        <w:rPr>
          <w:rFonts w:ascii="Arial" w:hAnsi="Arial" w:cs="Lucida Grande"/>
          <w:szCs w:val="26"/>
        </w:rPr>
      </w:r>
      <w:r w:rsidR="00651EFF">
        <w:rPr>
          <w:rFonts w:ascii="Arial" w:hAnsi="Arial" w:cs="Lucida Grande"/>
          <w:szCs w:val="26"/>
        </w:rPr>
        <w:fldChar w:fldCharType="end"/>
      </w:r>
      <w:r w:rsidR="000A792A">
        <w:rPr>
          <w:rFonts w:ascii="Arial" w:hAnsi="Arial" w:cs="Lucida Grande"/>
          <w:szCs w:val="26"/>
        </w:rPr>
      </w:r>
      <w:r w:rsidR="000A792A">
        <w:rPr>
          <w:rFonts w:ascii="Arial" w:hAnsi="Arial" w:cs="Lucida Grande"/>
          <w:szCs w:val="26"/>
        </w:rPr>
        <w:fldChar w:fldCharType="separate"/>
      </w:r>
      <w:r w:rsidR="000A792A">
        <w:rPr>
          <w:rFonts w:ascii="Arial" w:hAnsi="Arial" w:cs="Lucida Grande"/>
          <w:noProof/>
          <w:szCs w:val="26"/>
        </w:rPr>
        <w:t>(Buskirk et al., 1956, Jones et al., 1977, Haapasalo et al., 2000, Ireland et al., 2013)</w:t>
      </w:r>
      <w:r w:rsidR="000A792A">
        <w:rPr>
          <w:rFonts w:ascii="Arial" w:hAnsi="Arial" w:cs="Lucida Grande"/>
          <w:szCs w:val="26"/>
        </w:rPr>
        <w:fldChar w:fldCharType="end"/>
      </w:r>
      <w:r w:rsidR="000A792A">
        <w:rPr>
          <w:rFonts w:ascii="Arial" w:hAnsi="Arial" w:cs="Lucida Grande"/>
          <w:szCs w:val="26"/>
        </w:rPr>
        <w:t>.</w:t>
      </w:r>
      <w:r>
        <w:rPr>
          <w:rFonts w:ascii="Arial" w:hAnsi="Arial" w:cs="Lucida Grande"/>
          <w:szCs w:val="26"/>
        </w:rPr>
        <w:t xml:space="preserve"> </w:t>
      </w:r>
      <w:r>
        <w:rPr>
          <w:rFonts w:ascii="Arial" w:hAnsi="Arial" w:cs="Lucida Grande"/>
          <w:noProof/>
          <w:szCs w:val="26"/>
        </w:rPr>
        <w:t>Studies in elite atlets showed beneficial effects of different activities on the site-s</w:t>
      </w:r>
      <w:r w:rsidR="00616297">
        <w:rPr>
          <w:rFonts w:ascii="Arial" w:hAnsi="Arial" w:cs="Lucida Grande"/>
          <w:noProof/>
          <w:szCs w:val="26"/>
        </w:rPr>
        <w:t>pecific bone mass. Rugby player</w:t>
      </w:r>
      <w:r>
        <w:rPr>
          <w:rFonts w:ascii="Arial" w:hAnsi="Arial" w:cs="Lucida Grande"/>
          <w:noProof/>
          <w:szCs w:val="26"/>
        </w:rPr>
        <w:t>s</w:t>
      </w:r>
      <w:r w:rsidR="004C2B9C">
        <w:rPr>
          <w:rFonts w:ascii="Arial" w:hAnsi="Arial" w:cs="Lucida Grande"/>
          <w:noProof/>
          <w:szCs w:val="26"/>
        </w:rPr>
        <w:t xml:space="preserve"> whose activities included </w:t>
      </w:r>
      <w:r>
        <w:rPr>
          <w:rFonts w:ascii="Arial" w:hAnsi="Arial" w:cs="Lucida Grande"/>
          <w:noProof/>
          <w:szCs w:val="26"/>
        </w:rPr>
        <w:t>running and strength training</w:t>
      </w:r>
      <w:r w:rsidR="00A86036">
        <w:rPr>
          <w:rFonts w:ascii="Arial" w:hAnsi="Arial" w:cs="Lucida Grande"/>
          <w:noProof/>
          <w:szCs w:val="26"/>
        </w:rPr>
        <w:t>, had higher arm and leg BMD,</w:t>
      </w:r>
      <w:r>
        <w:rPr>
          <w:rFonts w:ascii="Arial" w:hAnsi="Arial" w:cs="Lucida Grande"/>
          <w:noProof/>
          <w:szCs w:val="26"/>
        </w:rPr>
        <w:t xml:space="preserve"> while runners had the lowest arm BMD </w:t>
      </w:r>
      <w:r w:rsidR="004E0BDA">
        <w:rPr>
          <w:rFonts w:ascii="Arial" w:hAnsi="Arial" w:cs="Lucida Grande"/>
          <w:noProof/>
          <w:szCs w:val="26"/>
        </w:rPr>
        <w:fldChar w:fldCharType="begin"/>
      </w:r>
      <w:r w:rsidR="00A108A1">
        <w:rPr>
          <w:rFonts w:ascii="Arial" w:hAnsi="Arial" w:cs="Lucida Grande"/>
          <w:noProof/>
          <w:szCs w:val="26"/>
        </w:rPr>
        <w:instrText xml:space="preserve"> ADDIN EN.CITE &lt;EndNote&gt;&lt;Cite&gt;&lt;Author&gt;Nevill&lt;/Author&gt;&lt;Year&gt;2003&lt;/Year&gt;&lt;RecNum&gt;113&lt;/RecNum&gt;&lt;DisplayText&gt;(Nevill et al., 2003)&lt;/DisplayText&gt;&lt;record&gt;&lt;rec-number&gt;113&lt;/rec-number&gt;&lt;foreign-keys&gt;&lt;key app="EN" db-id="ae9rewfrpdttrheppfxxv0p4950wpd25r09x" timestamp="1520657883"&gt;113&lt;/key&gt;&lt;key app="ENWeb" db-id=""&gt;0&lt;/key&gt;&lt;/foreign-keys&gt;&lt;ref-type name="Journal Article"&gt;17&lt;/ref-type&gt;&lt;contributors&gt;&lt;authors&gt;&lt;author&gt;Nevill, A. M.&lt;/author&gt;&lt;author&gt;Holder, R. L.&lt;/author&gt;&lt;author&gt;Stewart, A. D.&lt;/author&gt;&lt;/authors&gt;&lt;/contributors&gt;&lt;titles&gt;&lt;title&gt;Modeling elite male athletes&amp;apos; peripheral bone mass, assessed using regional dual x- ray absorptiometry&lt;/title&gt;&lt;secondary-title&gt;Bone&lt;/secondary-title&gt;&lt;/titles&gt;&lt;periodical&gt;&lt;full-title&gt;Bone&lt;/full-title&gt;&lt;/periodical&gt;&lt;pages&gt;62-68&lt;/pages&gt;&lt;volume&gt;32&lt;/volume&gt;&lt;number&gt;1&lt;/number&gt;&lt;keywords&gt;&lt;keyword&gt;Confounding Variables&lt;/keyword&gt;&lt;keyword&gt;Projected Bone Area&lt;/keyword&gt;&lt;keyword&gt;Proportional Allometric Ancova Model&lt;/keyword&gt;&lt;/keywords&gt;&lt;dates&gt;&lt;year&gt;2003&lt;/year&gt;&lt;/dates&gt;&lt;isbn&gt;87563282&lt;/isbn&gt;&lt;urls&gt;&lt;/urls&gt;&lt;electronic-resource-num&gt;10.1016/S8756-3282(02)00927-4&lt;/electronic-resource-num&gt;&lt;/record&gt;&lt;/Cite&gt;&lt;/EndNote&gt;</w:instrText>
      </w:r>
      <w:r w:rsidR="004E0BDA">
        <w:rPr>
          <w:rFonts w:ascii="Arial" w:hAnsi="Arial" w:cs="Lucida Grande"/>
          <w:noProof/>
          <w:szCs w:val="26"/>
        </w:rPr>
        <w:fldChar w:fldCharType="separate"/>
      </w:r>
      <w:r w:rsidR="004E0BDA">
        <w:rPr>
          <w:rFonts w:ascii="Arial" w:hAnsi="Arial" w:cs="Lucida Grande"/>
          <w:noProof/>
          <w:szCs w:val="26"/>
        </w:rPr>
        <w:t>(Nevill et al., 2003)</w:t>
      </w:r>
      <w:r w:rsidR="004E0BDA">
        <w:rPr>
          <w:rFonts w:ascii="Arial" w:hAnsi="Arial" w:cs="Lucida Grande"/>
          <w:noProof/>
          <w:szCs w:val="26"/>
        </w:rPr>
        <w:fldChar w:fldCharType="end"/>
      </w:r>
      <w:r w:rsidR="004E0BDA">
        <w:rPr>
          <w:rFonts w:ascii="Arial" w:hAnsi="Arial" w:cs="Lucida Grande"/>
          <w:noProof/>
          <w:szCs w:val="26"/>
        </w:rPr>
        <w:t>.</w:t>
      </w:r>
      <w:r>
        <w:rPr>
          <w:rFonts w:ascii="Arial" w:hAnsi="Arial" w:cs="Lucida Grande"/>
          <w:noProof/>
          <w:szCs w:val="26"/>
        </w:rPr>
        <w:t xml:space="preserve"> </w:t>
      </w:r>
    </w:p>
    <w:p w14:paraId="66FAAE64" w14:textId="77777777" w:rsidR="005F3E1E" w:rsidRDefault="005F3E1E" w:rsidP="005F3E1E">
      <w:pPr>
        <w:spacing w:line="480" w:lineRule="auto"/>
        <w:jc w:val="both"/>
        <w:rPr>
          <w:rFonts w:ascii="Arial" w:hAnsi="Arial" w:cs="Lucida Grande"/>
          <w:noProof/>
          <w:szCs w:val="26"/>
        </w:rPr>
      </w:pPr>
    </w:p>
    <w:p w14:paraId="3A0111CA" w14:textId="77777777" w:rsidR="007B76C3" w:rsidRPr="005F3E1E" w:rsidRDefault="007B76C3" w:rsidP="005F3E1E">
      <w:pPr>
        <w:spacing w:line="480" w:lineRule="auto"/>
        <w:jc w:val="both"/>
        <w:rPr>
          <w:rFonts w:ascii="Arial" w:hAnsi="Arial" w:cs="Arial"/>
          <w:bCs/>
        </w:rPr>
      </w:pPr>
      <w:r>
        <w:rPr>
          <w:rFonts w:ascii="Arial" w:hAnsi="Arial" w:cs="Lucida Grande"/>
          <w:noProof/>
          <w:szCs w:val="26"/>
        </w:rPr>
        <w:t>There are many factors influencing on exercise-induced bone adaptation including strong site-sp</w:t>
      </w:r>
      <w:r w:rsidR="00616297">
        <w:rPr>
          <w:rFonts w:ascii="Arial" w:hAnsi="Arial" w:cs="Lucida Grande"/>
          <w:noProof/>
          <w:szCs w:val="26"/>
        </w:rPr>
        <w:t>ecific correlation between musc</w:t>
      </w:r>
      <w:r>
        <w:rPr>
          <w:rFonts w:ascii="Arial" w:hAnsi="Arial" w:cs="Lucida Grande"/>
          <w:noProof/>
          <w:szCs w:val="26"/>
        </w:rPr>
        <w:t xml:space="preserve">le size and bone adaptive response to an exercise </w:t>
      </w:r>
      <w:r w:rsidR="00527C9A">
        <w:rPr>
          <w:rFonts w:ascii="Arial" w:hAnsi="Arial" w:cs="Lucida Grande"/>
          <w:noProof/>
          <w:szCs w:val="26"/>
        </w:rPr>
        <w:fldChar w:fldCharType="begin"/>
      </w:r>
      <w:r w:rsidR="00651EFF">
        <w:rPr>
          <w:rFonts w:ascii="Arial" w:hAnsi="Arial" w:cs="Lucida Grande"/>
          <w:noProof/>
          <w:szCs w:val="26"/>
        </w:rPr>
        <w:instrText xml:space="preserve"> ADDIN EN.CITE &lt;EndNote&gt;&lt;Cite&gt;&lt;Author&gt;Ireland&lt;/Author&gt;&lt;Year&gt;2013&lt;/Year&gt;&lt;RecNum&gt;109&lt;/RecNum&gt;&lt;DisplayText&gt;(Ireland et al., 2013)&lt;/DisplayText&gt;&lt;record&gt;&lt;rec-number&gt;109&lt;/rec-number&gt;&lt;foreign-keys&gt;&lt;key app="EN" db-id="ae9rewfrpdttrheppfxxv0p4950wpd25r09x" timestamp="1520657882"&gt;109&lt;/key&gt;&lt;/foreign-keys&gt;&lt;ref-type name="Journal Article"&gt;17&lt;/ref-type&gt;&lt;contributors&gt;&lt;authors&gt;&lt;author&gt;Ireland, A.&lt;/author&gt;&lt;author&gt;Maden-Wilkinson, T.&lt;/author&gt;&lt;author&gt;McPhee, J.&lt;/author&gt;&lt;author&gt;Cooke, K. &lt;/author&gt;&lt;author&gt;Narici, Marco&lt;/author&gt;&lt;author&gt;Degens, H.&lt;/author&gt;&lt;author&gt;Rittweger, J.&lt;/author&gt;&lt;/authors&gt;&lt;/contributors&gt;&lt;titles&gt;&lt;title&gt;Upper limb muscle-bone asymmetries and bone adaptation in elite youth tennis players.&lt;/title&gt;&lt;secondary-title&gt;Medicine and Science in Sports and Exercise&lt;/secondary-title&gt;&lt;/titles&gt;&lt;periodical&gt;&lt;full-title&gt;Medicine and Science in Sports and Exercise&lt;/full-title&gt;&lt;/periodical&gt;&lt;pages&gt;1749-58&lt;/pages&gt;&lt;volume&gt;45(9)&lt;/volume&gt;&lt;dates&gt;&lt;year&gt;2013&lt;/year&gt;&lt;/dates&gt;&lt;urls&gt;&lt;/urls&gt;&lt;/record&gt;&lt;/Cite&gt;&lt;/EndNote&gt;</w:instrText>
      </w:r>
      <w:r w:rsidR="00527C9A">
        <w:rPr>
          <w:rFonts w:ascii="Arial" w:hAnsi="Arial" w:cs="Lucida Grande"/>
          <w:noProof/>
          <w:szCs w:val="26"/>
        </w:rPr>
        <w:fldChar w:fldCharType="separate"/>
      </w:r>
      <w:r w:rsidR="00527C9A">
        <w:rPr>
          <w:rFonts w:ascii="Arial" w:hAnsi="Arial" w:cs="Lucida Grande"/>
          <w:noProof/>
          <w:szCs w:val="26"/>
        </w:rPr>
        <w:t>(Ireland et al., 2013)</w:t>
      </w:r>
      <w:r w:rsidR="00527C9A">
        <w:rPr>
          <w:rFonts w:ascii="Arial" w:hAnsi="Arial" w:cs="Lucida Grande"/>
          <w:noProof/>
          <w:szCs w:val="26"/>
        </w:rPr>
        <w:fldChar w:fldCharType="end"/>
      </w:r>
      <w:r w:rsidR="00527C9A">
        <w:rPr>
          <w:rFonts w:ascii="Arial" w:hAnsi="Arial" w:cs="Lucida Grande"/>
          <w:noProof/>
          <w:szCs w:val="26"/>
        </w:rPr>
        <w:t>.</w:t>
      </w:r>
      <w:r>
        <w:rPr>
          <w:rFonts w:ascii="Arial" w:hAnsi="Arial" w:cs="Lucida Grande"/>
          <w:noProof/>
          <w:szCs w:val="26"/>
        </w:rPr>
        <w:t xml:space="preserve"> Longitudinal studies in children reveaed that the early onset of independent walking in childhood and, therefore, early exposure to loading and muscular forces, may determine greater bone strength in later childhood and adulthood </w:t>
      </w:r>
      <w:r w:rsidR="00C57F1B">
        <w:rPr>
          <w:rFonts w:ascii="Arial" w:hAnsi="Arial" w:cs="Lucida Grande"/>
          <w:noProof/>
          <w:szCs w:val="26"/>
        </w:rPr>
        <w:fldChar w:fldCharType="begin"/>
      </w:r>
      <w:r w:rsidR="00A108A1">
        <w:rPr>
          <w:rFonts w:ascii="Arial" w:hAnsi="Arial" w:cs="Lucida Grande"/>
          <w:noProof/>
          <w:szCs w:val="26"/>
        </w:rPr>
        <w:instrText xml:space="preserve"> ADDIN EN.CITE &lt;EndNote&gt;&lt;Cite&gt;&lt;Author&gt;Ireland&lt;/Author&gt;&lt;Year&gt;2014&lt;/Year&gt;&lt;RecNum&gt;359&lt;/RecNum&gt;&lt;DisplayText&gt;(Ireland et al., 2014b)&lt;/DisplayText&gt;&lt;record&gt;&lt;rec-number&gt;359&lt;/rec-number&gt;&lt;foreign-keys&gt;&lt;key app="EN" db-id="ae9rewfrpdttrheppfxxv0p4950wpd25r09x" timestamp="1520658299"&gt;359&lt;/key&gt;&lt;/foreign-keys&gt;&lt;ref-type name="Journal Article"&gt;17&lt;/ref-type&gt;&lt;contributors&gt;&lt;authors&gt;&lt;author&gt;Ireland, Alex&lt;/author&gt;&lt;author&gt;Rittweger, Jörn&lt;/author&gt;&lt;author&gt;Schönau, Eckhard&lt;/author&gt;&lt;author&gt;Lamberg-Allardt, Christel&lt;/author&gt;&lt;author&gt;Viljakainen, Heli&lt;/author&gt;&lt;/authors&gt;&lt;/contributors&gt;&lt;titles&gt;&lt;title&gt;Time since onset of walking predicts tibial bone strength in early childhood&lt;/title&gt;&lt;secondary-title&gt;Bone&lt;/secondary-title&gt;&lt;/titles&gt;&lt;periodical&gt;&lt;full-title&gt;Bone&lt;/full-title&gt;&lt;/periodical&gt;&lt;pages&gt;76-84&lt;/pages&gt;&lt;volume&gt;68&lt;/volume&gt;&lt;keywords&gt;&lt;keyword&gt;Bmd&lt;/keyword&gt;&lt;keyword&gt;Pqct&lt;/keyword&gt;&lt;keyword&gt;Physical Activity&lt;/keyword&gt;&lt;keyword&gt;Growth&lt;/keyword&gt;&lt;/keywords&gt;&lt;dates&gt;&lt;year&gt;2014&lt;/year&gt;&lt;/dates&gt;&lt;isbn&gt;8756-3282&lt;/isbn&gt;&lt;urls&gt;&lt;/urls&gt;&lt;electronic-resource-num&gt;10.1016/j.bone.2014.08.003&lt;/electronic-resource-num&gt;&lt;/record&gt;&lt;/Cite&gt;&lt;/EndNote&gt;</w:instrText>
      </w:r>
      <w:r w:rsidR="00C57F1B">
        <w:rPr>
          <w:rFonts w:ascii="Arial" w:hAnsi="Arial" w:cs="Lucida Grande"/>
          <w:noProof/>
          <w:szCs w:val="26"/>
        </w:rPr>
        <w:fldChar w:fldCharType="separate"/>
      </w:r>
      <w:r w:rsidR="00C57F1B">
        <w:rPr>
          <w:rFonts w:ascii="Arial" w:hAnsi="Arial" w:cs="Lucida Grande"/>
          <w:noProof/>
          <w:szCs w:val="26"/>
        </w:rPr>
        <w:t>(Ireland et al., 2014b)</w:t>
      </w:r>
      <w:r w:rsidR="00C57F1B">
        <w:rPr>
          <w:rFonts w:ascii="Arial" w:hAnsi="Arial" w:cs="Lucida Grande"/>
          <w:noProof/>
          <w:szCs w:val="26"/>
        </w:rPr>
        <w:fldChar w:fldCharType="end"/>
      </w:r>
      <w:r w:rsidR="00C57F1B">
        <w:rPr>
          <w:rFonts w:ascii="Arial" w:hAnsi="Arial" w:cs="Lucida Grande"/>
          <w:noProof/>
          <w:szCs w:val="26"/>
        </w:rPr>
        <w:t>.</w:t>
      </w:r>
      <w:r>
        <w:rPr>
          <w:rFonts w:ascii="Arial" w:hAnsi="Arial" w:cs="Lucida Grande"/>
          <w:noProof/>
          <w:szCs w:val="26"/>
        </w:rPr>
        <w:t xml:space="preserve"> </w:t>
      </w:r>
      <w:r>
        <w:rPr>
          <w:rFonts w:ascii="Arial" w:hAnsi="Arial" w:cs="Lucida Grande"/>
          <w:szCs w:val="26"/>
        </w:rPr>
        <w:t xml:space="preserve">In situations of reduced weight bearing, skeletal unloading and disuse, a reduction of bone mass is observed </w:t>
      </w:r>
      <w:r>
        <w:rPr>
          <w:rFonts w:ascii="Arial" w:hAnsi="Arial" w:cs="Lucida Grande"/>
          <w:szCs w:val="26"/>
        </w:rPr>
        <w:fldChar w:fldCharType="begin">
          <w:fldData xml:space="preserve">PEVuZE5vdGU+PENpdGU+PEF1dGhvcj5Fc2VyPC9BdXRob3I+PFllYXI+MjAwNDwvWWVhcj48UmVj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</w:fldData>
        </w:fldChar>
      </w:r>
      <w:r w:rsidR="0000415D">
        <w:rPr>
          <w:rFonts w:ascii="Arial" w:hAnsi="Arial" w:cs="Lucida Grande"/>
          <w:szCs w:val="26"/>
        </w:rPr>
        <w:instrText xml:space="preserve"> ADDIN EN.CITE </w:instrText>
      </w:r>
      <w:r w:rsidR="0000415D">
        <w:rPr>
          <w:rFonts w:ascii="Arial" w:hAnsi="Arial" w:cs="Lucida Grande"/>
          <w:szCs w:val="26"/>
        </w:rPr>
        <w:fldChar w:fldCharType="begin">
          <w:fldData xml:space="preserve">PEVuZE5vdGU+PENpdGU+PEF1dGhvcj5Fc2VyPC9BdXRob3I+PFllYXI+MjAwNDwvWWVhcj48UmVj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</w:fldData>
        </w:fldChar>
      </w:r>
      <w:r w:rsidR="0000415D">
        <w:rPr>
          <w:rFonts w:ascii="Arial" w:hAnsi="Arial" w:cs="Lucida Grande"/>
          <w:szCs w:val="26"/>
        </w:rPr>
        <w:instrText xml:space="preserve"> ADDIN EN.CITE.DATA </w:instrText>
      </w:r>
      <w:r w:rsidR="0000415D">
        <w:rPr>
          <w:rFonts w:ascii="Arial" w:hAnsi="Arial" w:cs="Lucida Grande"/>
          <w:szCs w:val="26"/>
        </w:rPr>
      </w:r>
      <w:r w:rsidR="0000415D">
        <w:rPr>
          <w:rFonts w:ascii="Arial" w:hAnsi="Arial" w:cs="Lucida Grande"/>
          <w:szCs w:val="26"/>
        </w:rPr>
        <w:fldChar w:fldCharType="end"/>
      </w:r>
      <w:r>
        <w:rPr>
          <w:rFonts w:ascii="Arial" w:hAnsi="Arial" w:cs="Lucida Grande"/>
          <w:szCs w:val="26"/>
        </w:rPr>
      </w:r>
      <w:r>
        <w:rPr>
          <w:rFonts w:ascii="Arial" w:hAnsi="Arial" w:cs="Lucida Grande"/>
          <w:szCs w:val="26"/>
        </w:rPr>
        <w:fldChar w:fldCharType="separate"/>
      </w:r>
      <w:r>
        <w:rPr>
          <w:rFonts w:ascii="Arial" w:hAnsi="Arial" w:cs="Lucida Grande"/>
          <w:noProof/>
          <w:szCs w:val="26"/>
        </w:rPr>
        <w:t>(Eser et al., 2004, Bass et al., 2005, Rittweger et al., 2005, Rittweger et al., 2006, Sherk et al., 2008, Mccarthy et al., 2011)</w:t>
      </w:r>
      <w:r>
        <w:rPr>
          <w:rFonts w:ascii="Arial" w:hAnsi="Arial" w:cs="Lucida Grande"/>
          <w:szCs w:val="26"/>
        </w:rPr>
        <w:fldChar w:fldCharType="end"/>
      </w:r>
      <w:r>
        <w:rPr>
          <w:rFonts w:ascii="Arial" w:hAnsi="Arial" w:cs="Lucida Grande"/>
          <w:szCs w:val="26"/>
        </w:rPr>
        <w:t xml:space="preserve">. For instance, in healthy adult astronauts free fall during space flight causes decrease in bone formation and increase in bone resorption </w:t>
      </w:r>
      <w:r>
        <w:rPr>
          <w:rFonts w:ascii="Arial" w:hAnsi="Arial" w:cs="Lucida Grande"/>
          <w:szCs w:val="26"/>
        </w:rPr>
        <w:fldChar w:fldCharType="begin"/>
      </w:r>
      <w:r w:rsidR="0000415D">
        <w:rPr>
          <w:rFonts w:ascii="Arial" w:hAnsi="Arial" w:cs="Lucida Grande"/>
          <w:szCs w:val="26"/>
        </w:rPr>
        <w:instrText xml:space="preserve"> ADDIN EN.CITE &lt;EndNote&gt;&lt;Cite&gt;&lt;Author&gt;Carmeliet&lt;/Author&gt;&lt;Year&gt;2001&lt;/Year&gt;&lt;RecNum&gt;114&lt;/RecNum&gt;&lt;DisplayText&gt;(Carmeliet et al., 2001, Spector, 2009)&lt;/DisplayText&gt;&lt;record&gt;&lt;rec-number&gt;114&lt;/rec-number&gt;&lt;foreign-keys&gt;&lt;key app="EN" db-id="ae9rewfrpdttrheppfxxv0p4950wpd25r09x" timestamp="1520657885"&gt;114&lt;/key&gt;&lt;/foreign-keys&gt;&lt;ref-type name="Journal Article"&gt;17&lt;/ref-type&gt;&lt;contributors&gt;&lt;authors&gt;&lt;author&gt;Carmeliet, G.&lt;/author&gt;&lt;author&gt;Vico,L.&lt;/author&gt;&lt;author&gt;Bouillon, R.&lt;/author&gt;&lt;/authors&gt;&lt;/contributors&gt;&lt;titles&gt;&lt;title&gt;Space flight: a challenge for normal bone homeostasis.&lt;/title&gt;&lt;secondary-title&gt;Critical Reviews In Eukaryotic Gene Expression&lt;/secondary-title&gt;&lt;/titles&gt;&lt;periodical&gt;&lt;full-title&gt;Critical Reviews in Eukaryotic Gene Expression&lt;/full-title&gt;&lt;/periodical&gt;&lt;pages&gt;131-44&lt;/pages&gt;&lt;volume&gt;11&lt;/volume&gt;&lt;number&gt;1-3&lt;/number&gt;&lt;dates&gt;&lt;year&gt;2001&lt;/year&gt;&lt;/dates&gt;&lt;urls&gt;&lt;/urls&gt;&lt;/record&gt;&lt;/Cite&gt;&lt;Cite&gt;&lt;Author&gt;Spector&lt;/Author&gt;&lt;Year&gt;2009&lt;/Year&gt;&lt;RecNum&gt;204&lt;/RecNum&gt;&lt;record&gt;&lt;rec-number&gt;204&lt;/rec-number&gt;&lt;foreign-keys&gt;&lt;key app="EN" db-id="ae9rewfrpdttrheppfxxv0p4950wpd25r09x" timestamp="1520658153"&gt;204&lt;/key&gt;&lt;key app="ENWeb" db-id=""&gt;0&lt;/key&gt;&lt;/foreign-keys&gt;&lt;ref-type name="Journal Article"&gt;17&lt;/ref-type&gt;&lt;contributors&gt;&lt;authors&gt;&lt;author&gt;Spector, Elisabeth R.; Smith, Scott M.; Sibonga, Jean D.&lt;/author&gt;&lt;/authors&gt;&lt;/contributors&gt;&lt;titles&gt;&lt;title&gt;Skeletal Effects of Long-Duration Head-Down Bed Rest&lt;/title&gt;&lt;secondary-title&gt;Aviation, Space, and Environmental Medicine&lt;/secondary-title&gt;&lt;/titles&gt;&lt;periodical&gt;&lt;full-title&gt;Aviation, Space, and Environmental Medicine&lt;/full-title&gt;&lt;/periodical&gt;&lt;pages&gt;A23–A8&lt;/pages&gt;&lt;volume&gt;80(5,Suppl.)&lt;/volume&gt;&lt;dates&gt;&lt;year&gt;2009&lt;/year&gt;&lt;/dates&gt;&lt;urls&gt;&lt;/urls&gt;&lt;/record&gt;&lt;/Cite&gt;&lt;/EndNote&gt;</w:instrText>
      </w:r>
      <w:r>
        <w:rPr>
          <w:rFonts w:ascii="Arial" w:hAnsi="Arial" w:cs="Lucida Grande"/>
          <w:szCs w:val="26"/>
        </w:rPr>
        <w:fldChar w:fldCharType="separate"/>
      </w:r>
      <w:r>
        <w:rPr>
          <w:rFonts w:ascii="Arial" w:hAnsi="Arial" w:cs="Lucida Grande"/>
          <w:noProof/>
          <w:szCs w:val="26"/>
        </w:rPr>
        <w:t>(Carmeliet et al., 2001, Spector, 2009)</w:t>
      </w:r>
      <w:r>
        <w:rPr>
          <w:rFonts w:ascii="Arial" w:hAnsi="Arial" w:cs="Lucida Grande"/>
          <w:szCs w:val="26"/>
        </w:rPr>
        <w:fldChar w:fldCharType="end"/>
      </w:r>
      <w:r>
        <w:rPr>
          <w:rFonts w:ascii="Arial" w:hAnsi="Arial" w:cs="Lucida Grande"/>
          <w:szCs w:val="26"/>
        </w:rPr>
        <w:t xml:space="preserve">. </w:t>
      </w:r>
    </w:p>
    <w:p w14:paraId="56143598" w14:textId="77777777" w:rsidR="007B76C3" w:rsidRPr="001764B8" w:rsidRDefault="007B76C3" w:rsidP="007B76C3">
      <w:pPr>
        <w:widowControl w:val="0"/>
        <w:tabs>
          <w:tab w:val="left" w:pos="220"/>
          <w:tab w:val="left" w:pos="720"/>
        </w:tabs>
        <w:autoSpaceDE w:val="0"/>
        <w:autoSpaceDN w:val="0"/>
        <w:adjustRightInd w:val="0"/>
        <w:spacing w:line="480" w:lineRule="auto"/>
        <w:jc w:val="both"/>
        <w:rPr>
          <w:rFonts w:ascii="Arial" w:hAnsi="Arial" w:cs="Lucida Grande"/>
          <w:szCs w:val="26"/>
        </w:rPr>
      </w:pPr>
    </w:p>
    <w:p w14:paraId="6058DF6F" w14:textId="77777777" w:rsidR="0008605F" w:rsidRPr="008C5A59" w:rsidRDefault="007B76C3" w:rsidP="008C5A59">
      <w:pPr>
        <w:spacing w:line="480" w:lineRule="auto"/>
        <w:jc w:val="both"/>
        <w:rPr>
          <w:rFonts w:ascii="Arial" w:hAnsi="Arial"/>
        </w:rPr>
      </w:pPr>
      <w:r w:rsidRPr="00DE5E24">
        <w:rPr>
          <w:rFonts w:ascii="Arial" w:hAnsi="Arial"/>
        </w:rPr>
        <w:t>Mechanical loading</w:t>
      </w:r>
      <w:r w:rsidRPr="009F2B6E">
        <w:rPr>
          <w:rFonts w:ascii="Arial" w:hAnsi="Arial"/>
          <w:b/>
        </w:rPr>
        <w:t xml:space="preserve"> </w:t>
      </w:r>
      <w:r>
        <w:rPr>
          <w:rFonts w:ascii="Arial" w:hAnsi="Arial"/>
        </w:rPr>
        <w:t xml:space="preserve">is a controllable intervention that can increase bone mass and architecture in structurally relevant locations. Mechanical loading increases bone formation and decreases bone resorption shifting the balance of bone remodelling in favour of bone formation </w:t>
      </w:r>
      <w:r>
        <w:rPr>
          <w:rFonts w:ascii="Arial" w:hAnsi="Arial"/>
        </w:rPr>
        <w:fldChar w:fldCharType="begin">
          <w:fldData xml:space="preserve">PEVuZE5vdGU+PENpdGU+PEF1dGhvcj5IaWxsYW08L0F1dGhvcj48WWVhcj4xOTk1PC9ZZWFyPjxS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==
</w:fldData>
        </w:fldChar>
      </w:r>
      <w:r w:rsidR="00651EFF">
        <w:rPr>
          <w:rFonts w:ascii="Arial" w:hAnsi="Arial"/>
        </w:rPr>
        <w:instrText xml:space="preserve"> ADDIN EN.CITE </w:instrText>
      </w:r>
      <w:r w:rsidR="00651EFF">
        <w:rPr>
          <w:rFonts w:ascii="Arial" w:hAnsi="Arial"/>
        </w:rPr>
        <w:fldChar w:fldCharType="begin">
          <w:fldData xml:space="preserve">PEVuZE5vdGU+PENpdGU+PEF1dGhvcj5IaWxsYW08L0F1dGhvcj48WWVhcj4xOTk1PC9ZZWFyPjxS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==
</w:fldData>
        </w:fldChar>
      </w:r>
      <w:r w:rsidR="00651EFF">
        <w:rPr>
          <w:rFonts w:ascii="Arial" w:hAnsi="Arial"/>
        </w:rPr>
        <w:instrText xml:space="preserve"> ADDIN EN.CITE.DATA </w:instrText>
      </w:r>
      <w:r w:rsidR="00651EFF">
        <w:rPr>
          <w:rFonts w:ascii="Arial" w:hAnsi="Arial"/>
        </w:rPr>
      </w:r>
      <w:r w:rsidR="00651EFF">
        <w:rPr>
          <w:rFonts w:ascii="Arial" w:hAnsi="Arial"/>
        </w:rPr>
        <w:fldChar w:fldCharType="end"/>
      </w:r>
      <w:r>
        <w:rPr>
          <w:rFonts w:ascii="Arial" w:hAnsi="Arial"/>
        </w:rPr>
      </w:r>
      <w:r>
        <w:rPr>
          <w:rFonts w:ascii="Arial" w:hAnsi="Arial"/>
        </w:rPr>
        <w:fldChar w:fldCharType="separate"/>
      </w:r>
      <w:r w:rsidR="00951583">
        <w:rPr>
          <w:rFonts w:ascii="Arial" w:hAnsi="Arial"/>
          <w:noProof/>
        </w:rPr>
        <w:t>(Hillam and Skerry, 1995, De Souza et al., 2005a)</w:t>
      </w:r>
      <w:r>
        <w:rPr>
          <w:rFonts w:ascii="Arial" w:hAnsi="Arial"/>
        </w:rPr>
        <w:fldChar w:fldCharType="end"/>
      </w:r>
      <w:r>
        <w:rPr>
          <w:rFonts w:ascii="Arial" w:hAnsi="Arial"/>
        </w:rPr>
        <w:t xml:space="preserve">. In contrast, disuse promotes osteoclastogenesis and suppresses osteoblast activity reducing the bone formation. The responses of bone to loading or disuse are complex, since the bone cells involved in sensing, communicating and responding to the changes in bone microenvironment and </w:t>
      </w:r>
      <w:r>
        <w:rPr>
          <w:rFonts w:ascii="Arial" w:hAnsi="Arial"/>
        </w:rPr>
        <w:lastRenderedPageBreak/>
        <w:t xml:space="preserve">mechanical demands, are affected by numerous local and systemic influences </w:t>
      </w:r>
      <w:r>
        <w:rPr>
          <w:rFonts w:ascii="Arial" w:hAnsi="Arial"/>
        </w:rPr>
        <w:fldChar w:fldCharType="begin">
          <w:fldData xml:space="preserve">PEVuZE5vdGU+PENpdGU+PEF1dGhvcj5Ta2Vycnk8L0F1dGhvcj48WWVhcj4xOTk1PC9ZZWFyPjxS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</w:fldData>
        </w:fldChar>
      </w:r>
      <w:r w:rsidR="00A108A1">
        <w:rPr>
          <w:rFonts w:ascii="Arial" w:hAnsi="Arial"/>
        </w:rPr>
        <w:instrText xml:space="preserve"> ADDIN EN.CITE </w:instrText>
      </w:r>
      <w:r w:rsidR="00A108A1">
        <w:rPr>
          <w:rFonts w:ascii="Arial" w:hAnsi="Arial"/>
        </w:rPr>
        <w:fldChar w:fldCharType="begin">
          <w:fldData xml:space="preserve">PEVuZE5vdGU+PENpdGU+PEF1dGhvcj5Ta2Vycnk8L0F1dGhvcj48WWVhcj4xOTk1PC9ZZWFyPjxS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</w:fldData>
        </w:fldChar>
      </w:r>
      <w:r w:rsidR="00A108A1">
        <w:rPr>
          <w:rFonts w:ascii="Arial" w:hAnsi="Arial"/>
        </w:rPr>
        <w:instrText xml:space="preserve"> ADDIN EN.CITE.DATA </w:instrText>
      </w:r>
      <w:r w:rsidR="00A108A1">
        <w:rPr>
          <w:rFonts w:ascii="Arial" w:hAnsi="Arial"/>
        </w:rPr>
      </w:r>
      <w:r w:rsidR="00A108A1">
        <w:rPr>
          <w:rFonts w:ascii="Arial" w:hAnsi="Arial"/>
        </w:rPr>
        <w:fldChar w:fldCharType="end"/>
      </w:r>
      <w:r>
        <w:rPr>
          <w:rFonts w:ascii="Arial" w:hAnsi="Arial"/>
        </w:rPr>
      </w:r>
      <w:r>
        <w:rPr>
          <w:rFonts w:ascii="Arial" w:hAnsi="Arial"/>
        </w:rPr>
        <w:fldChar w:fldCharType="separate"/>
      </w:r>
      <w:r w:rsidR="001F153E" w:rsidRPr="001F153E">
        <w:rPr>
          <w:rFonts w:ascii="Arial" w:hAnsi="Arial"/>
          <w:noProof/>
        </w:rPr>
        <w:t>(Skerry and Lanyon, 1995, Skerry, 2008, Lanyon et al., 2009)</w:t>
      </w:r>
      <w:r>
        <w:rPr>
          <w:rFonts w:ascii="Arial" w:hAnsi="Arial"/>
        </w:rPr>
        <w:fldChar w:fldCharType="end"/>
      </w:r>
      <w:r>
        <w:rPr>
          <w:rFonts w:ascii="Arial" w:hAnsi="Arial"/>
        </w:rPr>
        <w:t xml:space="preserve">. Further details of bone’s adaptive response to mechanical loading will be presented within relevant chapters of this thesis. </w:t>
      </w:r>
    </w:p>
    <w:p w14:paraId="4C808FA6" w14:textId="77777777" w:rsidR="007B76C3" w:rsidRPr="0008605F" w:rsidRDefault="007B76C3" w:rsidP="00D93BE4">
      <w:pPr>
        <w:pStyle w:val="Heading3"/>
        <w:spacing w:line="480" w:lineRule="auto"/>
        <w:jc w:val="both"/>
        <w:rPr>
          <w:rFonts w:ascii="Arial" w:hAnsi="Arial" w:cs="Arial"/>
          <w:color w:val="auto"/>
        </w:rPr>
      </w:pPr>
      <w:bookmarkStart w:id="22" w:name="_Toc383723847"/>
      <w:r w:rsidRPr="0008605F">
        <w:rPr>
          <w:rFonts w:ascii="Arial" w:hAnsi="Arial" w:cs="Arial"/>
          <w:color w:val="auto"/>
        </w:rPr>
        <w:t xml:space="preserve">1.2.1 </w:t>
      </w:r>
      <w:proofErr w:type="gramStart"/>
      <w:r w:rsidRPr="0008605F">
        <w:rPr>
          <w:rFonts w:ascii="Arial" w:hAnsi="Arial" w:cs="Arial"/>
          <w:color w:val="auto"/>
        </w:rPr>
        <w:t>The</w:t>
      </w:r>
      <w:proofErr w:type="gramEnd"/>
      <w:r w:rsidRPr="0008605F">
        <w:rPr>
          <w:rFonts w:ascii="Arial" w:hAnsi="Arial" w:cs="Arial"/>
          <w:color w:val="auto"/>
        </w:rPr>
        <w:t xml:space="preserve"> mechanostat</w:t>
      </w:r>
      <w:bookmarkEnd w:id="22"/>
      <w:r w:rsidRPr="0008605F">
        <w:rPr>
          <w:rFonts w:ascii="Arial" w:hAnsi="Arial" w:cs="Arial"/>
          <w:color w:val="auto"/>
        </w:rPr>
        <w:t xml:space="preserve"> </w:t>
      </w:r>
    </w:p>
    <w:p w14:paraId="7B13A37A" w14:textId="77777777" w:rsidR="0094576F" w:rsidRDefault="007B76C3" w:rsidP="007B76C3">
      <w:pPr>
        <w:widowControl w:val="0"/>
        <w:tabs>
          <w:tab w:val="left" w:pos="220"/>
          <w:tab w:val="left" w:pos="720"/>
        </w:tabs>
        <w:autoSpaceDE w:val="0"/>
        <w:autoSpaceDN w:val="0"/>
        <w:adjustRightInd w:val="0"/>
        <w:spacing w:line="480" w:lineRule="auto"/>
        <w:jc w:val="both"/>
        <w:rPr>
          <w:rFonts w:ascii="Arial" w:hAnsi="Arial" w:cs="Lucida Grande"/>
          <w:szCs w:val="26"/>
        </w:rPr>
      </w:pPr>
      <w:r>
        <w:rPr>
          <w:rFonts w:ascii="Arial" w:hAnsi="Arial"/>
        </w:rPr>
        <w:t>The physiological link between exercise and bone was shown by findings on model organisms over 30 years ago that the skeleton is responsive to local mechanical strain</w:t>
      </w:r>
      <w:r>
        <w:rPr>
          <w:rStyle w:val="FootnoteReference"/>
          <w:rFonts w:ascii="Arial" w:hAnsi="Arial"/>
        </w:rPr>
        <w:footnoteReference w:id="1"/>
      </w:r>
      <w:r>
        <w:rPr>
          <w:rFonts w:ascii="Arial" w:hAnsi="Arial"/>
        </w:rPr>
        <w:t xml:space="preserve"> </w:t>
      </w:r>
      <w:r>
        <w:rPr>
          <w:rFonts w:ascii="Arial" w:hAnsi="Arial"/>
        </w:rPr>
        <w:fldChar w:fldCharType="begin">
          <w:fldData xml:space="preserve">PEVuZE5vdGU+PENpdGU+PEF1dGhvcj5SdWJpbjwvQXV0aG9yPjxZZWFyPjE5ODQ8L1llYXI+PFJl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</w:fldData>
        </w:fldChar>
      </w:r>
      <w:r w:rsidR="0000415D">
        <w:rPr>
          <w:rFonts w:ascii="Arial" w:hAnsi="Arial"/>
        </w:rPr>
        <w:instrText xml:space="preserve"> ADDIN EN.CITE </w:instrText>
      </w:r>
      <w:r w:rsidR="0000415D">
        <w:rPr>
          <w:rFonts w:ascii="Arial" w:hAnsi="Arial"/>
        </w:rPr>
        <w:fldChar w:fldCharType="begin">
          <w:fldData xml:space="preserve">PEVuZE5vdGU+PENpdGU+PEF1dGhvcj5SdWJpbjwvQXV0aG9yPjxZZWFyPjE5ODQ8L1llYXI+PFJl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Pr>
          <w:rFonts w:ascii="Arial" w:hAnsi="Arial"/>
        </w:rPr>
      </w:r>
      <w:r>
        <w:rPr>
          <w:rFonts w:ascii="Arial" w:hAnsi="Arial"/>
        </w:rPr>
        <w:fldChar w:fldCharType="separate"/>
      </w:r>
      <w:r>
        <w:rPr>
          <w:rFonts w:ascii="Arial" w:hAnsi="Arial"/>
          <w:noProof/>
        </w:rPr>
        <w:t>(Rubin and Lanyon, 1984, Skerry, 2008)</w:t>
      </w:r>
      <w:r>
        <w:rPr>
          <w:rFonts w:ascii="Arial" w:hAnsi="Arial"/>
        </w:rPr>
        <w:fldChar w:fldCharType="end"/>
      </w:r>
      <w:r>
        <w:rPr>
          <w:rFonts w:ascii="Arial" w:hAnsi="Arial"/>
        </w:rPr>
        <w:t xml:space="preserve">. In 1960s </w:t>
      </w:r>
      <w:r>
        <w:rPr>
          <w:rFonts w:ascii="Arial" w:hAnsi="Arial" w:cs="Lucida Grande"/>
          <w:szCs w:val="26"/>
        </w:rPr>
        <w:t xml:space="preserve">Harold Frost first proposed the theory of the ‘mechanostat’, described as a homeostatic feedback mechanism, which maintains appropriate bone mass and architecture for habitual activity </w:t>
      </w:r>
      <w:r>
        <w:rPr>
          <w:rFonts w:ascii="Arial" w:hAnsi="Arial" w:cs="Lucida Grande"/>
          <w:szCs w:val="26"/>
        </w:rPr>
        <w:fldChar w:fldCharType="begin">
          <w:fldData xml:space="preserve">PEVuZE5vdGU+PENpdGU+PEF1dGhvcj5Gcm9zdDwvQXV0aG9yPjxZZWFyPjE5ODc8L1llYXI+PFJl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</w:fldData>
        </w:fldChar>
      </w:r>
      <w:r w:rsidR="00651EFF">
        <w:rPr>
          <w:rFonts w:ascii="Arial" w:hAnsi="Arial" w:cs="Lucida Grande"/>
          <w:szCs w:val="26"/>
        </w:rPr>
        <w:instrText xml:space="preserve"> ADDIN EN.CITE </w:instrText>
      </w:r>
      <w:r w:rsidR="00651EFF">
        <w:rPr>
          <w:rFonts w:ascii="Arial" w:hAnsi="Arial" w:cs="Lucida Grande"/>
          <w:szCs w:val="26"/>
        </w:rPr>
        <w:fldChar w:fldCharType="begin">
          <w:fldData xml:space="preserve">PEVuZE5vdGU+PENpdGU+PEF1dGhvcj5Gcm9zdDwvQXV0aG9yPjxZZWFyPjE5ODc8L1llYXI+PFJl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</w:fldData>
        </w:fldChar>
      </w:r>
      <w:r w:rsidR="00651EFF">
        <w:rPr>
          <w:rFonts w:ascii="Arial" w:hAnsi="Arial" w:cs="Lucida Grande"/>
          <w:szCs w:val="26"/>
        </w:rPr>
        <w:instrText xml:space="preserve"> ADDIN EN.CITE.DATA </w:instrText>
      </w:r>
      <w:r w:rsidR="00651EFF">
        <w:rPr>
          <w:rFonts w:ascii="Arial" w:hAnsi="Arial" w:cs="Lucida Grande"/>
          <w:szCs w:val="26"/>
        </w:rPr>
      </w:r>
      <w:r w:rsidR="00651EFF">
        <w:rPr>
          <w:rFonts w:ascii="Arial" w:hAnsi="Arial" w:cs="Lucida Grande"/>
          <w:szCs w:val="26"/>
        </w:rPr>
        <w:fldChar w:fldCharType="end"/>
      </w:r>
      <w:r>
        <w:rPr>
          <w:rFonts w:ascii="Arial" w:hAnsi="Arial" w:cs="Lucida Grande"/>
          <w:szCs w:val="26"/>
        </w:rPr>
      </w:r>
      <w:r>
        <w:rPr>
          <w:rFonts w:ascii="Arial" w:hAnsi="Arial" w:cs="Lucida Grande"/>
          <w:szCs w:val="26"/>
        </w:rPr>
        <w:fldChar w:fldCharType="separate"/>
      </w:r>
      <w:r>
        <w:rPr>
          <w:rFonts w:ascii="Arial" w:hAnsi="Arial" w:cs="Lucida Grande"/>
          <w:noProof/>
          <w:szCs w:val="26"/>
        </w:rPr>
        <w:t>(Frost, 1987, Frost, 1996, Frost, 2003, Sugiyama et al., 2010)</w:t>
      </w:r>
      <w:r>
        <w:rPr>
          <w:rFonts w:ascii="Arial" w:hAnsi="Arial" w:cs="Lucida Grande"/>
          <w:szCs w:val="26"/>
        </w:rPr>
        <w:fldChar w:fldCharType="end"/>
      </w:r>
      <w:r>
        <w:rPr>
          <w:rFonts w:ascii="Arial" w:hAnsi="Arial" w:cs="Lucida Grande"/>
          <w:szCs w:val="26"/>
        </w:rPr>
        <w:t xml:space="preserve">. Bones in the skeleton require a specific strain magnitude for the maintenance. Small functional units of bone have their own target strain stimuli. These target strain stimuli need to be overcomed in order to induce bone formation and inhibit bone resorption, therefore strain stimulus varies in different parts of the skeleton, and there is not a single mechanostat in the skeleton </w:t>
      </w:r>
      <w:r>
        <w:rPr>
          <w:rFonts w:ascii="Arial" w:hAnsi="Arial" w:cs="Lucida Grande"/>
          <w:szCs w:val="26"/>
        </w:rPr>
        <w:fldChar w:fldCharType="begin"/>
      </w:r>
      <w:r w:rsidR="00A108A1">
        <w:rPr>
          <w:rFonts w:ascii="Arial" w:hAnsi="Arial" w:cs="Lucida Grande"/>
          <w:szCs w:val="26"/>
        </w:rPr>
        <w:instrText xml:space="preserve"> ADDIN EN.CITE &lt;EndNote&gt;&lt;Cite&gt;&lt;Author&gt;Skerry&lt;/Author&gt;&lt;Year&gt;2006&lt;/Year&gt;&lt;RecNum&gt;105&lt;/RecNum&gt;&lt;DisplayText&gt;(Skerry, 2006b, Hillam et al., 2015)&lt;/DisplayText&gt;&lt;record&gt;&lt;rec-number&gt;105&lt;/rec-number&gt;&lt;foreign-keys&gt;&lt;key app="EN" db-id="ae9rewfrpdttrheppfxxv0p4950wpd25r09x" timestamp="1520657870"&gt;105&lt;/key&gt;&lt;key app="ENWeb" db-id=""&gt;0&lt;/key&gt;&lt;/foreign-keys&gt;&lt;ref-type name="Journal Article"&gt;17&lt;/ref-type&gt;&lt;contributors&gt;&lt;authors&gt;&lt;author&gt;Skerry, Timothy M.&lt;/author&gt;&lt;/authors&gt;&lt;/contributors&gt;&lt;titles&gt;&lt;title&gt;One mechanostat or many? Modifications of the site-specific response of bone to mechanical loading by nature and nurture&lt;/title&gt;&lt;secondary-title&gt;Journal of Musculoskeletal Neuronal Interactions&lt;/secondary-title&gt;&lt;/titles&gt;&lt;periodical&gt;&lt;full-title&gt;Journal of Musculoskeletal Neuronal Interactions&lt;/full-title&gt;&lt;/periodical&gt;&lt;pages&gt;122-127&lt;/pages&gt;&lt;volume&gt;6&lt;/volume&gt;&lt;number&gt;2&lt;/number&gt;&lt;keywords&gt;&lt;keyword&gt;Bone&lt;/keyword&gt;&lt;keyword&gt;Exercise&lt;/keyword&gt;&lt;keyword&gt;Loading&lt;/keyword&gt;&lt;keyword&gt;Osteoporosis&lt;/keyword&gt;&lt;keyword&gt;Strain&lt;/keyword&gt;&lt;/keywords&gt;&lt;dates&gt;&lt;year&gt;2006&lt;/year&gt;&lt;/dates&gt;&lt;isbn&gt;11087161&lt;/isbn&gt;&lt;urls&gt;&lt;/urls&gt;&lt;/record&gt;&lt;/Cite&gt;&lt;Cite&gt;&lt;Author&gt;Hillam&lt;/Author&gt;&lt;Year&gt;2015&lt;/Year&gt;&lt;RecNum&gt;361&lt;/RecNum&gt;&lt;record&gt;&lt;rec-number&gt;361&lt;/rec-number&gt;&lt;foreign-keys&gt;&lt;key app="EN" db-id="ae9rewfrpdttrheppfxxv0p4950wpd25r09x" timestamp="1520658300"&gt;361&lt;/key&gt;&lt;/foreign-keys&gt;&lt;ref-type name="Journal Article"&gt;17&lt;/ref-type&gt;&lt;contributors&gt;&lt;authors&gt;&lt;author&gt;Hillam, R. A.&lt;/author&gt;&lt;author&gt;Goodship, A. E.,&lt;/author&gt;&lt;author&gt;Skerry, T. M.&lt;/author&gt;&lt;/authors&gt;&lt;/contributors&gt;&lt;titles&gt;&lt;title&gt;Peak strain magnitudes and rates in the tibia exceed greatly those in the skull: An in vivo study in a human subject&lt;/title&gt;&lt;secondary-title&gt;Journal of Biomechanics&lt;/secondary-title&gt;&lt;/titles&gt;&lt;periodical&gt;&lt;full-title&gt;Journal of Biomechanics&lt;/full-title&gt;&lt;/periodical&gt;&lt;pages&gt;3292-3298&lt;/pages&gt;&lt;volume&gt;48&lt;/volume&gt;&lt;dates&gt;&lt;year&gt;2015&lt;/year&gt;&lt;/dates&gt;&lt;urls&gt;&lt;/urls&gt;&lt;/record&gt;&lt;/Cite&gt;&lt;/EndNote&gt;</w:instrText>
      </w:r>
      <w:r>
        <w:rPr>
          <w:rFonts w:ascii="Arial" w:hAnsi="Arial" w:cs="Lucida Grande"/>
          <w:szCs w:val="26"/>
        </w:rPr>
        <w:fldChar w:fldCharType="separate"/>
      </w:r>
      <w:r w:rsidR="003651C9">
        <w:rPr>
          <w:rFonts w:ascii="Arial" w:hAnsi="Arial" w:cs="Lucida Grande"/>
          <w:noProof/>
          <w:szCs w:val="26"/>
        </w:rPr>
        <w:t>(Skerry, 2006b, Hillam et al., 2015)</w:t>
      </w:r>
      <w:r>
        <w:rPr>
          <w:rFonts w:ascii="Arial" w:hAnsi="Arial" w:cs="Lucida Grande"/>
          <w:szCs w:val="26"/>
        </w:rPr>
        <w:fldChar w:fldCharType="end"/>
      </w:r>
      <w:r>
        <w:rPr>
          <w:rFonts w:ascii="Arial" w:hAnsi="Arial" w:cs="Lucida Grande"/>
          <w:szCs w:val="26"/>
        </w:rPr>
        <w:t xml:space="preserve">. Responses to loading are different between males and females, and these responses change due to various factors including age, nutrients, genetics, diseases and use of medications </w:t>
      </w:r>
      <w:r>
        <w:rPr>
          <w:rFonts w:ascii="Arial" w:hAnsi="Arial" w:cs="Lucida Grande"/>
          <w:szCs w:val="26"/>
        </w:rPr>
        <w:fldChar w:fldCharType="begin">
          <w:fldData xml:space="preserve">PEVuZE5vdGU+PENpdGU+PEF1dGhvcj5Ta2Vycnk8L0F1dGhvcj48WWVhcj4xOTk3PC9ZZWFyPjxS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</w:fldData>
        </w:fldChar>
      </w:r>
      <w:r w:rsidR="00A108A1">
        <w:rPr>
          <w:rFonts w:ascii="Arial" w:hAnsi="Arial" w:cs="Lucida Grande"/>
          <w:szCs w:val="26"/>
        </w:rPr>
        <w:instrText xml:space="preserve"> ADDIN EN.CITE </w:instrText>
      </w:r>
      <w:r w:rsidR="00A108A1">
        <w:rPr>
          <w:rFonts w:ascii="Arial" w:hAnsi="Arial" w:cs="Lucida Grande"/>
          <w:szCs w:val="26"/>
        </w:rPr>
        <w:fldChar w:fldCharType="begin">
          <w:fldData xml:space="preserve">PEVuZE5vdGU+PENpdGU+PEF1dGhvcj5Ta2Vycnk8L0F1dGhvcj48WWVhcj4xOTk3PC9ZZWFyPjxS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</w:fldData>
        </w:fldChar>
      </w:r>
      <w:r w:rsidR="00A108A1">
        <w:rPr>
          <w:rFonts w:ascii="Arial" w:hAnsi="Arial" w:cs="Lucida Grande"/>
          <w:szCs w:val="26"/>
        </w:rPr>
        <w:instrText xml:space="preserve"> ADDIN EN.CITE.DATA </w:instrText>
      </w:r>
      <w:r w:rsidR="00A108A1">
        <w:rPr>
          <w:rFonts w:ascii="Arial" w:hAnsi="Arial" w:cs="Lucida Grande"/>
          <w:szCs w:val="26"/>
        </w:rPr>
      </w:r>
      <w:r w:rsidR="00A108A1">
        <w:rPr>
          <w:rFonts w:ascii="Arial" w:hAnsi="Arial" w:cs="Lucida Grande"/>
          <w:szCs w:val="26"/>
        </w:rPr>
        <w:fldChar w:fldCharType="end"/>
      </w:r>
      <w:r>
        <w:rPr>
          <w:rFonts w:ascii="Arial" w:hAnsi="Arial" w:cs="Lucida Grande"/>
          <w:szCs w:val="26"/>
        </w:rPr>
      </w:r>
      <w:r>
        <w:rPr>
          <w:rFonts w:ascii="Arial" w:hAnsi="Arial" w:cs="Lucida Grande"/>
          <w:szCs w:val="26"/>
        </w:rPr>
        <w:fldChar w:fldCharType="separate"/>
      </w:r>
      <w:r w:rsidR="001F153E">
        <w:rPr>
          <w:rFonts w:ascii="Arial" w:hAnsi="Arial" w:cs="Lucida Grande"/>
          <w:noProof/>
          <w:szCs w:val="26"/>
        </w:rPr>
        <w:t>(Skerry, 1997, Skerry, 2006b, Wilks et al., 2009)</w:t>
      </w:r>
      <w:r>
        <w:rPr>
          <w:rFonts w:ascii="Arial" w:hAnsi="Arial" w:cs="Lucida Grande"/>
          <w:szCs w:val="26"/>
        </w:rPr>
        <w:fldChar w:fldCharType="end"/>
      </w:r>
      <w:r>
        <w:rPr>
          <w:rFonts w:ascii="Arial" w:hAnsi="Arial" w:cs="Lucida Grande"/>
          <w:szCs w:val="26"/>
        </w:rPr>
        <w:t xml:space="preserve">. </w:t>
      </w:r>
    </w:p>
    <w:p w14:paraId="3B7366CC" w14:textId="77777777" w:rsidR="007B76C3" w:rsidRPr="0008605F" w:rsidRDefault="007B76C3" w:rsidP="00D93BE4">
      <w:pPr>
        <w:pStyle w:val="Heading3"/>
        <w:spacing w:line="480" w:lineRule="auto"/>
        <w:jc w:val="both"/>
        <w:rPr>
          <w:rFonts w:ascii="Arial" w:hAnsi="Arial" w:cs="Arial"/>
          <w:color w:val="auto"/>
        </w:rPr>
      </w:pPr>
      <w:bookmarkStart w:id="23" w:name="_Toc383723848"/>
      <w:r w:rsidRPr="0008605F">
        <w:rPr>
          <w:rFonts w:ascii="Arial" w:hAnsi="Arial" w:cs="Arial"/>
          <w:color w:val="auto"/>
        </w:rPr>
        <w:t xml:space="preserve">1.2.2 Cellular changes </w:t>
      </w:r>
      <w:r w:rsidR="0094576F" w:rsidRPr="0008605F">
        <w:rPr>
          <w:rFonts w:ascii="Arial" w:hAnsi="Arial" w:cs="Arial"/>
          <w:color w:val="auto"/>
        </w:rPr>
        <w:t>following</w:t>
      </w:r>
      <w:r w:rsidRPr="0008605F">
        <w:rPr>
          <w:rFonts w:ascii="Arial" w:hAnsi="Arial" w:cs="Arial"/>
          <w:color w:val="auto"/>
        </w:rPr>
        <w:t xml:space="preserve"> mechanical loading in bone</w:t>
      </w:r>
      <w:bookmarkEnd w:id="23"/>
    </w:p>
    <w:p w14:paraId="553B741A" w14:textId="77777777" w:rsidR="00870E5C" w:rsidRDefault="007B76C3" w:rsidP="007B76C3">
      <w:pPr>
        <w:widowControl w:val="0"/>
        <w:tabs>
          <w:tab w:val="left" w:pos="220"/>
          <w:tab w:val="left" w:pos="720"/>
        </w:tabs>
        <w:autoSpaceDE w:val="0"/>
        <w:autoSpaceDN w:val="0"/>
        <w:adjustRightInd w:val="0"/>
        <w:spacing w:line="480" w:lineRule="auto"/>
        <w:jc w:val="both"/>
        <w:rPr>
          <w:rFonts w:ascii="Arial" w:hAnsi="Arial" w:cs="Lucida Grande"/>
          <w:szCs w:val="26"/>
        </w:rPr>
      </w:pPr>
      <w:r>
        <w:rPr>
          <w:rFonts w:ascii="Arial" w:hAnsi="Arial" w:cs="Lucida Grande"/>
          <w:szCs w:val="26"/>
        </w:rPr>
        <w:t xml:space="preserve">At the cellular level, the osteocytes, embedded in the bone matrix sense the changes in their mechanical strain environment and coordinate the actions of bone forming osteoblasts and resorbing osteoclasts that are essential for correct functioning of the mechanostat </w:t>
      </w:r>
      <w:r>
        <w:rPr>
          <w:rFonts w:ascii="Arial" w:hAnsi="Arial" w:cs="Lucida Grande"/>
          <w:szCs w:val="26"/>
        </w:rPr>
        <w:fldChar w:fldCharType="begin"/>
      </w:r>
      <w:r w:rsidR="00B97465">
        <w:rPr>
          <w:rFonts w:ascii="Arial" w:hAnsi="Arial" w:cs="Lucida Grande"/>
          <w:szCs w:val="26"/>
        </w:rPr>
        <w:instrText xml:space="preserve"> ADDIN EN.CITE &lt;EndNote&gt;&lt;Cite&gt;&lt;Author&gt;Atkins&lt;/Author&gt;&lt;Year&gt;2012&lt;/Year&gt;&lt;RecNum&gt;65&lt;/RecNum&gt;&lt;DisplayText&gt;(Atkins and Findlay, 2012)&lt;/DisplayText&gt;&lt;record&gt;&lt;rec-number&gt;65&lt;/rec-number&gt;&lt;foreign-keys&gt;&lt;key app="EN" db-id="ae9rewfrpdttrheppfxxv0p4950wpd25r09x" timestamp="1520657723"&gt;65&lt;/key&gt;&lt;key app="ENWeb" db-id=""&gt;0&lt;/key&gt;&lt;/foreign-keys&gt;&lt;ref-type name="Journal Article"&gt;17&lt;/ref-type&gt;&lt;contributors&gt;&lt;authors&gt;&lt;author&gt;Atkins, G. J.&lt;/author&gt;&lt;author&gt;Findlay, D. M.&lt;/author&gt;&lt;/authors&gt;&lt;/contributors&gt;&lt;titles&gt;&lt;title&gt;Osteocyte regulation of bone mineral: A little give and take&lt;/title&gt;&lt;secondary-title&gt;Osteoporosis Internationall&lt;/secondary-title&gt;&lt;/titles&gt;&lt;periodical&gt;&lt;full-title&gt;Osteoporosis Internationall&lt;/full-title&gt;&lt;/periodical&gt;&lt;pages&gt;2067-2079&lt;/pages&gt;&lt;volume&gt;23&lt;/volume&gt;&lt;number&gt;8&lt;/number&gt;&lt;dates&gt;&lt;year&gt;2012&lt;/year&gt;&lt;/dates&gt;&lt;urls&gt;&lt;/urls&gt;&lt;/record&gt;&lt;/Cite&gt;&lt;/EndNote&gt;</w:instrText>
      </w:r>
      <w:r>
        <w:rPr>
          <w:rFonts w:ascii="Arial" w:hAnsi="Arial" w:cs="Lucida Grande"/>
          <w:szCs w:val="26"/>
        </w:rPr>
        <w:fldChar w:fldCharType="separate"/>
      </w:r>
      <w:r>
        <w:rPr>
          <w:rFonts w:ascii="Arial" w:hAnsi="Arial" w:cs="Lucida Grande"/>
          <w:noProof/>
          <w:szCs w:val="26"/>
        </w:rPr>
        <w:t>(Atkins and Findlay, 2012)</w:t>
      </w:r>
      <w:r>
        <w:rPr>
          <w:rFonts w:ascii="Arial" w:hAnsi="Arial" w:cs="Lucida Grande"/>
          <w:szCs w:val="26"/>
        </w:rPr>
        <w:fldChar w:fldCharType="end"/>
      </w:r>
      <w:r>
        <w:rPr>
          <w:rFonts w:ascii="Arial" w:hAnsi="Arial" w:cs="Lucida Grande"/>
          <w:szCs w:val="26"/>
        </w:rPr>
        <w:t xml:space="preserve">. The complex dendritic network of the osteocytes performs mechanosensing function interacting with pericellular canalicular walls via tethering filaments </w:t>
      </w:r>
      <w:r w:rsidR="003651C9">
        <w:rPr>
          <w:rFonts w:ascii="Arial" w:hAnsi="Arial" w:cs="Lucida Grande"/>
          <w:szCs w:val="26"/>
        </w:rPr>
        <w:fldChar w:fldCharType="begin"/>
      </w:r>
      <w:r w:rsidR="00A108A1">
        <w:rPr>
          <w:rFonts w:ascii="Arial" w:hAnsi="Arial" w:cs="Lucida Grande"/>
          <w:szCs w:val="26"/>
        </w:rPr>
        <w:instrText xml:space="preserve"> ADDIN EN.CITE &lt;EndNote&gt;&lt;Cite&gt;&lt;Author&gt;You&lt;/Author&gt;&lt;Year&gt;2004&lt;/Year&gt;&lt;RecNum&gt;360&lt;/RecNum&gt;&lt;DisplayText&gt;(You et al., 2004)&lt;/DisplayText&gt;&lt;record&gt;&lt;rec-number&gt;360&lt;/rec-number&gt;&lt;foreign-keys&gt;&lt;key app="EN" db-id="ae9rewfrpdttrheppfxxv0p4950wpd25r09x" timestamp="1520658299"&gt;360&lt;/key&gt;&lt;/foreign-keys&gt;&lt;ref-type name="Journal Article"&gt;17&lt;/ref-type&gt;&lt;contributors&gt;&lt;authors&gt;&lt;author&gt;You, Li</w:instrText>
      </w:r>
      <w:r w:rsidR="00A108A1">
        <w:rPr>
          <w:rFonts w:ascii="American Typewriter" w:hAnsi="American Typewriter" w:cs="American Typewriter"/>
          <w:szCs w:val="26"/>
        </w:rPr>
        <w:instrText>‐</w:instrText>
      </w:r>
      <w:r w:rsidR="00A108A1">
        <w:rPr>
          <w:rFonts w:ascii="Arial" w:hAnsi="Arial" w:cs="Lucida Grande"/>
          <w:szCs w:val="26"/>
        </w:rPr>
        <w:instrText>Dan&lt;/author&gt;&lt;author&gt;Weinbaum, Sheldon&lt;/author&gt;&lt;author&gt;Cowin, Stephen C.&lt;/author&gt;&lt;author&gt;Schaffler, Mitchell B.&lt;/author&gt;&lt;/authors&gt;&lt;/contributors&gt;&lt;titles&gt;&lt;title&gt;Ultrastructure of the osteocyte process and its pericellular matrix&lt;/title&gt;&lt;secondary-title&gt;Anatomical Record Part A: Discoveries in Molecular, Cellular, and Evolutionary Biology&lt;/secondary-title&gt;&lt;/titles&gt;&lt;periodical&gt;&lt;full-title&gt;Anatomical Record Part A: Discoveries in Molecular, Cellular, and Evolutionary Biology&lt;/full-title&gt;&lt;/periodical&gt;&lt;pages&gt;505-513&lt;/pages&gt;&lt;volume&gt;278&lt;/volume&gt;&lt;number&gt;2&lt;/number&gt;&lt;keywords&gt;&lt;keyword&gt;Osteocyte&lt;/keyword&gt;&lt;keyword&gt;Transverse Element&lt;/keyword&gt;&lt;keyword&gt;Actin Bundle&lt;/keyword&gt;&lt;keyword&gt;Pericellular Space&lt;/keyword&gt;&lt;keyword&gt;Pericellular Matrix&lt;/keyword&gt;&lt;/keywords&gt;&lt;dates&gt;&lt;year&gt;2004&lt;/year&gt;&lt;/dates&gt;&lt;pub-location&gt;Hoboken&lt;/pub-location&gt;&lt;isbn&gt;1552-4884&lt;/isbn&gt;&lt;urls&gt;&lt;/urls&gt;&lt;electronic-resource-num&gt;10.1002/ar.a.20050&lt;/electronic-resource-num&gt;&lt;/record&gt;&lt;/Cite&gt;&lt;/EndNote&gt;</w:instrText>
      </w:r>
      <w:r w:rsidR="003651C9">
        <w:rPr>
          <w:rFonts w:ascii="Arial" w:hAnsi="Arial" w:cs="Lucida Grande"/>
          <w:szCs w:val="26"/>
        </w:rPr>
        <w:fldChar w:fldCharType="separate"/>
      </w:r>
      <w:r w:rsidR="003651C9">
        <w:rPr>
          <w:rFonts w:ascii="Arial" w:hAnsi="Arial" w:cs="Lucida Grande"/>
          <w:noProof/>
          <w:szCs w:val="26"/>
        </w:rPr>
        <w:t>(You et al., 2004)</w:t>
      </w:r>
      <w:r w:rsidR="003651C9">
        <w:rPr>
          <w:rFonts w:ascii="Arial" w:hAnsi="Arial" w:cs="Lucida Grande"/>
          <w:szCs w:val="26"/>
        </w:rPr>
        <w:fldChar w:fldCharType="end"/>
      </w:r>
      <w:r w:rsidR="003651C9">
        <w:rPr>
          <w:rFonts w:ascii="Arial" w:hAnsi="Arial" w:cs="Lucida Grande"/>
          <w:szCs w:val="26"/>
        </w:rPr>
        <w:t>.</w:t>
      </w:r>
      <w:r>
        <w:rPr>
          <w:rFonts w:ascii="Arial" w:hAnsi="Arial" w:cs="Lucida Grande"/>
          <w:szCs w:val="26"/>
        </w:rPr>
        <w:t xml:space="preserve"> The fluid flow in lacuna-canalicular system induced </w:t>
      </w:r>
      <w:r w:rsidR="00870E5C">
        <w:rPr>
          <w:rFonts w:ascii="Arial" w:hAnsi="Arial" w:cs="Lucida Grande"/>
          <w:szCs w:val="26"/>
        </w:rPr>
        <w:t xml:space="preserve"> </w:t>
      </w:r>
    </w:p>
    <w:p w14:paraId="64E1FB09" w14:textId="77777777" w:rsidR="00870E5C" w:rsidRDefault="00870E5C" w:rsidP="007B76C3">
      <w:pPr>
        <w:widowControl w:val="0"/>
        <w:tabs>
          <w:tab w:val="left" w:pos="220"/>
          <w:tab w:val="left" w:pos="720"/>
        </w:tabs>
        <w:autoSpaceDE w:val="0"/>
        <w:autoSpaceDN w:val="0"/>
        <w:adjustRightInd w:val="0"/>
        <w:spacing w:line="480" w:lineRule="auto"/>
        <w:jc w:val="both"/>
        <w:rPr>
          <w:rFonts w:ascii="Arial" w:hAnsi="Arial" w:cs="Lucida Grande"/>
          <w:szCs w:val="26"/>
        </w:rPr>
      </w:pPr>
    </w:p>
    <w:p w14:paraId="4C687032" w14:textId="77777777" w:rsidR="007B76C3" w:rsidRDefault="007B76C3" w:rsidP="007B76C3">
      <w:pPr>
        <w:widowControl w:val="0"/>
        <w:tabs>
          <w:tab w:val="left" w:pos="220"/>
          <w:tab w:val="left" w:pos="720"/>
        </w:tabs>
        <w:autoSpaceDE w:val="0"/>
        <w:autoSpaceDN w:val="0"/>
        <w:adjustRightInd w:val="0"/>
        <w:spacing w:line="480" w:lineRule="auto"/>
        <w:jc w:val="both"/>
        <w:rPr>
          <w:rFonts w:ascii="Arial" w:hAnsi="Arial" w:cs="Lucida Grande"/>
          <w:szCs w:val="26"/>
        </w:rPr>
      </w:pPr>
      <w:proofErr w:type="gramStart"/>
      <w:r>
        <w:rPr>
          <w:rFonts w:ascii="Arial" w:hAnsi="Arial" w:cs="Lucida Grande"/>
          <w:szCs w:val="26"/>
        </w:rPr>
        <w:lastRenderedPageBreak/>
        <w:t>by</w:t>
      </w:r>
      <w:proofErr w:type="gramEnd"/>
      <w:r>
        <w:rPr>
          <w:rFonts w:ascii="Arial" w:hAnsi="Arial" w:cs="Lucida Grande"/>
          <w:szCs w:val="26"/>
        </w:rPr>
        <w:t xml:space="preserve"> mechanical loading can produce strains on the osteocyte processes and cause cytoskeletal rearrangements and activation of downstream </w:t>
      </w:r>
      <w:r w:rsidR="00377437">
        <w:rPr>
          <w:rFonts w:ascii="Arial" w:hAnsi="Arial" w:cs="Lucida Grande"/>
          <w:szCs w:val="26"/>
        </w:rPr>
        <w:t>signalling</w:t>
      </w:r>
      <w:r>
        <w:rPr>
          <w:rFonts w:ascii="Arial" w:hAnsi="Arial" w:cs="Lucida Grande"/>
          <w:szCs w:val="26"/>
        </w:rPr>
        <w:t xml:space="preserve"> pathways </w:t>
      </w:r>
      <w:r w:rsidR="005204D6">
        <w:rPr>
          <w:rFonts w:ascii="Arial" w:hAnsi="Arial" w:cs="Lucida Grande"/>
          <w:szCs w:val="26"/>
        </w:rPr>
        <w:fldChar w:fldCharType="begin"/>
      </w:r>
      <w:r w:rsidR="00A108A1">
        <w:rPr>
          <w:rFonts w:ascii="Arial" w:hAnsi="Arial" w:cs="Lucida Grande"/>
          <w:szCs w:val="26"/>
        </w:rPr>
        <w:instrText xml:space="preserve"> ADDIN EN.CITE &lt;EndNote&gt;&lt;Cite&gt;&lt;Author&gt;Han&lt;/Author&gt;&lt;Year&gt;2004&lt;/Year&gt;&lt;RecNum&gt;362&lt;/RecNum&gt;&lt;DisplayText&gt;(Han et al., 2004)&lt;/DisplayText&gt;&lt;record&gt;&lt;rec-number&gt;362&lt;/rec-number&gt;&lt;foreign-keys&gt;&lt;key app="EN" db-id="ae9rewfrpdttrheppfxxv0p4950wpd25r09x" timestamp="1520658300"&gt;362&lt;/key&gt;&lt;/foreign-keys&gt;&lt;ref-type name="Journal Article"&gt;17&lt;/ref-type&gt;&lt;contributors&gt;&lt;authors&gt;&lt;author&gt;Han, Yuefeng&lt;/author&gt;&lt;author&gt;Cowin, Stephen C.&lt;/author&gt;&lt;author&gt;Weinbaum, Sheldon&lt;/author&gt;&lt;author&gt;Schaffler, Mitchell B.&lt;/author&gt;&lt;/authors&gt;&lt;/contributors&gt;&lt;titles&gt;&lt;title&gt;Mechanotransduction and strain amplification in osteocyte cell processes&lt;/title&gt;&lt;secondary-title&gt;Proceedings of the National Academy of Sciences of the United States of America&lt;/secondary-title&gt;&lt;/titles&gt;&lt;periodical&gt;&lt;full-title&gt;Proceedings of the National Academy of Sciences of the United States of America&lt;/full-title&gt;&lt;/periodical&gt;&lt;pages&gt;16689-16694&lt;/pages&gt;&lt;volume&gt;101&lt;/volume&gt;&lt;number&gt;47&lt;/number&gt;&lt;keywords&gt;&lt;keyword&gt;Actin Filament Bundle&lt;/keyword&gt;&lt;keyword&gt;Bone Mechanotransduction&lt;/keyword&gt;&lt;keyword&gt;Osteocyte Process&lt;/keyword&gt;&lt;keyword&gt;Strain Amplification&lt;/keyword&gt;&lt;/keywords&gt;&lt;dates&gt;&lt;year&gt;2004&lt;/year&gt;&lt;/dates&gt;&lt;isbn&gt;00278424&lt;/isbn&gt;&lt;urls&gt;&lt;/urls&gt;&lt;electronic-resource-num&gt;10.1073/pnas.0407429101&lt;/electronic-resource-num&gt;&lt;/record&gt;&lt;/Cite&gt;&lt;/EndNote&gt;</w:instrText>
      </w:r>
      <w:r w:rsidR="005204D6">
        <w:rPr>
          <w:rFonts w:ascii="Arial" w:hAnsi="Arial" w:cs="Lucida Grande"/>
          <w:szCs w:val="26"/>
        </w:rPr>
        <w:fldChar w:fldCharType="separate"/>
      </w:r>
      <w:r w:rsidR="005204D6">
        <w:rPr>
          <w:rFonts w:ascii="Arial" w:hAnsi="Arial" w:cs="Lucida Grande"/>
          <w:noProof/>
          <w:szCs w:val="26"/>
        </w:rPr>
        <w:t>(Han et al., 2004)</w:t>
      </w:r>
      <w:r w:rsidR="005204D6">
        <w:rPr>
          <w:rFonts w:ascii="Arial" w:hAnsi="Arial" w:cs="Lucida Grande"/>
          <w:szCs w:val="26"/>
        </w:rPr>
        <w:fldChar w:fldCharType="end"/>
      </w:r>
      <w:r w:rsidR="005204D6">
        <w:rPr>
          <w:rFonts w:ascii="Arial" w:hAnsi="Arial" w:cs="Lucida Grande"/>
          <w:szCs w:val="26"/>
        </w:rPr>
        <w:t>.</w:t>
      </w:r>
      <w:r>
        <w:rPr>
          <w:rFonts w:ascii="Arial" w:hAnsi="Arial" w:cs="Lucida Grande"/>
          <w:szCs w:val="26"/>
        </w:rPr>
        <w:t xml:space="preserve"> Osteocytes positively regulate osteoblasts favouring osteogenic adaptive response. </w:t>
      </w:r>
    </w:p>
    <w:p w14:paraId="5DA50587" w14:textId="77777777" w:rsidR="007B76C3" w:rsidRDefault="007B76C3" w:rsidP="007B76C3">
      <w:pPr>
        <w:widowControl w:val="0"/>
        <w:tabs>
          <w:tab w:val="left" w:pos="220"/>
          <w:tab w:val="left" w:pos="720"/>
        </w:tabs>
        <w:autoSpaceDE w:val="0"/>
        <w:autoSpaceDN w:val="0"/>
        <w:adjustRightInd w:val="0"/>
        <w:spacing w:line="480" w:lineRule="auto"/>
        <w:jc w:val="both"/>
        <w:rPr>
          <w:rFonts w:ascii="Arial" w:hAnsi="Arial" w:cs="Lucida Grande"/>
          <w:szCs w:val="26"/>
        </w:rPr>
      </w:pPr>
    </w:p>
    <w:p w14:paraId="1ED2044E" w14:textId="77777777" w:rsidR="00FA457C" w:rsidRDefault="007B76C3" w:rsidP="007B76C3">
      <w:pPr>
        <w:widowControl w:val="0"/>
        <w:tabs>
          <w:tab w:val="left" w:pos="220"/>
          <w:tab w:val="left" w:pos="720"/>
        </w:tabs>
        <w:autoSpaceDE w:val="0"/>
        <w:autoSpaceDN w:val="0"/>
        <w:adjustRightInd w:val="0"/>
        <w:spacing w:line="480" w:lineRule="auto"/>
        <w:jc w:val="both"/>
        <w:rPr>
          <w:rFonts w:ascii="Arial" w:hAnsi="Arial" w:cs="Lucida Grande"/>
          <w:szCs w:val="26"/>
        </w:rPr>
      </w:pPr>
      <w:r>
        <w:rPr>
          <w:rFonts w:ascii="Arial" w:hAnsi="Arial" w:cs="Lucida Grande"/>
          <w:szCs w:val="26"/>
        </w:rPr>
        <w:t xml:space="preserve">The bone formation ultimately occurs by osteoblasts when bone experiences high strain levels and increased mechanical loading to counteract this increase in strain and reduce back to the target levels </w:t>
      </w:r>
      <w:r>
        <w:rPr>
          <w:rFonts w:ascii="Arial" w:hAnsi="Arial" w:cs="Lucida Grande"/>
          <w:szCs w:val="26"/>
        </w:rPr>
        <w:fldChar w:fldCharType="begin"/>
      </w:r>
      <w:r w:rsidR="00651EFF">
        <w:rPr>
          <w:rFonts w:ascii="Arial" w:hAnsi="Arial" w:cs="Lucida Grande"/>
          <w:szCs w:val="26"/>
        </w:rPr>
        <w:instrText xml:space="preserve"> ADDIN EN.CITE &lt;EndNote&gt;&lt;Cite&gt;&lt;Author&gt;Hillam&lt;/Author&gt;&lt;Year&gt;1995&lt;/Year&gt;&lt;RecNum&gt;103&lt;/RecNum&gt;&lt;DisplayText&gt;(Hillam and Skerry, 1995, Lanyon et al., 2009)&lt;/DisplayText&gt;&lt;record&gt;&lt;rec-number&gt;103&lt;/rec-number&gt;&lt;foreign-keys&gt;&lt;key app="EN" db-id="ae9rewfrpdttrheppfxxv0p4950wpd25r09x" timestamp="1520657867"&gt;103&lt;/key&gt;&lt;/foreign-keys&gt;&lt;ref-type name="Journal Article"&gt;17&lt;/ref-type&gt;&lt;contributors&gt;&lt;authors&gt;&lt;author&gt;Hillam, R. A.&lt;/author&gt;&lt;author&gt;Skerry, T. M. &lt;/author&gt;&lt;/authors&gt;&lt;/contributors&gt;&lt;titles&gt;&lt;title&gt;Inhibition of bone resorption and stimulation of formation by mechanical loading of the modeling rat ulna in vivo.&lt;/title&gt;&lt;secondary-title&gt;Journal of  Bone and Mineral Research&lt;/secondary-title&gt;&lt;/titles&gt;&lt;periodical&gt;&lt;full-title&gt;Journal of  Bone and Mineral Research&lt;/full-title&gt;&lt;/periodical&gt;&lt;pages&gt;683-9&lt;/pages&gt;&lt;volume&gt;10(5)&lt;/volume&gt;&lt;dates&gt;&lt;year&gt;1995&lt;/year&gt;&lt;/dates&gt;&lt;urls&gt;&lt;/urls&gt;&lt;/record&gt;&lt;/Cite&gt;&lt;Cite&gt;&lt;Author&gt;Lanyon&lt;/Author&gt;&lt;Year&gt;2009&lt;/Year&gt;&lt;RecNum&gt;189&lt;/RecNum&gt;&lt;record&gt;&lt;rec-number&gt;189&lt;/rec-number&gt;&lt;foreign-keys&gt;&lt;key app="EN" db-id="ae9rewfrpdttrheppfxxv0p4950wpd25r09x" timestamp="1520658052"&gt;189&lt;/key&gt;&lt;/foreign-keys&gt;&lt;ref-type name="Journal Article"&gt;17&lt;/ref-type&gt;&lt;contributors&gt;&lt;authors&gt;&lt;author&gt;Lanyon, L.&lt;/author&gt;&lt;author&gt;Sugiyama, T.&lt;/author&gt;&lt;author&gt;Price, Joanna S.&lt;/author&gt;&lt;/authors&gt;&lt;/contributors&gt;&lt;titles&gt;&lt;title&gt;Regulation of bone mass: Local control or systemic influence or both?&lt;/title&gt;&lt;secondary-title&gt;IBMS BoneKEy&lt;/secondary-title&gt;&lt;/titles&gt;&lt;periodical&gt;&lt;full-title&gt;IBMS BoneKEy&lt;/full-title&gt;&lt;/periodical&gt;&lt;pages&gt;218-226&lt;/pages&gt;&lt;volume&gt;6&lt;/volume&gt;&lt;dates&gt;&lt;year&gt;2009&lt;/year&gt;&lt;/dates&gt;&lt;urls&gt;&lt;/urls&gt;&lt;/record&gt;&lt;/Cite&gt;&lt;/EndNote&gt;</w:instrText>
      </w:r>
      <w:r>
        <w:rPr>
          <w:rFonts w:ascii="Arial" w:hAnsi="Arial" w:cs="Lucida Grande"/>
          <w:szCs w:val="26"/>
        </w:rPr>
        <w:fldChar w:fldCharType="separate"/>
      </w:r>
      <w:r>
        <w:rPr>
          <w:rFonts w:ascii="Arial" w:hAnsi="Arial" w:cs="Lucida Grande"/>
          <w:noProof/>
          <w:szCs w:val="26"/>
        </w:rPr>
        <w:t>(Hillam and Skerry, 1995, Lanyon et al., 2009)</w:t>
      </w:r>
      <w:r>
        <w:rPr>
          <w:rFonts w:ascii="Arial" w:hAnsi="Arial" w:cs="Lucida Grande"/>
          <w:szCs w:val="26"/>
        </w:rPr>
        <w:fldChar w:fldCharType="end"/>
      </w:r>
      <w:r w:rsidR="005204D6">
        <w:rPr>
          <w:rFonts w:ascii="Arial" w:hAnsi="Arial" w:cs="Lucida Grande"/>
          <w:szCs w:val="26"/>
        </w:rPr>
        <w:t xml:space="preserve">. Mechanical </w:t>
      </w:r>
      <w:r>
        <w:rPr>
          <w:rFonts w:ascii="Arial" w:hAnsi="Arial" w:cs="Lucida Grande"/>
          <w:szCs w:val="26"/>
        </w:rPr>
        <w:t xml:space="preserve">loading is also associated with reduced osteoclast activity, which is partly mediated through release of nitric oxide (NO) by the osteocytes </w:t>
      </w:r>
      <w:r w:rsidR="005204D6">
        <w:rPr>
          <w:rFonts w:ascii="Arial" w:hAnsi="Arial" w:cs="Lucida Grande"/>
          <w:szCs w:val="26"/>
        </w:rPr>
        <w:fldChar w:fldCharType="begin">
          <w:fldData xml:space="preserve">PEVuZE5vdGU+PENpdGU+PEF1dGhvcj5IaWxsYW08L0F1dGhvcj48WWVhcj4xOTk1PC9ZZWFyPjxS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</w:fldData>
        </w:fldChar>
      </w:r>
      <w:r w:rsidR="00651EFF">
        <w:rPr>
          <w:rFonts w:ascii="Arial" w:hAnsi="Arial" w:cs="Lucida Grande"/>
          <w:szCs w:val="26"/>
        </w:rPr>
        <w:instrText xml:space="preserve"> ADDIN EN.CITE </w:instrText>
      </w:r>
      <w:r w:rsidR="00651EFF">
        <w:rPr>
          <w:rFonts w:ascii="Arial" w:hAnsi="Arial" w:cs="Lucida Grande"/>
          <w:szCs w:val="26"/>
        </w:rPr>
        <w:fldChar w:fldCharType="begin">
          <w:fldData xml:space="preserve">PEVuZE5vdGU+PENpdGU+PEF1dGhvcj5IaWxsYW08L0F1dGhvcj48WWVhcj4xOTk1PC9ZZWFyPjxS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</w:fldData>
        </w:fldChar>
      </w:r>
      <w:r w:rsidR="00651EFF">
        <w:rPr>
          <w:rFonts w:ascii="Arial" w:hAnsi="Arial" w:cs="Lucida Grande"/>
          <w:szCs w:val="26"/>
        </w:rPr>
        <w:instrText xml:space="preserve"> ADDIN EN.CITE.DATA </w:instrText>
      </w:r>
      <w:r w:rsidR="00651EFF">
        <w:rPr>
          <w:rFonts w:ascii="Arial" w:hAnsi="Arial" w:cs="Lucida Grande"/>
          <w:szCs w:val="26"/>
        </w:rPr>
      </w:r>
      <w:r w:rsidR="00651EFF">
        <w:rPr>
          <w:rFonts w:ascii="Arial" w:hAnsi="Arial" w:cs="Lucida Grande"/>
          <w:szCs w:val="26"/>
        </w:rPr>
        <w:fldChar w:fldCharType="end"/>
      </w:r>
      <w:r w:rsidR="005204D6">
        <w:rPr>
          <w:rFonts w:ascii="Arial" w:hAnsi="Arial" w:cs="Lucida Grande"/>
          <w:szCs w:val="26"/>
        </w:rPr>
      </w:r>
      <w:r w:rsidR="005204D6">
        <w:rPr>
          <w:rFonts w:ascii="Arial" w:hAnsi="Arial" w:cs="Lucida Grande"/>
          <w:szCs w:val="26"/>
        </w:rPr>
        <w:fldChar w:fldCharType="separate"/>
      </w:r>
      <w:r w:rsidR="00A25827">
        <w:rPr>
          <w:rFonts w:ascii="Arial" w:hAnsi="Arial" w:cs="Lucida Grande"/>
          <w:noProof/>
          <w:szCs w:val="26"/>
        </w:rPr>
        <w:t>(Hillam and Skerry, 1995, Tan et al., 2008)</w:t>
      </w:r>
      <w:r w:rsidR="005204D6">
        <w:rPr>
          <w:rFonts w:ascii="Arial" w:hAnsi="Arial" w:cs="Lucida Grande"/>
          <w:szCs w:val="26"/>
        </w:rPr>
        <w:fldChar w:fldCharType="end"/>
      </w:r>
      <w:r w:rsidR="00A25827">
        <w:rPr>
          <w:rFonts w:ascii="Arial" w:hAnsi="Arial" w:cs="Lucida Grande"/>
          <w:szCs w:val="26"/>
        </w:rPr>
        <w:t xml:space="preserve">. </w:t>
      </w:r>
      <w:r>
        <w:rPr>
          <w:rFonts w:ascii="Arial" w:hAnsi="Arial" w:cs="Lucida Grande"/>
          <w:szCs w:val="26"/>
        </w:rPr>
        <w:t xml:space="preserve">Mechanical strain induces cascades of multiple signalling pathways within the bone cells that ultimately result in secretion of the signalling molecules essential for differentiation and activity of these cells. Some of these signalling cascades involved in mechanotransduction in the osteoblasts </w:t>
      </w:r>
      <w:r w:rsidR="00161FEA">
        <w:rPr>
          <w:rFonts w:ascii="Arial" w:hAnsi="Arial" w:cs="Lucida Grande"/>
          <w:szCs w:val="26"/>
        </w:rPr>
        <w:t xml:space="preserve">are illustrated in the Figure </w:t>
      </w:r>
      <w:r>
        <w:rPr>
          <w:rFonts w:ascii="Arial" w:hAnsi="Arial" w:cs="Lucida Grande"/>
          <w:szCs w:val="26"/>
        </w:rPr>
        <w:t>9.</w:t>
      </w:r>
      <w:r w:rsidRPr="00A565B0">
        <w:rPr>
          <w:rFonts w:ascii="Arial" w:hAnsi="Arial" w:cs="Lucida Grande"/>
          <w:szCs w:val="26"/>
        </w:rPr>
        <w:t xml:space="preserve"> </w:t>
      </w:r>
      <w:r>
        <w:rPr>
          <w:rFonts w:ascii="Arial" w:hAnsi="Arial" w:cs="Lucida Grande"/>
          <w:szCs w:val="26"/>
        </w:rPr>
        <w:t xml:space="preserve">Further details of these cross talking pathways and their outputs are beyond the scope of this thesis, but have previously been reviewed </w:t>
      </w:r>
      <w:r>
        <w:rPr>
          <w:rFonts w:ascii="Arial" w:hAnsi="Arial" w:cs="Lucida Grande"/>
          <w:szCs w:val="26"/>
        </w:rPr>
        <w:fldChar w:fldCharType="begin">
          <w:fldData xml:space="preserve">PEVuZE5vdGU+PENpdGU+PEF1dGhvcj5SdWJpbjwvQXV0aG9yPjxZZWFyPjIwMDY8L1llYXI+PFJl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</w:fldData>
        </w:fldChar>
      </w:r>
      <w:r w:rsidR="00A108A1">
        <w:rPr>
          <w:rFonts w:ascii="Arial" w:hAnsi="Arial" w:cs="Lucida Grande"/>
          <w:szCs w:val="26"/>
        </w:rPr>
        <w:instrText xml:space="preserve"> ADDIN EN.CITE </w:instrText>
      </w:r>
      <w:r w:rsidR="00A108A1">
        <w:rPr>
          <w:rFonts w:ascii="Arial" w:hAnsi="Arial" w:cs="Lucida Grande"/>
          <w:szCs w:val="26"/>
        </w:rPr>
        <w:fldChar w:fldCharType="begin">
          <w:fldData xml:space="preserve">PEVuZE5vdGU+PENpdGU+PEF1dGhvcj5SdWJpbjwvQXV0aG9yPjxZZWFyPjIwMDY8L1llYXI+PFJl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</w:fldData>
        </w:fldChar>
      </w:r>
      <w:r w:rsidR="00A108A1">
        <w:rPr>
          <w:rFonts w:ascii="Arial" w:hAnsi="Arial" w:cs="Lucida Grande"/>
          <w:szCs w:val="26"/>
        </w:rPr>
        <w:instrText xml:space="preserve"> ADDIN EN.CITE.DATA </w:instrText>
      </w:r>
      <w:r w:rsidR="00A108A1">
        <w:rPr>
          <w:rFonts w:ascii="Arial" w:hAnsi="Arial" w:cs="Lucida Grande"/>
          <w:szCs w:val="26"/>
        </w:rPr>
      </w:r>
      <w:r w:rsidR="00A108A1">
        <w:rPr>
          <w:rFonts w:ascii="Arial" w:hAnsi="Arial" w:cs="Lucida Grande"/>
          <w:szCs w:val="26"/>
        </w:rPr>
        <w:fldChar w:fldCharType="end"/>
      </w:r>
      <w:r>
        <w:rPr>
          <w:rFonts w:ascii="Arial" w:hAnsi="Arial" w:cs="Lucida Grande"/>
          <w:szCs w:val="26"/>
        </w:rPr>
      </w:r>
      <w:r>
        <w:rPr>
          <w:rFonts w:ascii="Arial" w:hAnsi="Arial" w:cs="Lucida Grande"/>
          <w:szCs w:val="26"/>
        </w:rPr>
        <w:fldChar w:fldCharType="separate"/>
      </w:r>
      <w:r>
        <w:rPr>
          <w:rFonts w:ascii="Arial" w:hAnsi="Arial" w:cs="Lucida Grande"/>
          <w:noProof/>
          <w:szCs w:val="26"/>
        </w:rPr>
        <w:t>(Rubin et al., 2006, Price et al., 2011)</w:t>
      </w:r>
      <w:r>
        <w:rPr>
          <w:rFonts w:ascii="Arial" w:hAnsi="Arial" w:cs="Lucida Grande"/>
          <w:szCs w:val="26"/>
        </w:rPr>
        <w:fldChar w:fldCharType="end"/>
      </w:r>
      <w:r>
        <w:rPr>
          <w:rFonts w:ascii="Arial" w:hAnsi="Arial" w:cs="Lucida Grande"/>
          <w:szCs w:val="26"/>
        </w:rPr>
        <w:t xml:space="preserve">. </w:t>
      </w:r>
    </w:p>
    <w:p w14:paraId="79FBEC44" w14:textId="77777777" w:rsidR="00E56FC6" w:rsidRDefault="00E56FC6" w:rsidP="007B76C3">
      <w:pPr>
        <w:widowControl w:val="0"/>
        <w:tabs>
          <w:tab w:val="left" w:pos="220"/>
          <w:tab w:val="left" w:pos="720"/>
        </w:tabs>
        <w:autoSpaceDE w:val="0"/>
        <w:autoSpaceDN w:val="0"/>
        <w:adjustRightInd w:val="0"/>
        <w:spacing w:line="480" w:lineRule="auto"/>
        <w:jc w:val="both"/>
        <w:rPr>
          <w:rFonts w:ascii="Arial" w:hAnsi="Arial" w:cs="Lucida Grande"/>
          <w:szCs w:val="26"/>
        </w:rPr>
      </w:pPr>
    </w:p>
    <w:p w14:paraId="50A3D4ED" w14:textId="77777777" w:rsidR="00D27346" w:rsidRDefault="00FA457C" w:rsidP="00D27346">
      <w:pPr>
        <w:keepNext/>
        <w:widowControl w:val="0"/>
        <w:tabs>
          <w:tab w:val="left" w:pos="220"/>
          <w:tab w:val="left" w:pos="720"/>
        </w:tabs>
        <w:autoSpaceDE w:val="0"/>
        <w:autoSpaceDN w:val="0"/>
        <w:adjustRightInd w:val="0"/>
        <w:spacing w:line="480" w:lineRule="auto"/>
        <w:jc w:val="both"/>
      </w:pPr>
      <w:r>
        <w:rPr>
          <w:rFonts w:ascii="Arial" w:hAnsi="Arial" w:cs="Lucida Grande"/>
          <w:noProof/>
          <w:szCs w:val="26"/>
          <w:lang w:val="en-US"/>
        </w:rPr>
        <w:lastRenderedPageBreak/>
        <w:drawing>
          <wp:inline distT="0" distB="0" distL="0" distR="0" wp14:anchorId="3EFD2AFB" wp14:editId="1166A7CB">
            <wp:extent cx="6111709" cy="3790335"/>
            <wp:effectExtent l="0" t="0" r="10160" b="0"/>
            <wp:docPr id="17" name="Picture 17" descr="Macintosh HD:Users:appleuser:Desktop:stimul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ppleuser:Desktop:stimuli.png"/>
                    <pic:cNvPicPr>
                      <a:picLocks noChangeAspect="1" noChangeArrowheads="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11709" cy="3790335"/>
                    </a:xfrm>
                    <a:prstGeom prst="rect">
                      <a:avLst/>
                    </a:prstGeom>
                    <a:noFill/>
                    <a:ln>
                      <a:noFill/>
                    </a:ln>
                  </pic:spPr>
                </pic:pic>
              </a:graphicData>
            </a:graphic>
          </wp:inline>
        </w:drawing>
      </w:r>
    </w:p>
    <w:p w14:paraId="382C7B6A" w14:textId="77777777" w:rsidR="00D27346" w:rsidRDefault="00D27346" w:rsidP="00D27346">
      <w:pPr>
        <w:pStyle w:val="Caption"/>
        <w:jc w:val="both"/>
      </w:pPr>
    </w:p>
    <w:p w14:paraId="1D8759E4" w14:textId="77777777" w:rsidR="007B76C3" w:rsidRPr="00D27346" w:rsidRDefault="004A37C7" w:rsidP="008C5A59">
      <w:pPr>
        <w:pStyle w:val="Caption"/>
        <w:spacing w:line="360" w:lineRule="auto"/>
        <w:jc w:val="both"/>
        <w:rPr>
          <w:rFonts w:ascii="Arial" w:hAnsi="Arial" w:cs="Arial"/>
          <w:color w:val="244061" w:themeColor="accent1" w:themeShade="80"/>
          <w:sz w:val="24"/>
          <w:szCs w:val="24"/>
        </w:rPr>
      </w:pPr>
      <w:bookmarkStart w:id="24" w:name="_Toc383544600"/>
      <w:r>
        <w:rPr>
          <w:rFonts w:ascii="Arial" w:hAnsi="Arial" w:cs="Arial"/>
          <w:color w:val="244061" w:themeColor="accent1" w:themeShade="80"/>
          <w:sz w:val="24"/>
          <w:szCs w:val="24"/>
        </w:rPr>
        <w:t xml:space="preserve">Figure </w:t>
      </w:r>
      <w:r w:rsidR="00D27346" w:rsidRPr="00D27346">
        <w:rPr>
          <w:rFonts w:ascii="Arial" w:hAnsi="Arial" w:cs="Arial"/>
          <w:color w:val="244061" w:themeColor="accent1" w:themeShade="80"/>
          <w:sz w:val="24"/>
          <w:szCs w:val="24"/>
        </w:rPr>
        <w:fldChar w:fldCharType="begin"/>
      </w:r>
      <w:r w:rsidR="00D27346" w:rsidRPr="00D27346">
        <w:rPr>
          <w:rFonts w:ascii="Arial" w:hAnsi="Arial" w:cs="Arial"/>
          <w:color w:val="244061" w:themeColor="accent1" w:themeShade="80"/>
          <w:sz w:val="24"/>
          <w:szCs w:val="24"/>
        </w:rPr>
        <w:instrText xml:space="preserve"> SEQ Figure \* ARABIC </w:instrText>
      </w:r>
      <w:r w:rsidR="00D27346" w:rsidRPr="00D27346">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9</w:t>
      </w:r>
      <w:r w:rsidR="00D27346" w:rsidRPr="00D27346">
        <w:rPr>
          <w:rFonts w:ascii="Arial" w:hAnsi="Arial" w:cs="Arial"/>
          <w:color w:val="244061" w:themeColor="accent1" w:themeShade="80"/>
          <w:sz w:val="24"/>
          <w:szCs w:val="24"/>
        </w:rPr>
        <w:fldChar w:fldCharType="end"/>
      </w:r>
      <w:r w:rsidR="00D27346" w:rsidRPr="00D27346">
        <w:rPr>
          <w:rFonts w:ascii="Arial" w:hAnsi="Arial" w:cs="Arial"/>
          <w:color w:val="244061" w:themeColor="accent1" w:themeShade="80"/>
          <w:sz w:val="24"/>
          <w:szCs w:val="24"/>
        </w:rPr>
        <w:t xml:space="preserve"> Schematic representation of signalling pathways activated by mechanical stimuli in osteoblastic cells</w:t>
      </w:r>
      <w:bookmarkEnd w:id="24"/>
    </w:p>
    <w:p w14:paraId="6C904522" w14:textId="77777777" w:rsidR="007369A9" w:rsidRDefault="00E91D80" w:rsidP="008C5A59">
      <w:pPr>
        <w:spacing w:line="360" w:lineRule="auto"/>
        <w:jc w:val="both"/>
        <w:rPr>
          <w:rFonts w:ascii="Arial" w:hAnsi="Arial" w:cs="Arial"/>
          <w:sz w:val="22"/>
          <w:szCs w:val="22"/>
        </w:rPr>
      </w:pPr>
      <w:r>
        <w:rPr>
          <w:rFonts w:ascii="Arial" w:hAnsi="Arial" w:cs="Arial"/>
          <w:sz w:val="22"/>
          <w:szCs w:val="22"/>
        </w:rPr>
        <w:t>Mechanical loading engendered stimuli are sensed by a v</w:t>
      </w:r>
      <w:r w:rsidR="0081792E">
        <w:rPr>
          <w:rFonts w:ascii="Arial" w:hAnsi="Arial" w:cs="Arial"/>
          <w:sz w:val="22"/>
          <w:szCs w:val="22"/>
        </w:rPr>
        <w:t>ariety of receptors, stretch activated cation Ca</w:t>
      </w:r>
      <w:r w:rsidR="0081792E">
        <w:rPr>
          <w:rFonts w:ascii="Arial" w:hAnsi="Arial" w:cs="Arial"/>
          <w:sz w:val="22"/>
          <w:szCs w:val="22"/>
          <w:vertAlign w:val="superscript"/>
        </w:rPr>
        <w:t>2+</w:t>
      </w:r>
      <w:r w:rsidR="0081792E">
        <w:rPr>
          <w:rFonts w:ascii="Arial" w:hAnsi="Arial" w:cs="Arial"/>
          <w:sz w:val="22"/>
          <w:szCs w:val="22"/>
        </w:rPr>
        <w:t xml:space="preserve"> </w:t>
      </w:r>
      <w:r w:rsidR="00D255B0">
        <w:rPr>
          <w:rFonts w:ascii="Arial" w:hAnsi="Arial" w:cs="Arial"/>
          <w:sz w:val="22"/>
          <w:szCs w:val="22"/>
        </w:rPr>
        <w:t>channels and</w:t>
      </w:r>
      <w:r w:rsidR="005C5529">
        <w:rPr>
          <w:rFonts w:ascii="Arial" w:hAnsi="Arial" w:cs="Arial"/>
          <w:sz w:val="22"/>
          <w:szCs w:val="22"/>
        </w:rPr>
        <w:t xml:space="preserve"> </w:t>
      </w:r>
      <w:r w:rsidR="0081792E">
        <w:rPr>
          <w:rFonts w:ascii="Arial" w:hAnsi="Arial" w:cs="Arial"/>
          <w:sz w:val="22"/>
          <w:szCs w:val="22"/>
        </w:rPr>
        <w:t>integrin mediated connections to the extracellular matrix (ECM)</w:t>
      </w:r>
      <w:r w:rsidR="007854E0">
        <w:rPr>
          <w:rFonts w:ascii="Arial" w:hAnsi="Arial" w:cs="Arial"/>
          <w:sz w:val="22"/>
          <w:szCs w:val="22"/>
        </w:rPr>
        <w:t xml:space="preserve">. These in turn activate a number of signalling pathways that result in </w:t>
      </w:r>
      <w:r w:rsidR="00D0004A">
        <w:rPr>
          <w:rFonts w:ascii="Arial" w:hAnsi="Arial" w:cs="Arial"/>
          <w:sz w:val="22"/>
          <w:szCs w:val="22"/>
        </w:rPr>
        <w:t xml:space="preserve">decreased expression of anti-osteogenic factors including sclerostin and </w:t>
      </w:r>
      <w:r w:rsidR="007854E0">
        <w:rPr>
          <w:rFonts w:ascii="Arial" w:hAnsi="Arial" w:cs="Arial"/>
          <w:sz w:val="22"/>
          <w:szCs w:val="22"/>
        </w:rPr>
        <w:t xml:space="preserve">increased </w:t>
      </w:r>
      <w:r w:rsidR="00D0004A">
        <w:rPr>
          <w:rFonts w:ascii="Arial" w:hAnsi="Arial" w:cs="Arial"/>
          <w:sz w:val="22"/>
          <w:szCs w:val="22"/>
        </w:rPr>
        <w:t xml:space="preserve">signalling by the </w:t>
      </w:r>
      <w:r w:rsidR="001125A3">
        <w:rPr>
          <w:rFonts w:ascii="Arial" w:hAnsi="Arial" w:cs="Arial"/>
          <w:sz w:val="22"/>
          <w:szCs w:val="22"/>
        </w:rPr>
        <w:t xml:space="preserve">pro-osteogenic </w:t>
      </w:r>
      <w:r w:rsidR="00D0004A">
        <w:rPr>
          <w:rFonts w:ascii="Arial" w:hAnsi="Arial" w:cs="Arial"/>
          <w:sz w:val="22"/>
          <w:szCs w:val="22"/>
        </w:rPr>
        <w:t>molecules including Wnts</w:t>
      </w:r>
      <w:r w:rsidR="00977466">
        <w:rPr>
          <w:rFonts w:ascii="Arial" w:hAnsi="Arial" w:cs="Arial"/>
          <w:sz w:val="22"/>
          <w:szCs w:val="22"/>
        </w:rPr>
        <w:t>, prostaglandins (PGE2)</w:t>
      </w:r>
      <w:r w:rsidR="00D0004A">
        <w:rPr>
          <w:rFonts w:ascii="Arial" w:hAnsi="Arial" w:cs="Arial"/>
          <w:sz w:val="22"/>
          <w:szCs w:val="22"/>
        </w:rPr>
        <w:t xml:space="preserve"> and insulin like growth factors (IGFs)</w:t>
      </w:r>
      <w:r w:rsidR="009B18ED">
        <w:rPr>
          <w:rFonts w:ascii="Arial" w:hAnsi="Arial" w:cs="Arial"/>
          <w:sz w:val="22"/>
          <w:szCs w:val="22"/>
        </w:rPr>
        <w:t xml:space="preserve">, which signal changes in the activity of intracellular mediators and transcription factors including </w:t>
      </w:r>
      <w:r w:rsidR="009B18ED">
        <w:rPr>
          <w:rFonts w:ascii="Arial" w:hAnsi="Arial" w:cs="Arial"/>
          <w:sz w:val="22"/>
          <w:szCs w:val="22"/>
        </w:rPr>
        <w:sym w:font="Symbol" w:char="F062"/>
      </w:r>
      <w:r w:rsidR="00A01FF3">
        <w:rPr>
          <w:rFonts w:ascii="Arial" w:hAnsi="Arial" w:cs="Arial"/>
          <w:sz w:val="22"/>
          <w:szCs w:val="22"/>
        </w:rPr>
        <w:t>-catenin and estrogen receptor-</w:t>
      </w:r>
      <w:r w:rsidR="00A01FF3">
        <w:rPr>
          <w:rFonts w:ascii="Arial" w:hAnsi="Arial" w:cs="Arial"/>
          <w:sz w:val="22"/>
          <w:szCs w:val="22"/>
        </w:rPr>
        <w:sym w:font="Symbol" w:char="F061"/>
      </w:r>
      <w:r w:rsidR="00A01FF3">
        <w:rPr>
          <w:rFonts w:ascii="Arial" w:hAnsi="Arial" w:cs="Arial"/>
          <w:sz w:val="22"/>
          <w:szCs w:val="22"/>
        </w:rPr>
        <w:t xml:space="preserve"> (ER</w:t>
      </w:r>
      <w:r w:rsidR="00A01FF3">
        <w:rPr>
          <w:rFonts w:ascii="Arial" w:hAnsi="Arial" w:cs="Arial"/>
          <w:sz w:val="22"/>
          <w:szCs w:val="22"/>
        </w:rPr>
        <w:sym w:font="Symbol" w:char="F061"/>
      </w:r>
      <w:r w:rsidR="00A01FF3">
        <w:rPr>
          <w:rFonts w:ascii="Arial" w:hAnsi="Arial" w:cs="Arial"/>
          <w:sz w:val="22"/>
          <w:szCs w:val="22"/>
        </w:rPr>
        <w:t xml:space="preserve">). </w:t>
      </w:r>
      <w:r w:rsidR="0086614F">
        <w:rPr>
          <w:rFonts w:ascii="Arial" w:hAnsi="Arial" w:cs="Arial"/>
          <w:sz w:val="22"/>
          <w:szCs w:val="22"/>
        </w:rPr>
        <w:t xml:space="preserve">The local processes are influenced by systemic hormones including leptin and parathyroid hormone, which act through their cognate membrane receptors. </w:t>
      </w:r>
    </w:p>
    <w:p w14:paraId="75B92A3A" w14:textId="77777777" w:rsidR="007B76C3" w:rsidRDefault="007B76C3" w:rsidP="008C5A59">
      <w:pPr>
        <w:spacing w:line="360" w:lineRule="auto"/>
        <w:jc w:val="both"/>
        <w:rPr>
          <w:rFonts w:ascii="Arial" w:hAnsi="Arial" w:cs="Arial"/>
          <w:sz w:val="22"/>
          <w:szCs w:val="22"/>
        </w:rPr>
      </w:pPr>
      <w:r>
        <w:rPr>
          <w:rFonts w:ascii="Arial" w:hAnsi="Arial" w:cs="Arial"/>
          <w:sz w:val="22"/>
          <w:szCs w:val="22"/>
        </w:rPr>
        <w:t xml:space="preserve">Image </w:t>
      </w:r>
      <w:r w:rsidR="001F2819">
        <w:rPr>
          <w:rFonts w:ascii="Arial" w:hAnsi="Arial" w:cs="Arial"/>
          <w:sz w:val="22"/>
          <w:szCs w:val="22"/>
        </w:rPr>
        <w:t>reproduced</w:t>
      </w:r>
      <w:r>
        <w:rPr>
          <w:rFonts w:ascii="Arial" w:hAnsi="Arial" w:cs="Arial"/>
          <w:sz w:val="22"/>
          <w:szCs w:val="22"/>
        </w:rPr>
        <w:t xml:space="preserve"> with permission from </w:t>
      </w:r>
      <w:r>
        <w:rPr>
          <w:rFonts w:ascii="Arial" w:hAnsi="Arial" w:cs="Arial"/>
          <w:sz w:val="22"/>
          <w:szCs w:val="22"/>
        </w:rPr>
        <w:fldChar w:fldCharType="begin"/>
      </w:r>
      <w:r w:rsidR="00A108A1">
        <w:rPr>
          <w:rFonts w:ascii="Arial" w:hAnsi="Arial" w:cs="Arial"/>
          <w:sz w:val="22"/>
          <w:szCs w:val="22"/>
        </w:rPr>
        <w:instrText xml:space="preserve"> ADDIN EN.CITE &lt;EndNote&gt;&lt;Cite&gt;&lt;Author&gt;Price&lt;/Author&gt;&lt;Year&gt;2011&lt;/Year&gt;&lt;RecNum&gt;197&lt;/RecNum&gt;&lt;DisplayText&gt;(Price et al., 2011)&lt;/DisplayText&gt;&lt;record&gt;&lt;rec-number&gt;197&lt;/rec-number&gt;&lt;foreign-keys&gt;&lt;key app="EN" db-id="ae9rewfrpdttrheppfxxv0p4950wpd25r09x" timestamp="1520658068"&gt;197&lt;/key&gt;&lt;key app="ENWeb" db-id=""&gt;0&lt;/key&gt;&lt;/foreign-keys&gt;&lt;ref-type name="Journal Article"&gt;17&lt;/ref-type&gt;&lt;contributors&gt;&lt;authors&gt;&lt;author&gt;Price, Joanna S.&lt;/author&gt;&lt;author&gt;Sugiyama, Toshihiro&lt;/author&gt;&lt;author&gt;Galea, Gabriel L.&lt;/author&gt;&lt;author&gt;Meakin, Lee B.&lt;/author&gt;&lt;author&gt;Lanyon, Lance E.&lt;/author&gt;&lt;author&gt;Sunters, Andrew&lt;/author&gt;&lt;/authors&gt;&lt;/contributors&gt;&lt;titles&gt;&lt;title&gt;Role of endocrine and paracrine factors in the adaptation of bone to mechanical loading&lt;/title&gt;&lt;secondary-title&gt;Current Osteoporosis Reports&lt;/secondary-title&gt;&lt;/titles&gt;&lt;periodical&gt;&lt;full-title&gt;Current Osteoporosis Reports&lt;/full-title&gt;&lt;/periodical&gt;&lt;pages&gt;76-82&lt;/pages&gt;&lt;volume&gt;9&lt;/volume&gt;&lt;number&gt;2&lt;/number&gt;&lt;keywords&gt;&lt;keyword&gt;Bone Loading&lt;/keyword&gt;&lt;keyword&gt;Bone Remodeling Regulation&lt;/keyword&gt;&lt;keyword&gt;Estrogen Receptor-Α&lt;/keyword&gt;&lt;keyword&gt;Parathyroid Hormone&lt;/keyword&gt;&lt;keyword&gt;Sclerostin&lt;/keyword&gt;&lt;/keywords&gt;&lt;dates&gt;&lt;year&gt;2011&lt;/year&gt;&lt;/dates&gt;&lt;isbn&gt;15441873&lt;/isbn&gt;&lt;urls&gt;&lt;/urls&gt;&lt;electronic-resource-num&gt;10.1007/s11914-011-0050-7&lt;/electronic-resource-num&gt;&lt;/record&gt;&lt;/Cite&gt;&lt;/EndNote&gt;</w:instrText>
      </w:r>
      <w:r>
        <w:rPr>
          <w:rFonts w:ascii="Arial" w:hAnsi="Arial" w:cs="Arial"/>
          <w:sz w:val="22"/>
          <w:szCs w:val="22"/>
        </w:rPr>
        <w:fldChar w:fldCharType="separate"/>
      </w:r>
      <w:r>
        <w:rPr>
          <w:rFonts w:ascii="Arial" w:hAnsi="Arial" w:cs="Arial"/>
          <w:noProof/>
          <w:sz w:val="22"/>
          <w:szCs w:val="22"/>
        </w:rPr>
        <w:t>(Price et al., 2011)</w:t>
      </w:r>
      <w:r>
        <w:rPr>
          <w:rFonts w:ascii="Arial" w:hAnsi="Arial" w:cs="Arial"/>
          <w:sz w:val="22"/>
          <w:szCs w:val="22"/>
        </w:rPr>
        <w:fldChar w:fldCharType="end"/>
      </w:r>
    </w:p>
    <w:p w14:paraId="5B95DD18" w14:textId="77777777" w:rsidR="0094576F" w:rsidRPr="00123CF7" w:rsidRDefault="0094576F" w:rsidP="007B76C3">
      <w:pPr>
        <w:rPr>
          <w:rFonts w:ascii="Arial" w:hAnsi="Arial" w:cs="Arial"/>
          <w:sz w:val="22"/>
          <w:szCs w:val="22"/>
        </w:rPr>
      </w:pPr>
    </w:p>
    <w:p w14:paraId="1F4FBC76" w14:textId="77777777" w:rsidR="00E56FC6" w:rsidRDefault="00E56FC6" w:rsidP="007B76C3">
      <w:pPr>
        <w:autoSpaceDE w:val="0"/>
        <w:autoSpaceDN w:val="0"/>
        <w:adjustRightInd w:val="0"/>
        <w:spacing w:line="480" w:lineRule="auto"/>
        <w:jc w:val="both"/>
        <w:rPr>
          <w:rFonts w:ascii="Arial" w:hAnsi="Arial" w:cs="Arial"/>
          <w:b/>
          <w:bCs/>
          <w:noProof/>
          <w:color w:val="000000" w:themeColor="text1"/>
        </w:rPr>
      </w:pPr>
    </w:p>
    <w:p w14:paraId="50FDAD12" w14:textId="77777777" w:rsidR="007B76C3" w:rsidRDefault="007B76C3" w:rsidP="00D40E59">
      <w:pPr>
        <w:pStyle w:val="Heading2"/>
        <w:rPr>
          <w:rFonts w:cs="Calibri"/>
          <w:color w:val="000000"/>
        </w:rPr>
      </w:pPr>
      <w:bookmarkStart w:id="25" w:name="_Toc383723849"/>
      <w:r>
        <w:t>1.3 Rodent models</w:t>
      </w:r>
      <w:r w:rsidRPr="007705A9">
        <w:t xml:space="preserve"> of mechanical loading </w:t>
      </w:r>
      <w:r>
        <w:t>and skeletal ageing</w:t>
      </w:r>
      <w:bookmarkEnd w:id="25"/>
    </w:p>
    <w:p w14:paraId="2EE559D7" w14:textId="77777777" w:rsidR="00C068B0" w:rsidRDefault="007B76C3" w:rsidP="007B76C3">
      <w:pPr>
        <w:tabs>
          <w:tab w:val="left" w:pos="8080"/>
        </w:tabs>
        <w:spacing w:line="480" w:lineRule="auto"/>
        <w:jc w:val="both"/>
        <w:rPr>
          <w:rFonts w:ascii="Arial" w:hAnsi="Arial" w:cs="Arial"/>
        </w:rPr>
      </w:pPr>
      <w:r>
        <w:rPr>
          <w:rFonts w:ascii="Arial" w:hAnsi="Arial" w:cs="Arial"/>
          <w:color w:val="000000" w:themeColor="text1"/>
        </w:rPr>
        <w:t>Rodents are widely used model organisms to study bone homeostasis, the effect of ageing on the skeleton and develop potential interventions</w:t>
      </w:r>
      <w:r w:rsidR="00E70071">
        <w:rPr>
          <w:rFonts w:ascii="Arial" w:hAnsi="Arial" w:cs="Arial"/>
          <w:color w:val="000000" w:themeColor="text1"/>
        </w:rPr>
        <w:t xml:space="preserve"> </w:t>
      </w:r>
      <w:r w:rsidR="00E70071">
        <w:rPr>
          <w:rFonts w:ascii="Arial" w:hAnsi="Arial" w:cs="Arial"/>
          <w:color w:val="000000" w:themeColor="text1"/>
        </w:rPr>
        <w:fldChar w:fldCharType="begin">
          <w:fldData xml:space="preserve">PEVuZE5vdGU+PENpdGU+PEF1dGhvcj5GZXJndXNvbjwvQXV0aG9yPjxZZWFyPjIwMDM8L1llYXI+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</w:fldData>
        </w:fldChar>
      </w:r>
      <w:r w:rsidR="0000415D">
        <w:rPr>
          <w:rFonts w:ascii="Arial" w:hAnsi="Arial" w:cs="Arial"/>
          <w:color w:val="000000" w:themeColor="text1"/>
        </w:rPr>
        <w:instrText xml:space="preserve"> ADDIN EN.CITE </w:instrText>
      </w:r>
      <w:r w:rsidR="0000415D">
        <w:rPr>
          <w:rFonts w:ascii="Arial" w:hAnsi="Arial" w:cs="Arial"/>
          <w:color w:val="000000" w:themeColor="text1"/>
        </w:rPr>
        <w:fldChar w:fldCharType="begin">
          <w:fldData xml:space="preserve">PEVuZE5vdGU+PENpdGU+PEF1dGhvcj5GZXJndXNvbjwvQXV0aG9yPjxZZWFyPjIwMDM8L1llYXI+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</w:fldData>
        </w:fldChar>
      </w:r>
      <w:r w:rsidR="0000415D">
        <w:rPr>
          <w:rFonts w:ascii="Arial" w:hAnsi="Arial" w:cs="Arial"/>
          <w:color w:val="000000" w:themeColor="text1"/>
        </w:rPr>
        <w:instrText xml:space="preserve"> ADDIN EN.CITE.DATA </w:instrText>
      </w:r>
      <w:r w:rsidR="0000415D">
        <w:rPr>
          <w:rFonts w:ascii="Arial" w:hAnsi="Arial" w:cs="Arial"/>
          <w:color w:val="000000" w:themeColor="text1"/>
        </w:rPr>
      </w:r>
      <w:r w:rsidR="0000415D">
        <w:rPr>
          <w:rFonts w:ascii="Arial" w:hAnsi="Arial" w:cs="Arial"/>
          <w:color w:val="000000" w:themeColor="text1"/>
        </w:rPr>
        <w:fldChar w:fldCharType="end"/>
      </w:r>
      <w:r w:rsidR="00E70071">
        <w:rPr>
          <w:rFonts w:ascii="Arial" w:hAnsi="Arial" w:cs="Arial"/>
          <w:color w:val="000000" w:themeColor="text1"/>
        </w:rPr>
      </w:r>
      <w:r w:rsidR="00E70071">
        <w:rPr>
          <w:rFonts w:ascii="Arial" w:hAnsi="Arial" w:cs="Arial"/>
          <w:color w:val="000000" w:themeColor="text1"/>
        </w:rPr>
        <w:fldChar w:fldCharType="separate"/>
      </w:r>
      <w:r w:rsidR="00951583">
        <w:rPr>
          <w:rFonts w:ascii="Arial" w:hAnsi="Arial" w:cs="Arial"/>
          <w:noProof/>
          <w:color w:val="000000" w:themeColor="text1"/>
        </w:rPr>
        <w:t xml:space="preserve">(Ferguson et al., 2003, Lee et al., 2003, De Souza et al., 2005a, Andrikopoulos et al., 2008, Sugiyama et al., 2010, Syed and </w:t>
      </w:r>
      <w:r w:rsidR="00951583">
        <w:rPr>
          <w:rFonts w:ascii="Arial" w:hAnsi="Arial" w:cs="Arial"/>
          <w:noProof/>
          <w:color w:val="000000" w:themeColor="text1"/>
        </w:rPr>
        <w:lastRenderedPageBreak/>
        <w:t>Melim, 2011, Hattori et al., 2014)</w:t>
      </w:r>
      <w:r w:rsidR="00E70071">
        <w:rPr>
          <w:rFonts w:ascii="Arial" w:hAnsi="Arial" w:cs="Arial"/>
          <w:color w:val="000000" w:themeColor="text1"/>
        </w:rPr>
        <w:fldChar w:fldCharType="end"/>
      </w:r>
      <w:r w:rsidR="009D2ECA">
        <w:rPr>
          <w:rFonts w:ascii="Arial" w:hAnsi="Arial" w:cs="Arial"/>
          <w:color w:val="000000" w:themeColor="text1"/>
        </w:rPr>
        <w:t>.</w:t>
      </w:r>
      <w:r w:rsidR="00DA59E9">
        <w:rPr>
          <w:rFonts w:ascii="Arial" w:hAnsi="Arial" w:cs="Arial"/>
          <w:color w:val="000000" w:themeColor="text1"/>
        </w:rPr>
        <w:t xml:space="preserve"> </w:t>
      </w:r>
      <w:r>
        <w:rPr>
          <w:rFonts w:ascii="Arial" w:hAnsi="Arial" w:cs="Arial"/>
          <w:color w:val="000000" w:themeColor="text1"/>
        </w:rPr>
        <w:t>The advantages of rodents are that they are relatively inexpensive to purchase and house. Genetic modifications of rodents are easier compared with larger animal models</w:t>
      </w:r>
      <w:r w:rsidR="00E70071">
        <w:rPr>
          <w:rFonts w:ascii="Arial" w:hAnsi="Arial" w:cs="Arial"/>
          <w:color w:val="000000" w:themeColor="text1"/>
        </w:rPr>
        <w:t xml:space="preserve"> </w:t>
      </w:r>
      <w:r w:rsidR="00E70071">
        <w:rPr>
          <w:rFonts w:ascii="Arial" w:hAnsi="Arial" w:cs="Arial"/>
          <w:color w:val="000000" w:themeColor="text1"/>
        </w:rPr>
        <w:fldChar w:fldCharType="begin">
          <w:fldData xml:space="preserve">PEVuZE5vdGU+PENpdGU+PEF1dGhvcj5Ta2FybmVzPC9BdXRob3I+PFllYXI+MjAxMTwvWWVhcj48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</w:fldData>
        </w:fldChar>
      </w:r>
      <w:r w:rsidR="0000415D">
        <w:rPr>
          <w:rFonts w:ascii="Arial" w:hAnsi="Arial" w:cs="Arial"/>
          <w:color w:val="000000" w:themeColor="text1"/>
        </w:rPr>
        <w:instrText xml:space="preserve"> ADDIN EN.CITE </w:instrText>
      </w:r>
      <w:r w:rsidR="0000415D">
        <w:rPr>
          <w:rFonts w:ascii="Arial" w:hAnsi="Arial" w:cs="Arial"/>
          <w:color w:val="000000" w:themeColor="text1"/>
        </w:rPr>
        <w:fldChar w:fldCharType="begin">
          <w:fldData xml:space="preserve">PEVuZE5vdGU+PENpdGU+PEF1dGhvcj5Ta2FybmVzPC9BdXRob3I+PFllYXI+MjAxMTwvWWVhcj48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</w:fldData>
        </w:fldChar>
      </w:r>
      <w:r w:rsidR="0000415D">
        <w:rPr>
          <w:rFonts w:ascii="Arial" w:hAnsi="Arial" w:cs="Arial"/>
          <w:color w:val="000000" w:themeColor="text1"/>
        </w:rPr>
        <w:instrText xml:space="preserve"> ADDIN EN.CITE.DATA </w:instrText>
      </w:r>
      <w:r w:rsidR="0000415D">
        <w:rPr>
          <w:rFonts w:ascii="Arial" w:hAnsi="Arial" w:cs="Arial"/>
          <w:color w:val="000000" w:themeColor="text1"/>
        </w:rPr>
      </w:r>
      <w:r w:rsidR="0000415D">
        <w:rPr>
          <w:rFonts w:ascii="Arial" w:hAnsi="Arial" w:cs="Arial"/>
          <w:color w:val="000000" w:themeColor="text1"/>
        </w:rPr>
        <w:fldChar w:fldCharType="end"/>
      </w:r>
      <w:r w:rsidR="00E70071">
        <w:rPr>
          <w:rFonts w:ascii="Arial" w:hAnsi="Arial" w:cs="Arial"/>
          <w:color w:val="000000" w:themeColor="text1"/>
        </w:rPr>
      </w:r>
      <w:r w:rsidR="00E70071">
        <w:rPr>
          <w:rFonts w:ascii="Arial" w:hAnsi="Arial" w:cs="Arial"/>
          <w:color w:val="000000" w:themeColor="text1"/>
        </w:rPr>
        <w:fldChar w:fldCharType="separate"/>
      </w:r>
      <w:r w:rsidR="00E70071">
        <w:rPr>
          <w:rFonts w:ascii="Arial" w:hAnsi="Arial" w:cs="Arial"/>
          <w:noProof/>
          <w:color w:val="000000" w:themeColor="text1"/>
        </w:rPr>
        <w:t>(Skarnes et al., 2011)</w:t>
      </w:r>
      <w:r w:rsidR="00E70071">
        <w:rPr>
          <w:rFonts w:ascii="Arial" w:hAnsi="Arial" w:cs="Arial"/>
          <w:color w:val="000000" w:themeColor="text1"/>
        </w:rPr>
        <w:fldChar w:fldCharType="end"/>
      </w:r>
      <w:r w:rsidR="00E70071">
        <w:rPr>
          <w:rFonts w:ascii="Arial" w:hAnsi="Arial" w:cs="Arial"/>
          <w:color w:val="000000" w:themeColor="text1"/>
        </w:rPr>
        <w:t xml:space="preserve">. </w:t>
      </w:r>
      <w:r>
        <w:rPr>
          <w:rFonts w:ascii="Arial" w:hAnsi="Arial" w:cs="Arial"/>
        </w:rPr>
        <w:t xml:space="preserve">Additionally, rodent models </w:t>
      </w:r>
      <w:r w:rsidRPr="00882763">
        <w:rPr>
          <w:rFonts w:ascii="Arial" w:hAnsi="Arial" w:cs="Arial"/>
        </w:rPr>
        <w:t xml:space="preserve">exhibit small levels of inter-individual variation due to use </w:t>
      </w:r>
      <w:r>
        <w:rPr>
          <w:rFonts w:ascii="Arial" w:hAnsi="Arial" w:cs="Arial"/>
        </w:rPr>
        <w:t>of the inbred strains. Murine skeletal anatomy has similarities with the anatomy of the human skeleton with similar distribution of cortical and trabecular bones</w:t>
      </w:r>
      <w:r w:rsidR="001E2699">
        <w:rPr>
          <w:rFonts w:ascii="Arial" w:hAnsi="Arial" w:cs="Arial"/>
        </w:rPr>
        <w:t xml:space="preserve"> </w:t>
      </w:r>
      <w:r w:rsidR="009B48F9">
        <w:rPr>
          <w:rFonts w:ascii="Arial" w:hAnsi="Arial" w:cs="Arial"/>
        </w:rPr>
        <w:fldChar w:fldCharType="begin"/>
      </w:r>
      <w:r w:rsidR="00A108A1">
        <w:rPr>
          <w:rFonts w:ascii="Arial" w:hAnsi="Arial" w:cs="Arial"/>
        </w:rPr>
        <w:instrText xml:space="preserve"> ADDIN EN.CITE &lt;EndNote&gt;&lt;Cite&gt;&lt;Author&gt;Mosekilde&lt;/Author&gt;&lt;Year&gt;1995&lt;/Year&gt;&lt;RecNum&gt;366&lt;/RecNum&gt;&lt;DisplayText&gt;(Mosekilde, 1995)&lt;/DisplayText&gt;&lt;record&gt;&lt;rec-number&gt;366&lt;/rec-number&gt;&lt;foreign-keys&gt;&lt;key app="EN" db-id="ae9rewfrpdttrheppfxxv0p4950wpd25r09x" timestamp="1520658300"&gt;366&lt;/key&gt;&lt;/foreign-keys&gt;&lt;ref-type name="Journal Article"&gt;17&lt;/ref-type&gt;&lt;contributors&gt;&lt;authors&gt;&lt;author&gt;Mosekilde, Li&lt;/author&gt;&lt;/authors&gt;&lt;/contributors&gt;&lt;titles&gt;&lt;title&gt;Assessing bone quality — Animal models in preclinical osteoporosis research&lt;/title&gt;&lt;secondary-title&gt;Bone&lt;/secondary-title&gt;&lt;/titles&gt;&lt;periodical&gt;&lt;full-title&gt;Bone&lt;/full-title&gt;&lt;/periodical&gt;&lt;pages&gt;S343-S352&lt;/pages&gt;&lt;volume&gt;17&lt;/volume&gt;&lt;number&gt;4&lt;/number&gt;&lt;dates&gt;&lt;year&gt;1995&lt;/year&gt;&lt;/dates&gt;&lt;isbn&gt;8756-3282&lt;/isbn&gt;&lt;urls&gt;&lt;/urls&gt;&lt;electronic-resource-num&gt;10.1016/8756-3282(95)00312-2&lt;/electronic-resource-num&gt;&lt;/record&gt;&lt;/Cite&gt;&lt;/EndNote&gt;</w:instrText>
      </w:r>
      <w:r w:rsidR="009B48F9">
        <w:rPr>
          <w:rFonts w:ascii="Arial" w:hAnsi="Arial" w:cs="Arial"/>
        </w:rPr>
        <w:fldChar w:fldCharType="separate"/>
      </w:r>
      <w:r w:rsidR="001E2699">
        <w:rPr>
          <w:rFonts w:ascii="Arial" w:hAnsi="Arial" w:cs="Arial"/>
          <w:noProof/>
        </w:rPr>
        <w:t>(Mosekilde, 1995)</w:t>
      </w:r>
      <w:r w:rsidR="009B48F9">
        <w:rPr>
          <w:rFonts w:ascii="Arial" w:hAnsi="Arial" w:cs="Arial"/>
        </w:rPr>
        <w:fldChar w:fldCharType="end"/>
      </w:r>
      <w:r w:rsidR="001E2699">
        <w:rPr>
          <w:rFonts w:ascii="Arial" w:hAnsi="Arial" w:cs="Arial"/>
        </w:rPr>
        <w:t xml:space="preserve">. </w:t>
      </w:r>
      <w:r>
        <w:rPr>
          <w:rFonts w:ascii="Arial" w:hAnsi="Arial" w:cs="Arial"/>
        </w:rPr>
        <w:t xml:space="preserve">In comparison to other rodent models and strains of mice, C57BL/6 mice exhibit robust response to mechanical loading and unloading </w:t>
      </w:r>
      <w:r>
        <w:rPr>
          <w:rFonts w:ascii="Arial" w:hAnsi="Arial" w:cs="Arial"/>
        </w:rPr>
        <w:fldChar w:fldCharType="begin"/>
      </w:r>
      <w:r w:rsidR="00A108A1">
        <w:rPr>
          <w:rFonts w:ascii="Arial" w:hAnsi="Arial" w:cs="Arial"/>
        </w:rPr>
        <w:instrText xml:space="preserve"> ADDIN EN.CITE &lt;EndNote&gt;&lt;Cite&gt;&lt;Author&gt;Akhter&lt;/Author&gt;&lt;Year&gt;1998&lt;/Year&gt;&lt;RecNum&gt;187&lt;/RecNum&gt;&lt;DisplayText&gt;(Akhter et al., 1998)&lt;/DisplayText&gt;&lt;record&gt;&lt;rec-number&gt;187&lt;/rec-number&gt;&lt;foreign-keys&gt;&lt;key app="EN" db-id="ae9rewfrpdttrheppfxxv0p4950wpd25r09x" timestamp="1520658050"&gt;187&lt;/key&gt;&lt;/foreign-keys&gt;&lt;ref-type name="Journal Article"&gt;17&lt;/ref-type&gt;&lt;contributors&gt;&lt;authors&gt;&lt;author&gt;Akhter, M. P.&lt;/author&gt;&lt;author&gt;Cullen, D. M.&lt;/author&gt;&lt;author&gt;Pedersen, E. A.&lt;/author&gt;&lt;author&gt;Kimmel, D. B.&lt;/author&gt;&lt;author&gt;Recker, R. R.&lt;/author&gt;&lt;/authors&gt;&lt;/contributors&gt;&lt;titles&gt;&lt;title&gt;Bone response to in vivo mechanical loading in two breeds of mice&lt;/title&gt;&lt;secondary-title&gt;Calcified Tissue International&lt;/secondary-title&gt;&lt;/titles&gt;&lt;periodical&gt;&lt;full-title&gt;Calcified Tissue International&lt;/full-title&gt;&lt;/periodical&gt;&lt;pages&gt;442-449&lt;/pages&gt;&lt;volume&gt;63&lt;/volume&gt;&lt;number&gt;5&lt;/number&gt;&lt;keywords&gt;&lt;keyword&gt;External Loading&lt;/keyword&gt;&lt;keyword&gt;Four-Point Bending&lt;/keyword&gt;&lt;keyword&gt;In Vivo Strain&lt;/keyword&gt;&lt;keyword&gt;Tibia&lt;/keyword&gt;&lt;/keywords&gt;&lt;dates&gt;&lt;year&gt;1998&lt;/year&gt;&lt;/dates&gt;&lt;isbn&gt;0171967X&lt;/isbn&gt;&lt;urls&gt;&lt;/urls&gt;&lt;electronic-resource-num&gt;10.1007/s002239900554&lt;/electronic-resource-num&gt;&lt;/record&gt;&lt;/Cite&gt;&lt;/EndNote&gt;</w:instrText>
      </w:r>
      <w:r>
        <w:rPr>
          <w:rFonts w:ascii="Arial" w:hAnsi="Arial" w:cs="Arial"/>
        </w:rPr>
        <w:fldChar w:fldCharType="separate"/>
      </w:r>
      <w:r>
        <w:rPr>
          <w:rFonts w:ascii="Arial" w:hAnsi="Arial" w:cs="Arial"/>
          <w:noProof/>
        </w:rPr>
        <w:t>(Akhter et al., 1998)</w:t>
      </w:r>
      <w:r>
        <w:rPr>
          <w:rFonts w:ascii="Arial" w:hAnsi="Arial" w:cs="Arial"/>
        </w:rPr>
        <w:fldChar w:fldCharType="end"/>
      </w:r>
      <w:r>
        <w:rPr>
          <w:rFonts w:ascii="Arial" w:hAnsi="Arial" w:cs="Arial"/>
        </w:rPr>
        <w:t xml:space="preserve">. </w:t>
      </w:r>
    </w:p>
    <w:p w14:paraId="2FB45FD4" w14:textId="77777777" w:rsidR="00C068B0" w:rsidRDefault="00C068B0" w:rsidP="007B76C3">
      <w:pPr>
        <w:tabs>
          <w:tab w:val="left" w:pos="8080"/>
        </w:tabs>
        <w:spacing w:line="480" w:lineRule="auto"/>
        <w:jc w:val="both"/>
        <w:rPr>
          <w:rFonts w:ascii="Arial" w:hAnsi="Arial" w:cs="Arial"/>
        </w:rPr>
      </w:pPr>
    </w:p>
    <w:p w14:paraId="35CD0FDF" w14:textId="77777777" w:rsidR="0094576F" w:rsidRPr="008C5A59" w:rsidRDefault="007B76C3" w:rsidP="007B76C3">
      <w:pPr>
        <w:tabs>
          <w:tab w:val="left" w:pos="8080"/>
        </w:tabs>
        <w:spacing w:line="480" w:lineRule="auto"/>
        <w:jc w:val="both"/>
        <w:rPr>
          <w:rFonts w:ascii="Arial" w:hAnsi="Arial" w:cs="Arial"/>
        </w:rPr>
      </w:pPr>
      <w:r>
        <w:rPr>
          <w:rFonts w:ascii="Arial" w:hAnsi="Arial" w:cs="Arial"/>
        </w:rPr>
        <w:t>Rodents have relatively short lifespan making it feasible to use normally ageing mice or rats, which undergone age-related bone loss, for the experimental studies. One of the rodent models of accelerated ageing is the klotho gene-deficient mouse, which exhibits several ageing phenotypes that resembles human ageing including osteoporosis, arteriosclerosis, skin atrophy and infertility</w:t>
      </w:r>
      <w:r w:rsidR="001E2699">
        <w:rPr>
          <w:rFonts w:ascii="Arial" w:hAnsi="Arial" w:cs="Arial"/>
        </w:rPr>
        <w:t xml:space="preserve"> </w:t>
      </w:r>
      <w:r w:rsidR="001E2699">
        <w:rPr>
          <w:rFonts w:ascii="Arial" w:hAnsi="Arial" w:cs="Arial"/>
        </w:rPr>
        <w:fldChar w:fldCharType="begin">
          <w:fldData xml:space="preserve">PEVuZE5vdGU+PENpdGU+PEF1dGhvcj5LdXJvLU8uPC9BdXRob3I+PFllYXI+MTk5NzwvWWVhcj48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PEVuZE5vdGU+PENpdGU+PEF1dGhvcj5LdXJvLU8uPC9BdXRob3I+PFllYXI+MTk5NzwvWWVhcj48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1E2699">
        <w:rPr>
          <w:rFonts w:ascii="Arial" w:hAnsi="Arial" w:cs="Arial"/>
        </w:rPr>
      </w:r>
      <w:r w:rsidR="001E2699">
        <w:rPr>
          <w:rFonts w:ascii="Arial" w:hAnsi="Arial" w:cs="Arial"/>
        </w:rPr>
        <w:fldChar w:fldCharType="separate"/>
      </w:r>
      <w:r w:rsidR="001E2699">
        <w:rPr>
          <w:rFonts w:ascii="Arial" w:hAnsi="Arial" w:cs="Arial"/>
          <w:noProof/>
        </w:rPr>
        <w:t>(Kuro-O. et al., 1997)</w:t>
      </w:r>
      <w:r w:rsidR="001E2699">
        <w:rPr>
          <w:rFonts w:ascii="Arial" w:hAnsi="Arial" w:cs="Arial"/>
        </w:rPr>
        <w:fldChar w:fldCharType="end"/>
      </w:r>
      <w:r w:rsidR="001E2699">
        <w:rPr>
          <w:rFonts w:ascii="Arial" w:hAnsi="Arial" w:cs="Arial"/>
        </w:rPr>
        <w:t xml:space="preserve">. </w:t>
      </w:r>
      <w:r>
        <w:rPr>
          <w:rFonts w:ascii="Arial" w:hAnsi="Arial" w:cs="Arial"/>
        </w:rPr>
        <w:t xml:space="preserve">The effect of ageing on the skeleton of C57BL/6 mice has been widely studied than in any other strains of mouse or rat </w:t>
      </w:r>
      <w:r w:rsidR="00A12B05">
        <w:rPr>
          <w:rFonts w:ascii="Arial" w:hAnsi="Arial" w:cs="Arial"/>
        </w:rPr>
        <w:fldChar w:fldCharType="begin">
          <w:fldData xml:space="preserve">PEVuZE5vdGU+PENpdGU+PEF1dGhvcj5BbG1laWRhPC9BdXRob3I+PFllYXI+MjAwNzwvWWVhcj48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</w:fldData>
        </w:fldChar>
      </w:r>
      <w:r w:rsidR="00A108A1">
        <w:rPr>
          <w:rFonts w:ascii="Arial" w:hAnsi="Arial" w:cs="Arial"/>
        </w:rPr>
        <w:instrText xml:space="preserve"> ADDIN EN.CITE </w:instrText>
      </w:r>
      <w:r w:rsidR="00A108A1">
        <w:rPr>
          <w:rFonts w:ascii="Arial" w:hAnsi="Arial" w:cs="Arial"/>
        </w:rPr>
        <w:fldChar w:fldCharType="begin">
          <w:fldData xml:space="preserve">PEVuZE5vdGU+PENpdGU+PEF1dGhvcj5BbG1laWRhPC9BdXRob3I+PFllYXI+MjAwNzwvWWVhcj48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</w:fldData>
        </w:fldChar>
      </w:r>
      <w:r w:rsidR="00A108A1">
        <w:rPr>
          <w:rFonts w:ascii="Arial" w:hAnsi="Arial" w:cs="Arial"/>
        </w:rPr>
        <w:instrText xml:space="preserve"> ADDIN EN.CITE.DATA </w:instrText>
      </w:r>
      <w:r w:rsidR="00A108A1">
        <w:rPr>
          <w:rFonts w:ascii="Arial" w:hAnsi="Arial" w:cs="Arial"/>
        </w:rPr>
      </w:r>
      <w:r w:rsidR="00A108A1">
        <w:rPr>
          <w:rFonts w:ascii="Arial" w:hAnsi="Arial" w:cs="Arial"/>
        </w:rPr>
        <w:fldChar w:fldCharType="end"/>
      </w:r>
      <w:r w:rsidR="00A12B05">
        <w:rPr>
          <w:rFonts w:ascii="Arial" w:hAnsi="Arial" w:cs="Arial"/>
        </w:rPr>
      </w:r>
      <w:r w:rsidR="00A12B05">
        <w:rPr>
          <w:rFonts w:ascii="Arial" w:hAnsi="Arial" w:cs="Arial"/>
        </w:rPr>
        <w:fldChar w:fldCharType="separate"/>
      </w:r>
      <w:r w:rsidR="00A12B05">
        <w:rPr>
          <w:rFonts w:ascii="Arial" w:hAnsi="Arial" w:cs="Arial"/>
          <w:noProof/>
        </w:rPr>
        <w:t>(Almeida et al., 2007b, Syed and Hoey, 2010)</w:t>
      </w:r>
      <w:r w:rsidR="00A12B05">
        <w:rPr>
          <w:rFonts w:ascii="Arial" w:hAnsi="Arial" w:cs="Arial"/>
        </w:rPr>
        <w:fldChar w:fldCharType="end"/>
      </w:r>
      <w:r w:rsidR="00A12B05">
        <w:rPr>
          <w:rFonts w:ascii="Arial" w:hAnsi="Arial" w:cs="Arial"/>
        </w:rPr>
        <w:t>.</w:t>
      </w:r>
      <w:r>
        <w:rPr>
          <w:rFonts w:ascii="Arial" w:hAnsi="Arial" w:cs="Arial"/>
        </w:rPr>
        <w:t xml:space="preserve"> C57BL/6 mice exhibit age-related decrease in cortical and trabecular bone mass and architecture displaying osteoporotic phenotype </w:t>
      </w:r>
      <w:r w:rsidR="003E17FF">
        <w:rPr>
          <w:rFonts w:ascii="Arial" w:hAnsi="Arial" w:cs="Arial"/>
        </w:rPr>
        <w:fldChar w:fldCharType="begin">
          <w:fldData xml:space="preserve">PEVuZE5vdGU+PENpdGU+PEF1dGhvcj5DYW88L0F1dGhvcj48WWVhcj4yMDAzPC9ZZWFyPjxSZWNO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</w:fldData>
        </w:fldChar>
      </w:r>
      <w:r w:rsidR="00A108A1">
        <w:rPr>
          <w:rFonts w:ascii="Arial" w:hAnsi="Arial" w:cs="Arial"/>
        </w:rPr>
        <w:instrText xml:space="preserve"> ADDIN EN.CITE </w:instrText>
      </w:r>
      <w:r w:rsidR="00A108A1">
        <w:rPr>
          <w:rFonts w:ascii="Arial" w:hAnsi="Arial" w:cs="Arial"/>
        </w:rPr>
        <w:fldChar w:fldCharType="begin">
          <w:fldData xml:space="preserve">PEVuZE5vdGU+PENpdGU+PEF1dGhvcj5DYW88L0F1dGhvcj48WWVhcj4yMDAzPC9ZZWFyPjxSZWNO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</w:fldData>
        </w:fldChar>
      </w:r>
      <w:r w:rsidR="00A108A1">
        <w:rPr>
          <w:rFonts w:ascii="Arial" w:hAnsi="Arial" w:cs="Arial"/>
        </w:rPr>
        <w:instrText xml:space="preserve"> ADDIN EN.CITE.DATA </w:instrText>
      </w:r>
      <w:r w:rsidR="00A108A1">
        <w:rPr>
          <w:rFonts w:ascii="Arial" w:hAnsi="Arial" w:cs="Arial"/>
        </w:rPr>
      </w:r>
      <w:r w:rsidR="00A108A1">
        <w:rPr>
          <w:rFonts w:ascii="Arial" w:hAnsi="Arial" w:cs="Arial"/>
        </w:rPr>
        <w:fldChar w:fldCharType="end"/>
      </w:r>
      <w:r w:rsidR="003E17FF">
        <w:rPr>
          <w:rFonts w:ascii="Arial" w:hAnsi="Arial" w:cs="Arial"/>
        </w:rPr>
      </w:r>
      <w:r w:rsidR="003E17FF">
        <w:rPr>
          <w:rFonts w:ascii="Arial" w:hAnsi="Arial" w:cs="Arial"/>
        </w:rPr>
        <w:fldChar w:fldCharType="separate"/>
      </w:r>
      <w:r w:rsidR="003E17FF">
        <w:rPr>
          <w:rFonts w:ascii="Arial" w:hAnsi="Arial" w:cs="Arial"/>
          <w:noProof/>
        </w:rPr>
        <w:t>(Cao et al., 2003, Ferguson et al., 2003)</w:t>
      </w:r>
      <w:r w:rsidR="003E17FF">
        <w:rPr>
          <w:rFonts w:ascii="Arial" w:hAnsi="Arial" w:cs="Arial"/>
        </w:rPr>
        <w:fldChar w:fldCharType="end"/>
      </w:r>
      <w:r>
        <w:rPr>
          <w:rFonts w:ascii="Arial" w:hAnsi="Arial" w:cs="Arial"/>
        </w:rPr>
        <w:t>. Further discussions about suitability of C57BL/6 mice as models of the loading and ageing of the human skeleton are presented in the relevant chapters.</w:t>
      </w:r>
    </w:p>
    <w:p w14:paraId="16E6BF45" w14:textId="77777777" w:rsidR="007B76C3" w:rsidRDefault="007B76C3" w:rsidP="00D40E59">
      <w:pPr>
        <w:pStyle w:val="Heading2"/>
      </w:pPr>
      <w:bookmarkStart w:id="26" w:name="_Toc383723850"/>
      <w:r w:rsidRPr="00D34460">
        <w:t>1.4 Systemic regulation of bone homeostasis</w:t>
      </w:r>
      <w:bookmarkEnd w:id="26"/>
    </w:p>
    <w:p w14:paraId="2D448B11" w14:textId="77777777" w:rsidR="007B76C3" w:rsidRPr="00BC128D" w:rsidRDefault="007B76C3" w:rsidP="00BC128D">
      <w:pPr>
        <w:widowControl w:val="0"/>
        <w:tabs>
          <w:tab w:val="left" w:pos="220"/>
          <w:tab w:val="left" w:pos="720"/>
        </w:tabs>
        <w:autoSpaceDE w:val="0"/>
        <w:autoSpaceDN w:val="0"/>
        <w:adjustRightInd w:val="0"/>
        <w:spacing w:line="480" w:lineRule="auto"/>
        <w:jc w:val="both"/>
        <w:rPr>
          <w:rFonts w:ascii="Arial" w:hAnsi="Arial"/>
        </w:rPr>
      </w:pPr>
      <w:r w:rsidRPr="00323977">
        <w:rPr>
          <w:rFonts w:ascii="Arial" w:hAnsi="Arial" w:cs="Arial"/>
        </w:rPr>
        <w:t xml:space="preserve">Bone’s response to exercise and feeding is mediated through </w:t>
      </w:r>
      <w:r w:rsidR="003E17FF">
        <w:rPr>
          <w:rFonts w:ascii="Arial" w:hAnsi="Arial" w:cs="Arial"/>
        </w:rPr>
        <w:t>various</w:t>
      </w:r>
      <w:r>
        <w:rPr>
          <w:rFonts w:ascii="Arial" w:hAnsi="Arial" w:cs="Arial"/>
        </w:rPr>
        <w:t xml:space="preserve"> </w:t>
      </w:r>
      <w:r w:rsidRPr="00323977">
        <w:rPr>
          <w:rFonts w:ascii="Arial" w:hAnsi="Arial" w:cs="Arial"/>
        </w:rPr>
        <w:t xml:space="preserve">gastrointestinal (GI), pancreatic and calciotropic hormones and peptides. </w:t>
      </w:r>
      <w:r>
        <w:rPr>
          <w:rFonts w:ascii="Arial" w:hAnsi="Arial" w:cs="Arial"/>
        </w:rPr>
        <w:t>Osteoregulatory h</w:t>
      </w:r>
      <w:r w:rsidRPr="00323977">
        <w:rPr>
          <w:rFonts w:ascii="Arial" w:hAnsi="Arial" w:cs="Arial"/>
        </w:rPr>
        <w:t xml:space="preserve">ormones that play </w:t>
      </w:r>
      <w:r>
        <w:rPr>
          <w:rFonts w:ascii="Arial" w:hAnsi="Arial" w:cs="Arial"/>
        </w:rPr>
        <w:t xml:space="preserve">an important </w:t>
      </w:r>
      <w:r w:rsidRPr="00323977">
        <w:rPr>
          <w:rFonts w:ascii="Arial" w:hAnsi="Arial" w:cs="Arial"/>
        </w:rPr>
        <w:t xml:space="preserve">role in bone growth and remodelling include </w:t>
      </w:r>
      <w:r>
        <w:rPr>
          <w:rFonts w:ascii="Arial" w:hAnsi="Arial" w:cs="Arial"/>
        </w:rPr>
        <w:t xml:space="preserve">gastro-entero-pancreatic hormones, </w:t>
      </w:r>
      <w:r w:rsidRPr="00323977">
        <w:rPr>
          <w:rFonts w:ascii="Arial" w:hAnsi="Arial" w:cs="Arial"/>
        </w:rPr>
        <w:t xml:space="preserve">calcitonin, </w:t>
      </w:r>
      <w:r w:rsidR="00BC128D">
        <w:rPr>
          <w:rFonts w:ascii="Arial" w:hAnsi="Arial" w:cs="Lucida Grande"/>
        </w:rPr>
        <w:t>PTH</w:t>
      </w:r>
      <w:r w:rsidRPr="00323977">
        <w:rPr>
          <w:rFonts w:ascii="Arial" w:hAnsi="Arial" w:cs="Lucida Grande"/>
        </w:rPr>
        <w:t>, growth hormone (GH), insulin-like growth factors (IGF), FGF23, glucocorticoids, sex steroid</w:t>
      </w:r>
      <w:r w:rsidR="003E17FF">
        <w:rPr>
          <w:rFonts w:ascii="Arial" w:hAnsi="Arial" w:cs="Lucida Grande"/>
        </w:rPr>
        <w:t>s (oestradiol and testosterone) and</w:t>
      </w:r>
      <w:r w:rsidRPr="00323977">
        <w:rPr>
          <w:rFonts w:ascii="Arial" w:hAnsi="Arial" w:cs="Lucida Grande"/>
        </w:rPr>
        <w:t xml:space="preserve"> vitamin D </w:t>
      </w:r>
      <w:r w:rsidR="003E17FF">
        <w:rPr>
          <w:rFonts w:ascii="Arial" w:hAnsi="Arial" w:cs="Lucida Grande"/>
        </w:rPr>
        <w:t>with</w:t>
      </w:r>
      <w:r w:rsidRPr="00323977">
        <w:rPr>
          <w:rFonts w:ascii="Arial" w:hAnsi="Arial" w:cs="Lucida Grande"/>
        </w:rPr>
        <w:t xml:space="preserve"> its </w:t>
      </w:r>
      <w:r w:rsidRPr="00323977">
        <w:rPr>
          <w:rFonts w:ascii="Arial" w:hAnsi="Arial" w:cs="Lucida Grande"/>
        </w:rPr>
        <w:lastRenderedPageBreak/>
        <w:t>metabolites</w:t>
      </w:r>
      <w:r>
        <w:rPr>
          <w:rFonts w:ascii="Arial" w:hAnsi="Arial" w:cs="Lucida Grande"/>
        </w:rPr>
        <w:t xml:space="preserve"> </w:t>
      </w:r>
      <w:r>
        <w:rPr>
          <w:rFonts w:ascii="Arial" w:hAnsi="Arial" w:cs="Lucida Grande"/>
          <w:szCs w:val="26"/>
        </w:rPr>
        <w:fldChar w:fldCharType="begin">
          <w:fldData xml:space="preserve">PEVuZE5vdGU+PENpdGU+PEF1dGhvcj5kZSBQYXVsYTwvQXV0aG9yPjxZZWFyPjIwMTA8L1llYXI+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</w:fldData>
        </w:fldChar>
      </w:r>
      <w:r w:rsidR="00651EFF">
        <w:rPr>
          <w:rFonts w:ascii="Arial" w:hAnsi="Arial" w:cs="Lucida Grande"/>
          <w:szCs w:val="26"/>
        </w:rPr>
        <w:instrText xml:space="preserve"> ADDIN EN.CITE </w:instrText>
      </w:r>
      <w:r w:rsidR="00651EFF">
        <w:rPr>
          <w:rFonts w:ascii="Arial" w:hAnsi="Arial" w:cs="Lucida Grande"/>
          <w:szCs w:val="26"/>
        </w:rPr>
        <w:fldChar w:fldCharType="begin">
          <w:fldData xml:space="preserve">PEVuZE5vdGU+PENpdGU+PEF1dGhvcj5kZSBQYXVsYTwvQXV0aG9yPjxZZWFyPjIwMTA8L1llYXI+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</w:fldData>
        </w:fldChar>
      </w:r>
      <w:r w:rsidR="00651EFF">
        <w:rPr>
          <w:rFonts w:ascii="Arial" w:hAnsi="Arial" w:cs="Lucida Grande"/>
          <w:szCs w:val="26"/>
        </w:rPr>
        <w:instrText xml:space="preserve"> ADDIN EN.CITE.DATA </w:instrText>
      </w:r>
      <w:r w:rsidR="00651EFF">
        <w:rPr>
          <w:rFonts w:ascii="Arial" w:hAnsi="Arial" w:cs="Lucida Grande"/>
          <w:szCs w:val="26"/>
        </w:rPr>
      </w:r>
      <w:r w:rsidR="00651EFF">
        <w:rPr>
          <w:rFonts w:ascii="Arial" w:hAnsi="Arial" w:cs="Lucida Grande"/>
          <w:szCs w:val="26"/>
        </w:rPr>
        <w:fldChar w:fldCharType="end"/>
      </w:r>
      <w:r>
        <w:rPr>
          <w:rFonts w:ascii="Arial" w:hAnsi="Arial" w:cs="Lucida Grande"/>
          <w:szCs w:val="26"/>
        </w:rPr>
      </w:r>
      <w:r>
        <w:rPr>
          <w:rFonts w:ascii="Arial" w:hAnsi="Arial" w:cs="Lucida Grande"/>
          <w:szCs w:val="26"/>
        </w:rPr>
        <w:fldChar w:fldCharType="separate"/>
      </w:r>
      <w:r w:rsidR="00651EFF">
        <w:rPr>
          <w:rFonts w:ascii="Arial" w:hAnsi="Arial" w:cs="Lucida Grande"/>
          <w:noProof/>
          <w:szCs w:val="26"/>
        </w:rPr>
        <w:t>(De Paula and Rosen, 2010, Perrini et al., 2010, Quarles, 2012)</w:t>
      </w:r>
      <w:r>
        <w:rPr>
          <w:rFonts w:ascii="Arial" w:hAnsi="Arial" w:cs="Lucida Grande"/>
          <w:szCs w:val="26"/>
        </w:rPr>
        <w:fldChar w:fldCharType="end"/>
      </w:r>
      <w:r>
        <w:rPr>
          <w:rFonts w:ascii="Arial" w:hAnsi="Arial"/>
        </w:rPr>
        <w:t xml:space="preserve">. In this section the role of hormones </w:t>
      </w:r>
      <w:r w:rsidR="0028264B">
        <w:rPr>
          <w:rFonts w:ascii="Arial" w:hAnsi="Arial"/>
        </w:rPr>
        <w:t xml:space="preserve">with known anabolic effects in regulation of bone homeostasis </w:t>
      </w:r>
      <w:r w:rsidR="00DF26E9">
        <w:rPr>
          <w:rFonts w:ascii="Arial" w:hAnsi="Arial"/>
        </w:rPr>
        <w:t>i</w:t>
      </w:r>
      <w:r w:rsidR="00242493">
        <w:rPr>
          <w:rFonts w:ascii="Arial" w:hAnsi="Arial"/>
        </w:rPr>
        <w:t>ncluding ghrelin, leptin, insul</w:t>
      </w:r>
      <w:r>
        <w:rPr>
          <w:rFonts w:ascii="Arial" w:hAnsi="Arial"/>
        </w:rPr>
        <w:t>in</w:t>
      </w:r>
      <w:r w:rsidR="00242493">
        <w:rPr>
          <w:rFonts w:ascii="Arial" w:hAnsi="Arial"/>
        </w:rPr>
        <w:t xml:space="preserve">, </w:t>
      </w:r>
      <w:r w:rsidR="00BC128D" w:rsidRPr="00BC128D">
        <w:rPr>
          <w:rFonts w:ascii="Arial" w:hAnsi="Arial" w:cs="Calibri"/>
          <w:bCs/>
          <w:color w:val="000000"/>
        </w:rPr>
        <w:t>glucose-dependent insulinotropic polypeptide</w:t>
      </w:r>
      <w:r w:rsidR="00BC128D">
        <w:rPr>
          <w:rFonts w:ascii="Arial" w:hAnsi="Arial"/>
        </w:rPr>
        <w:t xml:space="preserve"> (</w:t>
      </w:r>
      <w:r w:rsidR="00242493">
        <w:rPr>
          <w:rFonts w:ascii="Arial" w:hAnsi="Arial"/>
        </w:rPr>
        <w:t>GIP</w:t>
      </w:r>
      <w:r w:rsidR="00BC128D">
        <w:rPr>
          <w:rFonts w:ascii="Arial" w:hAnsi="Arial"/>
        </w:rPr>
        <w:t xml:space="preserve">) and </w:t>
      </w:r>
      <w:r w:rsidR="00BC128D">
        <w:rPr>
          <w:rFonts w:ascii="Arial" w:hAnsi="Arial" w:cs="Calibri"/>
          <w:bCs/>
          <w:color w:val="000000"/>
        </w:rPr>
        <w:t>glucagon-like peptide 1 (</w:t>
      </w:r>
      <w:r w:rsidR="00242493">
        <w:rPr>
          <w:rFonts w:ascii="Arial" w:hAnsi="Arial"/>
        </w:rPr>
        <w:t>GLP1</w:t>
      </w:r>
      <w:r w:rsidR="00BC128D">
        <w:rPr>
          <w:rFonts w:ascii="Arial" w:hAnsi="Arial"/>
        </w:rPr>
        <w:t>)</w:t>
      </w:r>
      <w:r w:rsidR="00242493">
        <w:rPr>
          <w:rFonts w:ascii="Arial" w:hAnsi="Arial"/>
        </w:rPr>
        <w:t xml:space="preserve"> </w:t>
      </w:r>
      <w:r>
        <w:rPr>
          <w:rFonts w:ascii="Arial" w:hAnsi="Arial"/>
        </w:rPr>
        <w:t xml:space="preserve">is considered. </w:t>
      </w:r>
    </w:p>
    <w:p w14:paraId="3997CC37" w14:textId="77777777" w:rsidR="005F3E1E" w:rsidRDefault="005F3E1E" w:rsidP="007B76C3">
      <w:pPr>
        <w:widowControl w:val="0"/>
        <w:tabs>
          <w:tab w:val="left" w:pos="220"/>
          <w:tab w:val="left" w:pos="720"/>
        </w:tabs>
        <w:autoSpaceDE w:val="0"/>
        <w:autoSpaceDN w:val="0"/>
        <w:adjustRightInd w:val="0"/>
        <w:spacing w:line="480" w:lineRule="auto"/>
        <w:jc w:val="both"/>
        <w:rPr>
          <w:rFonts w:ascii="Arial" w:hAnsi="Arial" w:cs="Arial"/>
          <w:b/>
          <w:bCs/>
          <w:noProof/>
          <w:color w:val="000000" w:themeColor="text1"/>
        </w:rPr>
      </w:pPr>
    </w:p>
    <w:p w14:paraId="0F8226EF" w14:textId="77777777" w:rsidR="007B76C3" w:rsidRPr="0008605F" w:rsidRDefault="007B76C3" w:rsidP="00D93BE4">
      <w:pPr>
        <w:pStyle w:val="Heading3"/>
        <w:spacing w:line="480" w:lineRule="auto"/>
        <w:jc w:val="both"/>
        <w:rPr>
          <w:rFonts w:ascii="Arial" w:hAnsi="Arial" w:cs="Arial"/>
          <w:color w:val="auto"/>
        </w:rPr>
      </w:pPr>
      <w:bookmarkStart w:id="27" w:name="_Toc383723851"/>
      <w:r w:rsidRPr="0008605F">
        <w:rPr>
          <w:rFonts w:ascii="Arial" w:hAnsi="Arial" w:cs="Arial"/>
          <w:noProof/>
          <w:color w:val="auto"/>
        </w:rPr>
        <w:t>1.4.1 The endocrinology of food intake</w:t>
      </w:r>
      <w:bookmarkEnd w:id="27"/>
    </w:p>
    <w:p w14:paraId="0F1C6735" w14:textId="77777777" w:rsidR="007B76C3" w:rsidRDefault="007B76C3" w:rsidP="007B76C3">
      <w:pPr>
        <w:widowControl w:val="0"/>
        <w:tabs>
          <w:tab w:val="left" w:pos="220"/>
          <w:tab w:val="left" w:pos="720"/>
        </w:tabs>
        <w:autoSpaceDE w:val="0"/>
        <w:autoSpaceDN w:val="0"/>
        <w:adjustRightInd w:val="0"/>
        <w:spacing w:line="480" w:lineRule="auto"/>
        <w:jc w:val="both"/>
        <w:rPr>
          <w:rFonts w:ascii="Arial" w:hAnsi="Arial" w:cs="Lucida Grande"/>
          <w:szCs w:val="26"/>
        </w:rPr>
      </w:pPr>
      <w:r w:rsidRPr="00323977">
        <w:rPr>
          <w:rFonts w:ascii="Arial" w:hAnsi="Arial" w:cs="Lucida Grande"/>
        </w:rPr>
        <w:t xml:space="preserve">Various sites of the GI tract including stomach, pancreas, liver, small and large intestines are involved in the regulation of food intake by producing satiety and hunger hormones in response to feeding or during fasting. The hindbrain in the central nervous system (CNS) is the main site that receives inputs from the GI tract via vagal afferent neurones.  Higher forebrain regions, hypothalamus and limbic system are also involved in regulation of food intake and energy consumption </w:t>
      </w:r>
      <w:r>
        <w:rPr>
          <w:rFonts w:ascii="Arial" w:hAnsi="Arial" w:cs="Lucida Grande"/>
          <w:szCs w:val="26"/>
        </w:rPr>
        <w:fldChar w:fldCharType="begin"/>
      </w:r>
      <w:r w:rsidR="00A108A1">
        <w:rPr>
          <w:rFonts w:ascii="Arial" w:hAnsi="Arial" w:cs="Lucida Grande"/>
          <w:szCs w:val="26"/>
        </w:rPr>
        <w:instrText xml:space="preserve"> ADDIN EN.CITE &lt;EndNote&gt;&lt;Cite&gt;&lt;Author&gt;Berthoud&lt;/Author&gt;&lt;Year&gt;2002&lt;/Year&gt;&lt;RecNum&gt;120&lt;/RecNum&gt;&lt;DisplayText&gt;(Berthoud, 2002)&lt;/DisplayText&gt;&lt;record&gt;&lt;rec-number&gt;120&lt;/rec-number&gt;&lt;foreign-keys&gt;&lt;key app="EN" db-id="ae9rewfrpdttrheppfxxv0p4950wpd25r09x" timestamp="1520657892"&gt;120&lt;/key&gt;&lt;key app="ENWeb" db-id=""&gt;0&lt;/key&gt;&lt;/foreign-keys&gt;&lt;ref-type name="Journal Article"&gt;17&lt;/ref-type&gt;&lt;contributors&gt;&lt;authors&gt;&lt;author&gt;Berthoud, Hans-Rudolf&lt;/author&gt;&lt;/authors&gt;&lt;/contributors&gt;&lt;titles&gt;&lt;title&gt;Multiple neural systems controlling food intake and body weight&lt;/title&gt;&lt;secondary-title&gt;Neuroscience and Biobehavioral Reviews&lt;/secondary-title&gt;&lt;/titles&gt;&lt;periodical&gt;&lt;full-title&gt;Neuroscience and Biobehavioral Reviews&lt;/full-title&gt;&lt;/periodical&gt;&lt;pages&gt;393-428&lt;/pages&gt;&lt;volume&gt;26&lt;/volume&gt;&lt;number&gt;4&lt;/number&gt;&lt;keywords&gt;&lt;keyword&gt;Body Weight&lt;/keyword&gt;&lt;keyword&gt;Food Intake&lt;/keyword&gt;&lt;keyword&gt;Multiple Neural Systems&lt;/keyword&gt;&lt;/keywords&gt;&lt;dates&gt;&lt;year&gt;2002&lt;/year&gt;&lt;/dates&gt;&lt;isbn&gt;01497634&lt;/isbn&gt;&lt;urls&gt;&lt;/urls&gt;&lt;electronic-resource-num&gt;10.1016/S0149-7634(02)00014-3&lt;/electronic-resource-num&gt;&lt;/record&gt;&lt;/Cite&gt;&lt;/EndNote&gt;</w:instrText>
      </w:r>
      <w:r>
        <w:rPr>
          <w:rFonts w:ascii="Arial" w:hAnsi="Arial" w:cs="Lucida Grande"/>
          <w:szCs w:val="26"/>
        </w:rPr>
        <w:fldChar w:fldCharType="separate"/>
      </w:r>
      <w:r>
        <w:rPr>
          <w:rFonts w:ascii="Arial" w:hAnsi="Arial" w:cs="Lucida Grande"/>
          <w:noProof/>
          <w:szCs w:val="26"/>
        </w:rPr>
        <w:t>(Berthoud, 2002)</w:t>
      </w:r>
      <w:r>
        <w:rPr>
          <w:rFonts w:ascii="Arial" w:hAnsi="Arial" w:cs="Lucida Grande"/>
          <w:szCs w:val="26"/>
        </w:rPr>
        <w:fldChar w:fldCharType="end"/>
      </w:r>
      <w:r>
        <w:rPr>
          <w:rFonts w:ascii="Arial" w:hAnsi="Arial" w:cs="Lucida Grande"/>
          <w:szCs w:val="26"/>
        </w:rPr>
        <w:t xml:space="preserve">. </w:t>
      </w:r>
    </w:p>
    <w:p w14:paraId="4FB02190" w14:textId="77777777" w:rsidR="007B76C3" w:rsidRPr="00F049BF" w:rsidRDefault="007B76C3" w:rsidP="007B76C3">
      <w:pPr>
        <w:widowControl w:val="0"/>
        <w:tabs>
          <w:tab w:val="left" w:pos="220"/>
          <w:tab w:val="left" w:pos="720"/>
        </w:tabs>
        <w:autoSpaceDE w:val="0"/>
        <w:autoSpaceDN w:val="0"/>
        <w:adjustRightInd w:val="0"/>
        <w:spacing w:line="360" w:lineRule="auto"/>
        <w:jc w:val="both"/>
        <w:rPr>
          <w:rFonts w:ascii="Arial" w:hAnsi="Arial" w:cs="Lucida Grande"/>
          <w:szCs w:val="26"/>
        </w:rPr>
      </w:pPr>
    </w:p>
    <w:p w14:paraId="33046BD4" w14:textId="77777777" w:rsidR="007B76C3" w:rsidRDefault="007B76C3" w:rsidP="00DF26E9">
      <w:pPr>
        <w:spacing w:line="480" w:lineRule="auto"/>
        <w:jc w:val="both"/>
        <w:rPr>
          <w:rFonts w:ascii="Arial" w:hAnsi="Arial" w:cs="Helvetica"/>
          <w:color w:val="141413"/>
          <w:szCs w:val="12"/>
        </w:rPr>
      </w:pPr>
      <w:r w:rsidRPr="00323977">
        <w:rPr>
          <w:rFonts w:ascii="Arial" w:hAnsi="Arial" w:cs="Arial"/>
        </w:rPr>
        <w:t xml:space="preserve">Anticipation of </w:t>
      </w:r>
      <w:r>
        <w:rPr>
          <w:rFonts w:ascii="Arial" w:hAnsi="Arial" w:cs="Arial"/>
        </w:rPr>
        <w:t xml:space="preserve">the </w:t>
      </w:r>
      <w:r w:rsidRPr="00323977">
        <w:rPr>
          <w:rFonts w:ascii="Arial" w:hAnsi="Arial" w:cs="Arial"/>
        </w:rPr>
        <w:t xml:space="preserve">food </w:t>
      </w:r>
      <w:r>
        <w:rPr>
          <w:rFonts w:ascii="Arial" w:hAnsi="Arial" w:cs="Arial"/>
        </w:rPr>
        <w:t xml:space="preserve">including the sight, smell of food, time of a day and environmental cues </w:t>
      </w:r>
      <w:r w:rsidR="00242493">
        <w:rPr>
          <w:rFonts w:ascii="Arial" w:hAnsi="Arial" w:cs="Arial"/>
        </w:rPr>
        <w:t>trigger</w:t>
      </w:r>
      <w:r w:rsidRPr="00323977">
        <w:rPr>
          <w:rFonts w:ascii="Arial" w:hAnsi="Arial" w:cs="Arial"/>
        </w:rPr>
        <w:t xml:space="preserve"> release of metabolic hormones both in animals and humans described as preprandial responses allowing </w:t>
      </w:r>
      <w:r>
        <w:rPr>
          <w:rFonts w:ascii="Arial" w:hAnsi="Arial" w:cs="Arial"/>
        </w:rPr>
        <w:t xml:space="preserve">to maintain </w:t>
      </w:r>
      <w:r w:rsidRPr="00323977">
        <w:rPr>
          <w:rFonts w:ascii="Arial" w:hAnsi="Arial" w:cs="Arial"/>
        </w:rPr>
        <w:t>metabolic homeostasis</w:t>
      </w:r>
      <w:r>
        <w:rPr>
          <w:rFonts w:ascii="Arial" w:hAnsi="Arial" w:cs="Arial"/>
        </w:rPr>
        <w:t xml:space="preserve"> </w:t>
      </w:r>
      <w:r>
        <w:rPr>
          <w:rFonts w:ascii="Arial" w:hAnsi="Arial" w:cs="Lucida Grande"/>
          <w:szCs w:val="26"/>
        </w:rPr>
        <w:fldChar w:fldCharType="begin"/>
      </w:r>
      <w:r w:rsidR="00A108A1">
        <w:rPr>
          <w:rFonts w:ascii="Arial" w:hAnsi="Arial" w:cs="Lucida Grande"/>
          <w:szCs w:val="26"/>
        </w:rPr>
        <w:instrText xml:space="preserve"> ADDIN EN.CITE &lt;EndNote&gt;&lt;Cite&gt;&lt;Author&gt;Teff&lt;/Author&gt;&lt;Year&gt;2011&lt;/Year&gt;&lt;RecNum&gt;121&lt;/RecNum&gt;&lt;DisplayText&gt;(Teff, 2011)&lt;/DisplayText&gt;&lt;record&gt;&lt;rec-number&gt;121&lt;/rec-number&gt;&lt;foreign-keys&gt;&lt;key app="EN" db-id="ae9rewfrpdttrheppfxxv0p4950wpd25r09x" timestamp="1520657899"&gt;121&lt;/key&gt;&lt;key app="ENWeb" db-id=""&gt;0&lt;/key&gt;&lt;/foreign-keys&gt;&lt;ref-type name="Journal Article"&gt;17&lt;/ref-type&gt;&lt;contributors&gt;&lt;authors&gt;&lt;author&gt;Teff, Karen L.&lt;/author&gt;&lt;/authors&gt;&lt;/contributors&gt;&lt;titles&gt;&lt;title&gt;How neural mediation of anticipatory and compensatory insulin release helps us tolerate food&lt;/title&gt;&lt;secondary-title&gt;Physiology and Behavior&lt;/secondary-title&gt;&lt;/titles&gt;&lt;periodical&gt;&lt;full-title&gt;Physiology and Behavior&lt;/full-title&gt;&lt;/periodical&gt;&lt;pages&gt;44-50&lt;/pages&gt;&lt;volume&gt;103&lt;/volume&gt;&lt;number&gt;1&lt;/number&gt;&lt;keywords&gt;&lt;keyword&gt;Cephalic Phase Insulin&lt;/keyword&gt;&lt;keyword&gt;Insulin Resistance&lt;/keyword&gt;&lt;keyword&gt;Pancreatic Polypeptide&lt;/keyword&gt;&lt;keyword&gt;Vagus Nerve&lt;/keyword&gt;&lt;/keywords&gt;&lt;dates&gt;&lt;year&gt;2011&lt;/year&gt;&lt;/dates&gt;&lt;isbn&gt;00319384&lt;/isbn&gt;&lt;urls&gt;&lt;/urls&gt;&lt;electronic-resource-num&gt;10.1016/j.physbeh.2011.01.012&lt;/electronic-resource-num&gt;&lt;/record&gt;&lt;/Cite&gt;&lt;/EndNote&gt;</w:instrText>
      </w:r>
      <w:r>
        <w:rPr>
          <w:rFonts w:ascii="Arial" w:hAnsi="Arial" w:cs="Lucida Grande"/>
          <w:szCs w:val="26"/>
        </w:rPr>
        <w:fldChar w:fldCharType="separate"/>
      </w:r>
      <w:r>
        <w:rPr>
          <w:rFonts w:ascii="Arial" w:hAnsi="Arial" w:cs="Lucida Grande"/>
          <w:noProof/>
          <w:szCs w:val="26"/>
        </w:rPr>
        <w:t>(Teff, 2011)</w:t>
      </w:r>
      <w:r>
        <w:rPr>
          <w:rFonts w:ascii="Arial" w:hAnsi="Arial" w:cs="Lucida Grande"/>
          <w:szCs w:val="26"/>
        </w:rPr>
        <w:fldChar w:fldCharType="end"/>
      </w:r>
      <w:r>
        <w:rPr>
          <w:rFonts w:ascii="Arial" w:hAnsi="Arial" w:cs="Lucida Grande"/>
          <w:szCs w:val="26"/>
        </w:rPr>
        <w:t xml:space="preserve">. </w:t>
      </w:r>
      <w:r>
        <w:rPr>
          <w:rFonts w:ascii="Arial" w:hAnsi="Arial" w:cs="Arial"/>
        </w:rPr>
        <w:t>B</w:t>
      </w:r>
      <w:r w:rsidRPr="00323977">
        <w:rPr>
          <w:rFonts w:ascii="Arial" w:hAnsi="Arial" w:cs="Arial"/>
        </w:rPr>
        <w:t xml:space="preserve">efore the ingestion of </w:t>
      </w:r>
      <w:r w:rsidRPr="002F6135">
        <w:rPr>
          <w:rFonts w:ascii="Arial" w:hAnsi="Arial" w:cs="Arial"/>
        </w:rPr>
        <w:t>food</w:t>
      </w:r>
      <w:r>
        <w:rPr>
          <w:rFonts w:ascii="Arial" w:hAnsi="Arial" w:cs="Arial"/>
        </w:rPr>
        <w:t>,</w:t>
      </w:r>
      <w:r w:rsidRPr="00323977">
        <w:rPr>
          <w:rFonts w:ascii="Arial" w:hAnsi="Arial" w:cs="Arial"/>
        </w:rPr>
        <w:t xml:space="preserve"> </w:t>
      </w:r>
      <w:r>
        <w:rPr>
          <w:rFonts w:ascii="Arial" w:hAnsi="Arial" w:cs="Arial"/>
        </w:rPr>
        <w:t>n</w:t>
      </w:r>
      <w:r w:rsidRPr="00323977">
        <w:rPr>
          <w:rFonts w:ascii="Arial" w:hAnsi="Arial" w:cs="Arial"/>
        </w:rPr>
        <w:t xml:space="preserve">eural signals from the brain </w:t>
      </w:r>
      <w:r>
        <w:rPr>
          <w:rFonts w:ascii="Arial" w:hAnsi="Arial" w:cs="Arial"/>
        </w:rPr>
        <w:t>to various endocrine organs generate</w:t>
      </w:r>
      <w:r w:rsidRPr="00323977">
        <w:rPr>
          <w:rFonts w:ascii="Arial" w:hAnsi="Arial" w:cs="Arial"/>
        </w:rPr>
        <w:t xml:space="preserve"> cephalic responses of hormonal release </w:t>
      </w:r>
      <w:r w:rsidR="00161FEA">
        <w:rPr>
          <w:rFonts w:ascii="Arial" w:hAnsi="Arial"/>
        </w:rPr>
        <w:t xml:space="preserve">as shown in the Figure </w:t>
      </w:r>
      <w:r>
        <w:rPr>
          <w:rFonts w:ascii="Arial" w:hAnsi="Arial"/>
        </w:rPr>
        <w:t>10</w:t>
      </w:r>
      <w:r w:rsidRPr="002F6135">
        <w:rPr>
          <w:rFonts w:ascii="Arial" w:hAnsi="Arial"/>
        </w:rPr>
        <w:t>.</w:t>
      </w:r>
      <w:r>
        <w:rPr>
          <w:rFonts w:ascii="Arial" w:hAnsi="Arial"/>
        </w:rPr>
        <w:t xml:space="preserve"> </w:t>
      </w:r>
      <w:r w:rsidRPr="002F6135">
        <w:rPr>
          <w:rFonts w:ascii="Arial" w:hAnsi="Arial"/>
        </w:rPr>
        <w:t xml:space="preserve">The </w:t>
      </w:r>
      <w:r w:rsidRPr="002F6135">
        <w:rPr>
          <w:rFonts w:ascii="Arial" w:hAnsi="Arial" w:cs="Helvetica"/>
          <w:color w:val="141413"/>
        </w:rPr>
        <w:t xml:space="preserve">macronutrients including carbohydrates, dietary protein, fat and fibre induce prandial responses and postprandial </w:t>
      </w:r>
      <w:r>
        <w:rPr>
          <w:rFonts w:ascii="Arial" w:hAnsi="Arial" w:cs="Helvetica"/>
          <w:color w:val="141413"/>
        </w:rPr>
        <w:t>secretion</w:t>
      </w:r>
      <w:r w:rsidRPr="002F6135">
        <w:rPr>
          <w:rFonts w:ascii="Arial" w:hAnsi="Arial" w:cs="Helvetica"/>
          <w:color w:val="141413"/>
        </w:rPr>
        <w:t xml:space="preserve"> of gastro-entero-pancreatic hormones in humans</w:t>
      </w:r>
      <w:r>
        <w:rPr>
          <w:rFonts w:ascii="Arial" w:hAnsi="Arial" w:cs="Helvetica"/>
          <w:color w:val="141413"/>
        </w:rPr>
        <w:t xml:space="preserve"> </w:t>
      </w:r>
      <w:r>
        <w:rPr>
          <w:rFonts w:ascii="Arial" w:hAnsi="Arial" w:cs="Helvetica"/>
          <w:color w:val="141413"/>
          <w:szCs w:val="12"/>
        </w:rPr>
        <w:fldChar w:fldCharType="begin">
          <w:fldData xml:space="preserve">PEVuZE5vdGU+PENpdGU+PEF1dGhvcj5LYXJodW5lbjwvQXV0aG9yPjxZZWFyPjIwMDg8L1llYXI+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</w:fldData>
        </w:fldChar>
      </w:r>
      <w:r w:rsidR="00B97465">
        <w:rPr>
          <w:rFonts w:ascii="Arial" w:hAnsi="Arial" w:cs="Helvetica"/>
          <w:color w:val="141413"/>
          <w:szCs w:val="12"/>
        </w:rPr>
        <w:instrText xml:space="preserve"> ADDIN EN.CITE </w:instrText>
      </w:r>
      <w:r w:rsidR="00B97465">
        <w:rPr>
          <w:rFonts w:ascii="Arial" w:hAnsi="Arial" w:cs="Helvetica"/>
          <w:color w:val="141413"/>
          <w:szCs w:val="12"/>
        </w:rPr>
        <w:fldChar w:fldCharType="begin">
          <w:fldData xml:space="preserve">PEVuZE5vdGU+PENpdGU+PEF1dGhvcj5LYXJodW5lbjwvQXV0aG9yPjxZZWFyPjIwMDg8L1llYXI+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</w:fldData>
        </w:fldChar>
      </w:r>
      <w:r w:rsidR="00B97465">
        <w:rPr>
          <w:rFonts w:ascii="Arial" w:hAnsi="Arial" w:cs="Helvetica"/>
          <w:color w:val="141413"/>
          <w:szCs w:val="12"/>
        </w:rPr>
        <w:instrText xml:space="preserve"> ADDIN EN.CITE.DATA </w:instrText>
      </w:r>
      <w:r w:rsidR="00B97465">
        <w:rPr>
          <w:rFonts w:ascii="Arial" w:hAnsi="Arial" w:cs="Helvetica"/>
          <w:color w:val="141413"/>
          <w:szCs w:val="12"/>
        </w:rPr>
      </w:r>
      <w:r w:rsidR="00B97465">
        <w:rPr>
          <w:rFonts w:ascii="Arial" w:hAnsi="Arial" w:cs="Helvetica"/>
          <w:color w:val="141413"/>
          <w:szCs w:val="12"/>
        </w:rPr>
        <w:fldChar w:fldCharType="end"/>
      </w:r>
      <w:r>
        <w:rPr>
          <w:rFonts w:ascii="Arial" w:hAnsi="Arial" w:cs="Helvetica"/>
          <w:color w:val="141413"/>
          <w:szCs w:val="12"/>
        </w:rPr>
      </w:r>
      <w:r>
        <w:rPr>
          <w:rFonts w:ascii="Arial" w:hAnsi="Arial" w:cs="Helvetica"/>
          <w:color w:val="141413"/>
          <w:szCs w:val="12"/>
        </w:rPr>
        <w:fldChar w:fldCharType="separate"/>
      </w:r>
      <w:r>
        <w:rPr>
          <w:rFonts w:ascii="Arial" w:hAnsi="Arial" w:cs="Helvetica"/>
          <w:noProof/>
          <w:color w:val="141413"/>
          <w:szCs w:val="12"/>
        </w:rPr>
        <w:t>(Karhunen et al., 2008, Begg and Woods, 2013)</w:t>
      </w:r>
      <w:r>
        <w:rPr>
          <w:rFonts w:ascii="Arial" w:hAnsi="Arial" w:cs="Helvetica"/>
          <w:color w:val="141413"/>
          <w:szCs w:val="12"/>
        </w:rPr>
        <w:fldChar w:fldCharType="end"/>
      </w:r>
      <w:r>
        <w:rPr>
          <w:rFonts w:ascii="Arial" w:hAnsi="Arial" w:cs="Helvetica"/>
          <w:color w:val="141413"/>
          <w:szCs w:val="12"/>
        </w:rPr>
        <w:t>.</w:t>
      </w:r>
    </w:p>
    <w:p w14:paraId="4BA967AD" w14:textId="77777777" w:rsidR="003D0847" w:rsidRDefault="003D0847" w:rsidP="00DF26E9">
      <w:pPr>
        <w:spacing w:line="480" w:lineRule="auto"/>
        <w:jc w:val="both"/>
        <w:rPr>
          <w:rFonts w:ascii="Arial" w:hAnsi="Arial" w:cs="Helvetica"/>
          <w:color w:val="141413"/>
          <w:szCs w:val="12"/>
        </w:rPr>
      </w:pPr>
    </w:p>
    <w:p w14:paraId="3CFB3283" w14:textId="77777777" w:rsidR="003D0847" w:rsidRDefault="003D0847" w:rsidP="00DF26E9">
      <w:pPr>
        <w:spacing w:line="480" w:lineRule="auto"/>
        <w:jc w:val="both"/>
        <w:rPr>
          <w:rFonts w:ascii="Arial" w:hAnsi="Arial" w:cs="Helvetica"/>
          <w:color w:val="141413"/>
          <w:szCs w:val="12"/>
        </w:rPr>
      </w:pPr>
    </w:p>
    <w:p w14:paraId="0BCD9D31" w14:textId="77777777" w:rsidR="003D0847" w:rsidRDefault="003D0847" w:rsidP="00DF26E9">
      <w:pPr>
        <w:spacing w:line="480" w:lineRule="auto"/>
        <w:jc w:val="both"/>
        <w:rPr>
          <w:rFonts w:ascii="Arial" w:hAnsi="Arial" w:cs="Helvetica"/>
          <w:color w:val="141413"/>
          <w:szCs w:val="12"/>
        </w:rPr>
      </w:pPr>
    </w:p>
    <w:p w14:paraId="6A140CDB" w14:textId="77777777" w:rsidR="003D0847" w:rsidRDefault="003D0847" w:rsidP="00DF26E9">
      <w:pPr>
        <w:spacing w:line="480" w:lineRule="auto"/>
        <w:jc w:val="both"/>
        <w:rPr>
          <w:rFonts w:ascii="Arial" w:hAnsi="Arial" w:cs="Helvetica"/>
          <w:color w:val="141413"/>
          <w:szCs w:val="12"/>
        </w:rPr>
      </w:pPr>
    </w:p>
    <w:p w14:paraId="1E3E2645" w14:textId="77777777" w:rsidR="003D0847" w:rsidRDefault="003D0847" w:rsidP="00DF26E9">
      <w:pPr>
        <w:spacing w:line="480" w:lineRule="auto"/>
        <w:jc w:val="both"/>
        <w:rPr>
          <w:rFonts w:ascii="Arial" w:hAnsi="Arial" w:cs="Helvetica"/>
          <w:color w:val="141413"/>
          <w:szCs w:val="12"/>
        </w:rPr>
      </w:pPr>
    </w:p>
    <w:p w14:paraId="514EF072" w14:textId="77777777" w:rsidR="003D0847" w:rsidRPr="00DF26E9" w:rsidRDefault="003D0847" w:rsidP="00DF26E9">
      <w:pPr>
        <w:spacing w:line="480" w:lineRule="auto"/>
        <w:jc w:val="both"/>
        <w:rPr>
          <w:rFonts w:ascii="Arial" w:hAnsi="Arial" w:cs="Helvetica"/>
          <w:color w:val="141413"/>
          <w:szCs w:val="12"/>
        </w:rPr>
      </w:pPr>
    </w:p>
    <w:p w14:paraId="5C6B14E9" w14:textId="77777777" w:rsidR="00D27346" w:rsidRDefault="006A1ECD" w:rsidP="00D27346">
      <w:pPr>
        <w:keepNext/>
        <w:tabs>
          <w:tab w:val="left" w:pos="142"/>
        </w:tabs>
        <w:spacing w:line="360" w:lineRule="auto"/>
        <w:jc w:val="both"/>
      </w:pPr>
      <w:r>
        <w:rPr>
          <w:rFonts w:ascii="Arial" w:hAnsi="Arial"/>
          <w:b/>
          <w:noProof/>
          <w:lang w:val="en-US"/>
        </w:rPr>
        <w:drawing>
          <wp:inline distT="0" distB="0" distL="0" distR="0" wp14:anchorId="2A3FCA99" wp14:editId="6C4C1DBB">
            <wp:extent cx="5488703" cy="4712110"/>
            <wp:effectExtent l="0" t="0" r="0" b="12700"/>
            <wp:docPr id="11" name="Picture 11" descr="78321q:Users:appleuser:Desktop:Screen Shot 2018-02-20 at 23.5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78321q:Users:appleuser:Desktop:Screen Shot 2018-02-20 at 23.59.25.png"/>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488703" cy="4712110"/>
                    </a:xfrm>
                    <a:prstGeom prst="rect">
                      <a:avLst/>
                    </a:prstGeom>
                    <a:noFill/>
                    <a:ln>
                      <a:noFill/>
                    </a:ln>
                  </pic:spPr>
                </pic:pic>
              </a:graphicData>
            </a:graphic>
          </wp:inline>
        </w:drawing>
      </w:r>
    </w:p>
    <w:p w14:paraId="130E2423" w14:textId="77777777" w:rsidR="006C6C0F" w:rsidRDefault="006C6C0F" w:rsidP="006C6C0F">
      <w:pPr>
        <w:pStyle w:val="Caption"/>
        <w:spacing w:line="360" w:lineRule="auto"/>
        <w:jc w:val="both"/>
        <w:rPr>
          <w:rFonts w:ascii="Arial" w:hAnsi="Arial" w:cs="Arial"/>
          <w:color w:val="244061" w:themeColor="accent1" w:themeShade="80"/>
          <w:sz w:val="24"/>
          <w:szCs w:val="24"/>
        </w:rPr>
      </w:pPr>
    </w:p>
    <w:p w14:paraId="208CFF00" w14:textId="77777777" w:rsidR="007B76C3" w:rsidRPr="006C6C0F" w:rsidRDefault="00D27346" w:rsidP="006C6C0F">
      <w:pPr>
        <w:pStyle w:val="Caption"/>
        <w:spacing w:line="360" w:lineRule="auto"/>
        <w:jc w:val="both"/>
        <w:rPr>
          <w:rFonts w:ascii="Arial" w:hAnsi="Arial" w:cs="Arial"/>
          <w:b w:val="0"/>
          <w:color w:val="244061" w:themeColor="accent1" w:themeShade="80"/>
          <w:sz w:val="24"/>
          <w:szCs w:val="24"/>
        </w:rPr>
      </w:pPr>
      <w:bookmarkStart w:id="28" w:name="_Toc383544601"/>
      <w:r w:rsidRPr="006C6C0F">
        <w:rPr>
          <w:rFonts w:ascii="Arial" w:hAnsi="Arial" w:cs="Arial"/>
          <w:color w:val="244061" w:themeColor="accent1" w:themeShade="80"/>
          <w:sz w:val="24"/>
          <w:szCs w:val="24"/>
        </w:rPr>
        <w:t xml:space="preserve">Figure </w:t>
      </w:r>
      <w:r w:rsidRPr="006C6C0F">
        <w:rPr>
          <w:rFonts w:ascii="Arial" w:hAnsi="Arial" w:cs="Arial"/>
          <w:color w:val="244061" w:themeColor="accent1" w:themeShade="80"/>
          <w:sz w:val="24"/>
          <w:szCs w:val="24"/>
        </w:rPr>
        <w:fldChar w:fldCharType="begin"/>
      </w:r>
      <w:r w:rsidRPr="006C6C0F">
        <w:rPr>
          <w:rFonts w:ascii="Arial" w:hAnsi="Arial" w:cs="Arial"/>
          <w:color w:val="244061" w:themeColor="accent1" w:themeShade="80"/>
          <w:sz w:val="24"/>
          <w:szCs w:val="24"/>
        </w:rPr>
        <w:instrText xml:space="preserve"> SEQ Figure \* ARABIC </w:instrText>
      </w:r>
      <w:r w:rsidRPr="006C6C0F">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10</w:t>
      </w:r>
      <w:r w:rsidRPr="006C6C0F">
        <w:rPr>
          <w:rFonts w:ascii="Arial" w:hAnsi="Arial" w:cs="Arial"/>
          <w:color w:val="244061" w:themeColor="accent1" w:themeShade="80"/>
          <w:sz w:val="24"/>
          <w:szCs w:val="24"/>
        </w:rPr>
        <w:fldChar w:fldCharType="end"/>
      </w:r>
      <w:r w:rsidRPr="006C6C0F">
        <w:rPr>
          <w:rFonts w:ascii="Arial" w:hAnsi="Arial" w:cs="Arial"/>
          <w:color w:val="244061" w:themeColor="accent1" w:themeShade="80"/>
          <w:sz w:val="24"/>
          <w:szCs w:val="24"/>
        </w:rPr>
        <w:t xml:space="preserve"> Cephalic responses triggered by neural signals from the brain before the food intake in rats</w:t>
      </w:r>
      <w:bookmarkEnd w:id="28"/>
    </w:p>
    <w:p w14:paraId="5C1F63E3" w14:textId="77777777" w:rsidR="007B76C3" w:rsidRDefault="007B76C3" w:rsidP="007B76C3">
      <w:pPr>
        <w:autoSpaceDE w:val="0"/>
        <w:autoSpaceDN w:val="0"/>
        <w:adjustRightInd w:val="0"/>
        <w:spacing w:line="360" w:lineRule="auto"/>
        <w:jc w:val="both"/>
        <w:rPr>
          <w:rFonts w:ascii="Arial" w:hAnsi="Arial" w:cs="Calibri"/>
          <w:bCs/>
          <w:color w:val="000000"/>
          <w:sz w:val="22"/>
          <w:szCs w:val="22"/>
        </w:rPr>
      </w:pPr>
      <w:r>
        <w:rPr>
          <w:rFonts w:ascii="Arial" w:hAnsi="Arial"/>
          <w:sz w:val="22"/>
          <w:szCs w:val="22"/>
        </w:rPr>
        <w:t>Secretion</w:t>
      </w:r>
      <w:r w:rsidRPr="00F73A7B">
        <w:rPr>
          <w:rFonts w:ascii="Arial" w:hAnsi="Arial"/>
          <w:sz w:val="22"/>
          <w:szCs w:val="22"/>
        </w:rPr>
        <w:t xml:space="preserve"> of ghrelin</w:t>
      </w:r>
      <w:r>
        <w:rPr>
          <w:rFonts w:ascii="Arial" w:hAnsi="Arial"/>
          <w:sz w:val="22"/>
          <w:szCs w:val="22"/>
        </w:rPr>
        <w:t xml:space="preserve"> initiated by the signals from the brain, </w:t>
      </w:r>
      <w:r w:rsidRPr="00F73A7B">
        <w:rPr>
          <w:rFonts w:ascii="Arial" w:hAnsi="Arial"/>
          <w:sz w:val="22"/>
          <w:szCs w:val="22"/>
        </w:rPr>
        <w:t>peak</w:t>
      </w:r>
      <w:r>
        <w:rPr>
          <w:rFonts w:ascii="Arial" w:hAnsi="Arial"/>
          <w:sz w:val="22"/>
          <w:szCs w:val="22"/>
        </w:rPr>
        <w:t>s</w:t>
      </w:r>
      <w:r w:rsidRPr="00F73A7B">
        <w:rPr>
          <w:rFonts w:ascii="Arial" w:hAnsi="Arial"/>
          <w:sz w:val="22"/>
          <w:szCs w:val="22"/>
        </w:rPr>
        <w:t xml:space="preserve"> </w:t>
      </w:r>
      <w:r>
        <w:rPr>
          <w:rFonts w:ascii="Arial" w:hAnsi="Arial"/>
          <w:sz w:val="22"/>
          <w:szCs w:val="22"/>
        </w:rPr>
        <w:t xml:space="preserve">around </w:t>
      </w:r>
      <w:r w:rsidR="008A1E2C">
        <w:rPr>
          <w:rFonts w:ascii="Arial" w:hAnsi="Arial"/>
          <w:sz w:val="22"/>
          <w:szCs w:val="22"/>
        </w:rPr>
        <w:t>30</w:t>
      </w:r>
      <w:r w:rsidRPr="00F73A7B">
        <w:rPr>
          <w:rFonts w:ascii="Arial" w:hAnsi="Arial"/>
          <w:sz w:val="22"/>
          <w:szCs w:val="22"/>
        </w:rPr>
        <w:t>min before the meal and then decline</w:t>
      </w:r>
      <w:r>
        <w:rPr>
          <w:rFonts w:ascii="Arial" w:hAnsi="Arial"/>
          <w:sz w:val="22"/>
          <w:szCs w:val="22"/>
        </w:rPr>
        <w:t>s</w:t>
      </w:r>
      <w:r w:rsidRPr="00F73A7B">
        <w:rPr>
          <w:rFonts w:ascii="Arial" w:hAnsi="Arial"/>
          <w:sz w:val="22"/>
          <w:szCs w:val="22"/>
        </w:rPr>
        <w:t xml:space="preserve"> as the meal begins. Cephalic se</w:t>
      </w:r>
      <w:r w:rsidR="008A1E2C">
        <w:rPr>
          <w:rFonts w:ascii="Arial" w:hAnsi="Arial"/>
          <w:sz w:val="22"/>
          <w:szCs w:val="22"/>
        </w:rPr>
        <w:t>cretion of insulin begins 10-15</w:t>
      </w:r>
      <w:r w:rsidRPr="00F73A7B">
        <w:rPr>
          <w:rFonts w:ascii="Arial" w:hAnsi="Arial"/>
          <w:sz w:val="22"/>
          <w:szCs w:val="22"/>
        </w:rPr>
        <w:t>min before the meal and continues to ri</w:t>
      </w:r>
      <w:r>
        <w:rPr>
          <w:rFonts w:ascii="Arial" w:hAnsi="Arial"/>
          <w:sz w:val="22"/>
          <w:szCs w:val="22"/>
        </w:rPr>
        <w:t>se in plasma further as eating occurs. Glucose c</w:t>
      </w:r>
      <w:r w:rsidRPr="00F73A7B">
        <w:rPr>
          <w:rFonts w:ascii="Arial" w:hAnsi="Arial"/>
          <w:sz w:val="22"/>
          <w:szCs w:val="22"/>
        </w:rPr>
        <w:t xml:space="preserve">oncentration </w:t>
      </w:r>
      <w:r>
        <w:rPr>
          <w:rFonts w:ascii="Arial" w:hAnsi="Arial"/>
          <w:sz w:val="22"/>
          <w:szCs w:val="22"/>
        </w:rPr>
        <w:t>in blood remains</w:t>
      </w:r>
      <w:r w:rsidRPr="00F73A7B">
        <w:rPr>
          <w:rFonts w:ascii="Arial" w:hAnsi="Arial"/>
          <w:sz w:val="22"/>
          <w:szCs w:val="22"/>
        </w:rPr>
        <w:t xml:space="preserve"> relatively stable throughout the premeal period. </w:t>
      </w:r>
      <w:r w:rsidRPr="00F73A7B">
        <w:rPr>
          <w:rFonts w:ascii="Arial" w:hAnsi="Arial" w:cs="Calibri"/>
          <w:bCs/>
          <w:color w:val="000000"/>
          <w:sz w:val="22"/>
          <w:szCs w:val="22"/>
        </w:rPr>
        <w:t xml:space="preserve">Cephalic levels of GLP1 peak </w:t>
      </w:r>
      <w:r>
        <w:rPr>
          <w:rFonts w:ascii="Arial" w:hAnsi="Arial" w:cs="Calibri"/>
          <w:bCs/>
          <w:color w:val="000000"/>
          <w:sz w:val="22"/>
          <w:szCs w:val="22"/>
        </w:rPr>
        <w:t xml:space="preserve">around </w:t>
      </w:r>
      <w:r w:rsidRPr="00F73A7B">
        <w:rPr>
          <w:rFonts w:ascii="Arial" w:hAnsi="Arial" w:cs="Calibri"/>
          <w:bCs/>
          <w:color w:val="000000"/>
          <w:sz w:val="22"/>
          <w:szCs w:val="22"/>
        </w:rPr>
        <w:t>1h before the meal</w:t>
      </w:r>
      <w:r>
        <w:rPr>
          <w:rFonts w:ascii="Arial" w:hAnsi="Arial" w:cs="Calibri"/>
          <w:bCs/>
          <w:color w:val="000000"/>
          <w:sz w:val="22"/>
          <w:szCs w:val="22"/>
        </w:rPr>
        <w:t>,</w:t>
      </w:r>
      <w:r w:rsidRPr="00F73A7B">
        <w:rPr>
          <w:rFonts w:ascii="Arial" w:hAnsi="Arial" w:cs="Calibri"/>
          <w:bCs/>
          <w:color w:val="000000"/>
          <w:sz w:val="22"/>
          <w:szCs w:val="22"/>
        </w:rPr>
        <w:t xml:space="preserve"> then return to baseline levels by me</w:t>
      </w:r>
      <w:r>
        <w:rPr>
          <w:rFonts w:ascii="Arial" w:hAnsi="Arial" w:cs="Calibri"/>
          <w:bCs/>
          <w:color w:val="000000"/>
          <w:sz w:val="22"/>
          <w:szCs w:val="22"/>
        </w:rPr>
        <w:t>al time and continue to rise as eating commences.</w:t>
      </w:r>
    </w:p>
    <w:p w14:paraId="3B47E0D8" w14:textId="77777777" w:rsidR="007B76C3" w:rsidRPr="00642F2E" w:rsidRDefault="007B76C3" w:rsidP="007B76C3">
      <w:pPr>
        <w:autoSpaceDE w:val="0"/>
        <w:autoSpaceDN w:val="0"/>
        <w:adjustRightInd w:val="0"/>
        <w:spacing w:line="360" w:lineRule="auto"/>
        <w:jc w:val="both"/>
        <w:rPr>
          <w:rFonts w:ascii="Arial" w:hAnsi="Arial" w:cs="Calibri"/>
          <w:bCs/>
          <w:color w:val="000000"/>
          <w:sz w:val="22"/>
          <w:szCs w:val="22"/>
        </w:rPr>
      </w:pPr>
      <w:r>
        <w:rPr>
          <w:rFonts w:ascii="Arial" w:hAnsi="Arial" w:cs="Calibri"/>
          <w:bCs/>
          <w:color w:val="000000"/>
          <w:sz w:val="22"/>
          <w:szCs w:val="22"/>
        </w:rPr>
        <w:t xml:space="preserve">Image </w:t>
      </w:r>
      <w:r w:rsidR="00AD7EBD">
        <w:rPr>
          <w:rFonts w:ascii="Arial" w:hAnsi="Arial" w:cs="Calibri"/>
          <w:bCs/>
          <w:color w:val="000000"/>
          <w:sz w:val="22"/>
          <w:szCs w:val="22"/>
        </w:rPr>
        <w:t>reproduced</w:t>
      </w:r>
      <w:r w:rsidRPr="00F73A7B">
        <w:rPr>
          <w:rFonts w:ascii="Arial" w:hAnsi="Arial" w:cs="Calibri"/>
          <w:bCs/>
          <w:color w:val="000000"/>
          <w:sz w:val="22"/>
          <w:szCs w:val="22"/>
        </w:rPr>
        <w:t xml:space="preserve"> with permission from </w:t>
      </w:r>
      <w:r>
        <w:rPr>
          <w:rFonts w:ascii="Arial" w:hAnsi="Arial" w:cs="Calibri"/>
          <w:bCs/>
          <w:color w:val="000000"/>
          <w:sz w:val="22"/>
          <w:szCs w:val="22"/>
        </w:rPr>
        <w:fldChar w:fldCharType="begin"/>
      </w:r>
      <w:r w:rsidR="00B97465">
        <w:rPr>
          <w:rFonts w:ascii="Arial" w:hAnsi="Arial" w:cs="Calibri"/>
          <w:bCs/>
          <w:color w:val="000000"/>
          <w:sz w:val="22"/>
          <w:szCs w:val="22"/>
        </w:rPr>
        <w:instrText xml:space="preserve"> ADDIN EN.CITE &lt;EndNote&gt;&lt;Cite&gt;&lt;Author&gt;Begg&lt;/Author&gt;&lt;Year&gt;2013&lt;/Year&gt;&lt;RecNum&gt;207&lt;/RecNum&gt;&lt;DisplayText&gt;(Begg and Woods, 2013)&lt;/DisplayText&gt;&lt;record&gt;&lt;rec-number&gt;207&lt;/rec-number&gt;&lt;foreign-keys&gt;&lt;key app="EN" db-id="ae9rewfrpdttrheppfxxv0p4950wpd25r09x" timestamp="1520658162"&gt;207&lt;/key&gt;&lt;key app="ENWeb" db-id=""&gt;0&lt;/key&gt;&lt;/foreign-keys&gt;&lt;ref-type name="Journal Article"&gt;17&lt;/ref-type&gt;&lt;contributors&gt;&lt;authors&gt;&lt;author&gt;Begg, Denovan P.&lt;/author&gt;&lt;author&gt;Woods, Stephen C.&lt;/author&gt;&lt;/authors&gt;&lt;/contributors&gt;&lt;titles&gt;&lt;title&gt;The endocrinology of food intake&lt;/title&gt;&lt;secondary-title&gt;Nature Reviews Endocrinology&lt;/secondary-title&gt;&lt;/titles&gt;&lt;periodical&gt;&lt;full-title&gt;Nature Reviews Endocrinology&lt;/full-title&gt;&lt;/periodical&gt;&lt;pages&gt;584-597&lt;/pages&gt;&lt;volume&gt;9&lt;/volume&gt;&lt;dates&gt;&lt;year&gt;2013&lt;/year&gt;&lt;/dates&gt;&lt;isbn&gt;17595029&lt;/isbn&gt;&lt;urls&gt;&lt;/urls&gt;&lt;electronic-resource-num&gt;10.1038/nrendo.2013.136&lt;/electronic-resource-num&gt;&lt;/record&gt;&lt;/Cite&gt;&lt;/EndNote&gt;</w:instrText>
      </w:r>
      <w:r>
        <w:rPr>
          <w:rFonts w:ascii="Arial" w:hAnsi="Arial" w:cs="Calibri"/>
          <w:bCs/>
          <w:color w:val="000000"/>
          <w:sz w:val="22"/>
          <w:szCs w:val="22"/>
        </w:rPr>
        <w:fldChar w:fldCharType="separate"/>
      </w:r>
      <w:r>
        <w:rPr>
          <w:rFonts w:ascii="Arial" w:hAnsi="Arial" w:cs="Calibri"/>
          <w:bCs/>
          <w:noProof/>
          <w:color w:val="000000"/>
          <w:sz w:val="22"/>
          <w:szCs w:val="22"/>
        </w:rPr>
        <w:t>(Begg and Woods, 2013)</w:t>
      </w:r>
      <w:r>
        <w:rPr>
          <w:rFonts w:ascii="Arial" w:hAnsi="Arial" w:cs="Calibri"/>
          <w:bCs/>
          <w:color w:val="000000"/>
          <w:sz w:val="22"/>
          <w:szCs w:val="22"/>
        </w:rPr>
        <w:fldChar w:fldCharType="end"/>
      </w:r>
    </w:p>
    <w:p w14:paraId="4F898F17" w14:textId="77777777" w:rsidR="007B76C3" w:rsidRDefault="007B76C3" w:rsidP="007B76C3">
      <w:pPr>
        <w:spacing w:line="360" w:lineRule="auto"/>
        <w:jc w:val="both"/>
        <w:rPr>
          <w:rFonts w:ascii="Arial" w:hAnsi="Arial"/>
          <w:b/>
        </w:rPr>
      </w:pPr>
    </w:p>
    <w:p w14:paraId="6B435047" w14:textId="77777777" w:rsidR="007B76C3" w:rsidRDefault="007B76C3" w:rsidP="007B76C3">
      <w:pPr>
        <w:spacing w:line="360" w:lineRule="auto"/>
        <w:jc w:val="both"/>
        <w:rPr>
          <w:rFonts w:ascii="Arial" w:hAnsi="Arial"/>
          <w:b/>
        </w:rPr>
      </w:pPr>
    </w:p>
    <w:p w14:paraId="106B955A" w14:textId="77777777" w:rsidR="007B76C3" w:rsidRDefault="007B76C3" w:rsidP="007B76C3">
      <w:pPr>
        <w:spacing w:line="360" w:lineRule="auto"/>
        <w:jc w:val="both"/>
        <w:rPr>
          <w:rFonts w:ascii="Arial" w:hAnsi="Arial"/>
          <w:b/>
        </w:rPr>
      </w:pPr>
    </w:p>
    <w:p w14:paraId="0A4D645B" w14:textId="77777777" w:rsidR="007B76C3" w:rsidRDefault="007B76C3" w:rsidP="007B76C3">
      <w:pPr>
        <w:spacing w:line="360" w:lineRule="auto"/>
        <w:jc w:val="both"/>
        <w:rPr>
          <w:rFonts w:ascii="Arial" w:hAnsi="Arial"/>
          <w:b/>
        </w:rPr>
      </w:pPr>
    </w:p>
    <w:p w14:paraId="560FB58C" w14:textId="77777777" w:rsidR="006A1ECD" w:rsidRDefault="006A1ECD" w:rsidP="007B76C3">
      <w:pPr>
        <w:spacing w:line="480" w:lineRule="auto"/>
        <w:jc w:val="both"/>
        <w:rPr>
          <w:rFonts w:ascii="Arial" w:hAnsi="Arial"/>
          <w:b/>
        </w:rPr>
      </w:pPr>
    </w:p>
    <w:p w14:paraId="33B4A86E" w14:textId="77777777" w:rsidR="007B76C3" w:rsidRPr="0008605F" w:rsidRDefault="007B76C3" w:rsidP="008858B1">
      <w:pPr>
        <w:pStyle w:val="Heading3"/>
        <w:spacing w:line="480" w:lineRule="auto"/>
        <w:jc w:val="both"/>
        <w:rPr>
          <w:rFonts w:ascii="Arial" w:hAnsi="Arial" w:cs="Arial"/>
          <w:color w:val="auto"/>
        </w:rPr>
      </w:pPr>
      <w:bookmarkStart w:id="29" w:name="_Toc383723852"/>
      <w:r w:rsidRPr="0008605F">
        <w:rPr>
          <w:rFonts w:ascii="Arial" w:hAnsi="Arial" w:cs="Arial"/>
          <w:color w:val="auto"/>
        </w:rPr>
        <w:lastRenderedPageBreak/>
        <w:t>1.4.2 Ghrelin</w:t>
      </w:r>
      <w:bookmarkEnd w:id="29"/>
      <w:r w:rsidRPr="0008605F">
        <w:rPr>
          <w:rFonts w:ascii="Arial" w:hAnsi="Arial" w:cs="Arial"/>
          <w:color w:val="auto"/>
        </w:rPr>
        <w:t xml:space="preserve"> </w:t>
      </w:r>
    </w:p>
    <w:p w14:paraId="34AE655E" w14:textId="77777777" w:rsidR="007B76C3" w:rsidRDefault="007B76C3" w:rsidP="007B76C3">
      <w:pPr>
        <w:spacing w:line="480" w:lineRule="auto"/>
        <w:jc w:val="both"/>
        <w:rPr>
          <w:rFonts w:ascii="Arial" w:hAnsi="Arial"/>
        </w:rPr>
      </w:pPr>
      <w:r w:rsidRPr="00696C9D">
        <w:rPr>
          <w:rFonts w:ascii="Arial" w:hAnsi="Arial"/>
        </w:rPr>
        <w:t>Ghrelin</w:t>
      </w:r>
      <w:r>
        <w:rPr>
          <w:rFonts w:ascii="Arial" w:hAnsi="Arial"/>
          <w:b/>
        </w:rPr>
        <w:t xml:space="preserve"> </w:t>
      </w:r>
      <w:r w:rsidRPr="00560C7F">
        <w:rPr>
          <w:rFonts w:ascii="Arial" w:hAnsi="Arial"/>
          <w:bCs/>
        </w:rPr>
        <w:t xml:space="preserve">is </w:t>
      </w:r>
      <w:r>
        <w:rPr>
          <w:rFonts w:ascii="Arial" w:hAnsi="Arial"/>
          <w:bCs/>
        </w:rPr>
        <w:t xml:space="preserve">a </w:t>
      </w:r>
      <w:r w:rsidRPr="00560C7F">
        <w:rPr>
          <w:rFonts w:ascii="Arial" w:hAnsi="Arial"/>
          <w:bCs/>
        </w:rPr>
        <w:t xml:space="preserve">28-amino acid peptide, </w:t>
      </w:r>
      <w:r>
        <w:rPr>
          <w:rFonts w:ascii="Arial" w:hAnsi="Arial"/>
          <w:bCs/>
        </w:rPr>
        <w:t xml:space="preserve">an endogenous ligand for G-protein coupled </w:t>
      </w:r>
      <w:r w:rsidRPr="00560C7F">
        <w:rPr>
          <w:rFonts w:ascii="Arial" w:hAnsi="Arial"/>
          <w:bCs/>
        </w:rPr>
        <w:t xml:space="preserve">growth hormone secretagogue </w:t>
      </w:r>
      <w:r>
        <w:rPr>
          <w:rFonts w:ascii="Arial" w:hAnsi="Arial"/>
          <w:bCs/>
        </w:rPr>
        <w:t>receptor (GHS-R)</w:t>
      </w:r>
      <w:r w:rsidR="00D53B83">
        <w:rPr>
          <w:rFonts w:ascii="Arial" w:hAnsi="Arial"/>
          <w:bCs/>
        </w:rPr>
        <w:t>,</w:t>
      </w:r>
      <w:r>
        <w:rPr>
          <w:rFonts w:ascii="Arial" w:hAnsi="Arial"/>
          <w:bCs/>
        </w:rPr>
        <w:t xml:space="preserve"> </w:t>
      </w:r>
      <w:r w:rsidRPr="00560C7F">
        <w:rPr>
          <w:rFonts w:ascii="Arial" w:hAnsi="Arial"/>
          <w:bCs/>
        </w:rPr>
        <w:t>mainly secreted from the stomach. Lower concentrations of ghrelin</w:t>
      </w:r>
      <w:r>
        <w:rPr>
          <w:rFonts w:ascii="Arial" w:hAnsi="Arial"/>
        </w:rPr>
        <w:t xml:space="preserve"> are</w:t>
      </w:r>
      <w:r w:rsidRPr="00560C7F">
        <w:rPr>
          <w:rFonts w:ascii="Arial" w:hAnsi="Arial"/>
        </w:rPr>
        <w:t xml:space="preserve"> expressed in duodenum, throughout the small intestine, lungs, kidney, placenta, ovary, testis and</w:t>
      </w:r>
      <w:r>
        <w:rPr>
          <w:rFonts w:ascii="Arial" w:hAnsi="Arial"/>
        </w:rPr>
        <w:t xml:space="preserve"> the </w:t>
      </w:r>
      <w:r w:rsidRPr="00560C7F">
        <w:rPr>
          <w:rFonts w:ascii="Arial" w:hAnsi="Arial"/>
        </w:rPr>
        <w:t xml:space="preserve">brain including hypothalamus, amygdala and pituitary </w:t>
      </w:r>
      <w:r>
        <w:rPr>
          <w:rFonts w:ascii="Arial" w:hAnsi="Arial"/>
        </w:rPr>
        <w:fldChar w:fldCharType="begin">
          <w:fldData xml:space="preserve">PEVuZE5vdGU+PENpdGU+PEF1dGhvcj5Lb2ppbWE8L0F1dGhvcj48WWVhcj4xOTk5PC9ZZWFyPjxS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</w:fldData>
        </w:fldChar>
      </w:r>
      <w:r w:rsidR="0000415D">
        <w:rPr>
          <w:rFonts w:ascii="Arial" w:hAnsi="Arial"/>
        </w:rPr>
        <w:instrText xml:space="preserve"> ADDIN EN.CITE </w:instrText>
      </w:r>
      <w:r w:rsidR="0000415D">
        <w:rPr>
          <w:rFonts w:ascii="Arial" w:hAnsi="Arial"/>
        </w:rPr>
        <w:fldChar w:fldCharType="begin">
          <w:fldData xml:space="preserve">PEVuZE5vdGU+PENpdGU+PEF1dGhvcj5Lb2ppbWE8L0F1dGhvcj48WWVhcj4xOTk5PC9ZZWFyPjxS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Pr>
          <w:rFonts w:ascii="Arial" w:hAnsi="Arial"/>
        </w:rPr>
      </w:r>
      <w:r>
        <w:rPr>
          <w:rFonts w:ascii="Arial" w:hAnsi="Arial"/>
        </w:rPr>
        <w:fldChar w:fldCharType="separate"/>
      </w:r>
      <w:r>
        <w:rPr>
          <w:rFonts w:ascii="Arial" w:hAnsi="Arial"/>
          <w:noProof/>
        </w:rPr>
        <w:t>(Kojima et al., 1999, Hosoda et al., 2000, Mori et al., 2000, Kojima et al., 2001, Volante et al., 2002)</w:t>
      </w:r>
      <w:r>
        <w:rPr>
          <w:rFonts w:ascii="Arial" w:hAnsi="Arial"/>
        </w:rPr>
        <w:fldChar w:fldCharType="end"/>
      </w:r>
      <w:r>
        <w:rPr>
          <w:rFonts w:ascii="Arial" w:hAnsi="Arial"/>
        </w:rPr>
        <w:t xml:space="preserve">. Circulating ghrelin concentrations change throughout the day </w:t>
      </w:r>
      <w:r w:rsidRPr="00FA5941">
        <w:rPr>
          <w:rFonts w:ascii="Arial" w:hAnsi="Arial"/>
        </w:rPr>
        <w:t xml:space="preserve">with high concentrations </w:t>
      </w:r>
      <w:r>
        <w:rPr>
          <w:rFonts w:ascii="Arial" w:hAnsi="Arial"/>
        </w:rPr>
        <w:t xml:space="preserve">on fasting, before the meal </w:t>
      </w:r>
      <w:r w:rsidRPr="00FA5941">
        <w:rPr>
          <w:rFonts w:ascii="Arial" w:hAnsi="Arial"/>
        </w:rPr>
        <w:t xml:space="preserve">and low concentrations soon after the food intake </w:t>
      </w:r>
      <w:r>
        <w:rPr>
          <w:rFonts w:ascii="Arial" w:hAnsi="Arial"/>
        </w:rPr>
        <w:t>suggesting that ghrelin might be an important factor i</w:t>
      </w:r>
      <w:r w:rsidR="00161FEA">
        <w:rPr>
          <w:rFonts w:ascii="Arial" w:hAnsi="Arial"/>
        </w:rPr>
        <w:t xml:space="preserve">n meal initiation (Figure </w:t>
      </w:r>
      <w:r>
        <w:rPr>
          <w:rFonts w:ascii="Arial" w:hAnsi="Arial"/>
        </w:rPr>
        <w:t xml:space="preserve">10) </w:t>
      </w:r>
      <w:r>
        <w:rPr>
          <w:rFonts w:ascii="Arial" w:hAnsi="Arial"/>
        </w:rPr>
        <w:fldChar w:fldCharType="begin">
          <w:fldData xml:space="preserve">PEVuZE5vdGU+PENpdGU+PEF1dGhvcj5DdW1taW5nczwvQXV0aG9yPjxZZWFyPjIwMDE8L1llYXI+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=
</w:fldData>
        </w:fldChar>
      </w:r>
      <w:r w:rsidR="0000415D">
        <w:rPr>
          <w:rFonts w:ascii="Arial" w:hAnsi="Arial"/>
        </w:rPr>
        <w:instrText xml:space="preserve"> ADDIN EN.CITE </w:instrText>
      </w:r>
      <w:r w:rsidR="0000415D">
        <w:rPr>
          <w:rFonts w:ascii="Arial" w:hAnsi="Arial"/>
        </w:rPr>
        <w:fldChar w:fldCharType="begin">
          <w:fldData xml:space="preserve">PEVuZE5vdGU+PENpdGU+PEF1dGhvcj5DdW1taW5nczwvQXV0aG9yPjxZZWFyPjIwMDE8L1llYXI+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=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Pr>
          <w:rFonts w:ascii="Arial" w:hAnsi="Arial"/>
        </w:rPr>
      </w:r>
      <w:r>
        <w:rPr>
          <w:rFonts w:ascii="Arial" w:hAnsi="Arial"/>
        </w:rPr>
        <w:fldChar w:fldCharType="separate"/>
      </w:r>
      <w:r>
        <w:rPr>
          <w:rFonts w:ascii="Arial" w:hAnsi="Arial"/>
          <w:noProof/>
        </w:rPr>
        <w:t>(Cummings et al., 2001, Tschop et al., 2001, Cummings et al., 2004, Drazen et al., 2006)</w:t>
      </w:r>
      <w:r>
        <w:rPr>
          <w:rFonts w:ascii="Arial" w:hAnsi="Arial"/>
        </w:rPr>
        <w:fldChar w:fldCharType="end"/>
      </w:r>
      <w:r>
        <w:rPr>
          <w:rFonts w:ascii="Arial" w:hAnsi="Arial"/>
        </w:rPr>
        <w:t xml:space="preserve">. Ghrelin is transported across blood-brain barrier (BBB) by transport proteins, where it acts on the brain regions including hypothalamus, limbic reward centres, brainstem and hindbrain. It increases the </w:t>
      </w:r>
      <w:r w:rsidRPr="00BA4476">
        <w:rPr>
          <w:rFonts w:ascii="Arial" w:hAnsi="Arial"/>
        </w:rPr>
        <w:t xml:space="preserve">appetite and enhances food intake, mainly increasing the number of meals </w:t>
      </w:r>
      <w:r>
        <w:rPr>
          <w:rFonts w:ascii="Arial" w:hAnsi="Arial"/>
        </w:rPr>
        <w:fldChar w:fldCharType="begin"/>
      </w:r>
      <w:r w:rsidR="00A108A1">
        <w:rPr>
          <w:rFonts w:ascii="Arial" w:hAnsi="Arial"/>
        </w:rPr>
        <w:instrText xml:space="preserve"> ADDIN EN.CITE &lt;EndNote&gt;&lt;Cite&gt;&lt;Author&gt;Cummings&lt;/Author&gt;&lt;Year&gt;2006&lt;/Year&gt;&lt;RecNum&gt;126&lt;/RecNum&gt;&lt;DisplayText&gt;(Cummings, 2006)&lt;/DisplayText&gt;&lt;record&gt;&lt;rec-number&gt;126&lt;/rec-number&gt;&lt;foreign-keys&gt;&lt;key app="EN" db-id="ae9rewfrpdttrheppfxxv0p4950wpd25r09x" timestamp="1520657909"&gt;126&lt;/key&gt;&lt;key app="ENWeb" db-id=""&gt;0&lt;/key&gt;&lt;/foreign-keys&gt;&lt;ref-type name="Journal Article"&gt;17&lt;/ref-type&gt;&lt;contributors&gt;&lt;authors&gt;&lt;author&gt;Cummings, David E.&lt;/author&gt;&lt;/authors&gt;&lt;/contributors&gt;&lt;titles&gt;&lt;title&gt;Ghrelin and the short- and long- term regulation of appetite and body weight&lt;/title&gt;&lt;secondary-title&gt;Physiology and Behavior&lt;/secondary-title&gt;&lt;/titles&gt;&lt;periodical&gt;&lt;full-title&gt;Physiology and Behavior&lt;/full-title&gt;&lt;/periodical&gt;&lt;pages&gt;71-84&lt;/pages&gt;&lt;volume&gt;89&lt;/volume&gt;&lt;number&gt;1&lt;/number&gt;&lt;keywords&gt;&lt;keyword&gt;Body- Weight Regulation&lt;/keyword&gt;&lt;keyword&gt;Cachexia&lt;/keyword&gt;&lt;keyword&gt;Energy Homeostasis&lt;/keyword&gt;&lt;keyword&gt;Ghrelin&lt;/keyword&gt;&lt;keyword&gt;Meal Initiation&lt;/keyword&gt;&lt;keyword&gt;Meals&lt;/keyword&gt;&lt;keyword&gt;Obesity&lt;/keyword&gt;&lt;keyword&gt;Reward&lt;/keyword&gt;&lt;keyword&gt;Weight Loss&lt;/keyword&gt;&lt;/keywords&gt;&lt;dates&gt;&lt;year&gt;2006&lt;/year&gt;&lt;/dates&gt;&lt;isbn&gt;00319384&lt;/isbn&gt;&lt;urls&gt;&lt;/urls&gt;&lt;electronic-resource-num&gt;10.1016/j.physbeh.2006.05.022&lt;/electronic-resource-num&gt;&lt;/record&gt;&lt;/Cite&gt;&lt;/EndNote&gt;</w:instrText>
      </w:r>
      <w:r>
        <w:rPr>
          <w:rFonts w:ascii="Arial" w:hAnsi="Arial"/>
        </w:rPr>
        <w:fldChar w:fldCharType="separate"/>
      </w:r>
      <w:r>
        <w:rPr>
          <w:rFonts w:ascii="Arial" w:hAnsi="Arial"/>
          <w:noProof/>
        </w:rPr>
        <w:t>(Cummings, 2006)</w:t>
      </w:r>
      <w:r>
        <w:rPr>
          <w:rFonts w:ascii="Arial" w:hAnsi="Arial"/>
        </w:rPr>
        <w:fldChar w:fldCharType="end"/>
      </w:r>
      <w:r>
        <w:rPr>
          <w:rFonts w:ascii="Arial" w:hAnsi="Arial"/>
        </w:rPr>
        <w:t xml:space="preserve">. </w:t>
      </w:r>
    </w:p>
    <w:p w14:paraId="2173A616" w14:textId="77777777" w:rsidR="007B76C3" w:rsidRDefault="007B76C3" w:rsidP="007B76C3">
      <w:pPr>
        <w:spacing w:line="480" w:lineRule="auto"/>
        <w:jc w:val="both"/>
        <w:rPr>
          <w:rFonts w:ascii="Arial" w:hAnsi="Arial"/>
        </w:rPr>
      </w:pPr>
    </w:p>
    <w:p w14:paraId="6CB752C9" w14:textId="77777777" w:rsidR="007B76C3" w:rsidRPr="00D34460" w:rsidRDefault="007B76C3" w:rsidP="007B76C3">
      <w:pPr>
        <w:spacing w:line="480" w:lineRule="auto"/>
        <w:jc w:val="both"/>
        <w:rPr>
          <w:rFonts w:ascii="Arial" w:hAnsi="Arial" w:cs="Calibri"/>
          <w:bCs/>
          <w:color w:val="000000"/>
        </w:rPr>
      </w:pPr>
      <w:r>
        <w:rPr>
          <w:rFonts w:ascii="Arial" w:hAnsi="Arial"/>
        </w:rPr>
        <w:t>Amongst the macronutrients c</w:t>
      </w:r>
      <w:r w:rsidRPr="00BA4476">
        <w:rPr>
          <w:rFonts w:ascii="Arial" w:hAnsi="Arial"/>
        </w:rPr>
        <w:t xml:space="preserve">arbohydrates are known to be the most effective suppressors of postprandial ghrelin </w:t>
      </w:r>
      <w:r>
        <w:rPr>
          <w:rFonts w:ascii="Arial" w:hAnsi="Arial"/>
        </w:rPr>
        <w:t xml:space="preserve">secretion </w:t>
      </w:r>
      <w:r>
        <w:rPr>
          <w:rFonts w:ascii="Arial" w:hAnsi="Arial"/>
        </w:rPr>
        <w:fldChar w:fldCharType="begin">
          <w:fldData xml:space="preserve">PEVuZE5vdGU+PENpdGU+PEF1dGhvcj5Nb250ZWxlb25lPC9BdXRob3I+PFllYXI+MjAwMzwvWWVh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</w:fldData>
        </w:fldChar>
      </w:r>
      <w:r w:rsidR="00651EFF">
        <w:rPr>
          <w:rFonts w:ascii="Arial" w:hAnsi="Arial"/>
        </w:rPr>
        <w:instrText xml:space="preserve"> ADDIN EN.CITE </w:instrText>
      </w:r>
      <w:r w:rsidR="00651EFF">
        <w:rPr>
          <w:rFonts w:ascii="Arial" w:hAnsi="Arial"/>
        </w:rPr>
        <w:fldChar w:fldCharType="begin">
          <w:fldData xml:space="preserve">PEVuZE5vdGU+PENpdGU+PEF1dGhvcj5Nb250ZWxlb25lPC9BdXRob3I+PFllYXI+MjAwMzwvWWVh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</w:fldData>
        </w:fldChar>
      </w:r>
      <w:r w:rsidR="00651EFF">
        <w:rPr>
          <w:rFonts w:ascii="Arial" w:hAnsi="Arial"/>
        </w:rPr>
        <w:instrText xml:space="preserve"> ADDIN EN.CITE.DATA </w:instrText>
      </w:r>
      <w:r w:rsidR="00651EFF">
        <w:rPr>
          <w:rFonts w:ascii="Arial" w:hAnsi="Arial"/>
        </w:rPr>
      </w:r>
      <w:r w:rsidR="00651EFF">
        <w:rPr>
          <w:rFonts w:ascii="Arial" w:hAnsi="Arial"/>
        </w:rPr>
        <w:fldChar w:fldCharType="end"/>
      </w:r>
      <w:r>
        <w:rPr>
          <w:rFonts w:ascii="Arial" w:hAnsi="Arial"/>
        </w:rPr>
      </w:r>
      <w:r>
        <w:rPr>
          <w:rFonts w:ascii="Arial" w:hAnsi="Arial"/>
        </w:rPr>
        <w:fldChar w:fldCharType="separate"/>
      </w:r>
      <w:r>
        <w:rPr>
          <w:rFonts w:ascii="Arial" w:hAnsi="Arial"/>
          <w:noProof/>
        </w:rPr>
        <w:t>(Monteleone et al., 2003, Hwalla et al., 2006)</w:t>
      </w:r>
      <w:r>
        <w:rPr>
          <w:rFonts w:ascii="Arial" w:hAnsi="Arial"/>
        </w:rPr>
        <w:fldChar w:fldCharType="end"/>
      </w:r>
      <w:r>
        <w:rPr>
          <w:rFonts w:ascii="Arial" w:hAnsi="Arial"/>
        </w:rPr>
        <w:t xml:space="preserve">. In some studies postprandial concentrations of ghrelin elevated </w:t>
      </w:r>
      <w:r>
        <w:rPr>
          <w:rFonts w:ascii="Arial" w:hAnsi="Arial"/>
        </w:rPr>
        <w:fldChar w:fldCharType="begin">
          <w:fldData xml:space="preserve">PEVuZE5vdGU+PENpdGU+PEF1dGhvcj5FcmRtYW5uPC9BdXRob3I+PFllYXI+MjAwMzwvWWVhcj48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</w:fldData>
        </w:fldChar>
      </w:r>
      <w:r w:rsidR="00A108A1">
        <w:rPr>
          <w:rFonts w:ascii="Arial" w:hAnsi="Arial"/>
        </w:rPr>
        <w:instrText xml:space="preserve"> ADDIN EN.CITE </w:instrText>
      </w:r>
      <w:r w:rsidR="00A108A1">
        <w:rPr>
          <w:rFonts w:ascii="Arial" w:hAnsi="Arial"/>
        </w:rPr>
        <w:fldChar w:fldCharType="begin">
          <w:fldData xml:space="preserve">PEVuZE5vdGU+PENpdGU+PEF1dGhvcj5FcmRtYW5uPC9BdXRob3I+PFllYXI+MjAwMzwvWWVhcj48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</w:fldData>
        </w:fldChar>
      </w:r>
      <w:r w:rsidR="00A108A1">
        <w:rPr>
          <w:rFonts w:ascii="Arial" w:hAnsi="Arial"/>
        </w:rPr>
        <w:instrText xml:space="preserve"> ADDIN EN.CITE.DATA </w:instrText>
      </w:r>
      <w:r w:rsidR="00A108A1">
        <w:rPr>
          <w:rFonts w:ascii="Arial" w:hAnsi="Arial"/>
        </w:rPr>
      </w:r>
      <w:r w:rsidR="00A108A1">
        <w:rPr>
          <w:rFonts w:ascii="Arial" w:hAnsi="Arial"/>
        </w:rPr>
        <w:fldChar w:fldCharType="end"/>
      </w:r>
      <w:r>
        <w:rPr>
          <w:rFonts w:ascii="Arial" w:hAnsi="Arial"/>
        </w:rPr>
      </w:r>
      <w:r>
        <w:rPr>
          <w:rFonts w:ascii="Arial" w:hAnsi="Arial"/>
        </w:rPr>
        <w:fldChar w:fldCharType="separate"/>
      </w:r>
      <w:r>
        <w:rPr>
          <w:rFonts w:ascii="Arial" w:hAnsi="Arial"/>
          <w:noProof/>
        </w:rPr>
        <w:t>(Erdmann et al., 2003, Erdmann et al., 2006)</w:t>
      </w:r>
      <w:r>
        <w:rPr>
          <w:rFonts w:ascii="Arial" w:hAnsi="Arial"/>
        </w:rPr>
        <w:fldChar w:fldCharType="end"/>
      </w:r>
      <w:r>
        <w:rPr>
          <w:rFonts w:ascii="Arial" w:hAnsi="Arial"/>
        </w:rPr>
        <w:t xml:space="preserve"> or remained unchanged after the intake of protein rich meal </w:t>
      </w:r>
      <w:r>
        <w:rPr>
          <w:rFonts w:ascii="Arial" w:hAnsi="Arial"/>
        </w:rPr>
        <w:fldChar w:fldCharType="begin"/>
      </w:r>
      <w:r w:rsidR="00651EFF">
        <w:rPr>
          <w:rFonts w:ascii="Arial" w:hAnsi="Arial"/>
        </w:rPr>
        <w:instrText xml:space="preserve"> ADDIN EN.CITE &lt;EndNote&gt;&lt;Cite&gt;&lt;Author&gt;Greenman&lt;/Author&gt;&lt;Year&gt;2004&lt;/Year&gt;&lt;RecNum&gt;133&lt;/RecNum&gt;&lt;DisplayText&gt;(Greenman et al., 2004)&lt;/DisplayText&gt;&lt;record&gt;&lt;rec-number&gt;133&lt;/rec-number&gt;&lt;foreign-keys&gt;&lt;key app="EN" db-id="ae9rewfrpdttrheppfxxv0p4950wpd25r09x" timestamp="1520657915"&gt;133&lt;/key&gt;&lt;key app="ENWeb" db-id=""&gt;0&lt;/key&gt;&lt;/foreign-keys&gt;&lt;ref-type name="Journal Article"&gt;17&lt;/ref-type&gt;&lt;contributors&gt;&lt;authors&gt;&lt;author&gt;Greenman, Y.&lt;/author&gt;&lt;author&gt;Golani, N.&lt;/author&gt;&lt;author&gt;Gilad, S.&lt;/author&gt;&lt;author&gt;Yaron, M.&lt;/author&gt;&lt;author&gt;Limor, R.&lt;/author&gt;&lt;author&gt;Stern, N.&lt;/author&gt;&lt;/authors&gt;&lt;/contributors&gt;&lt;titles&gt;&lt;title&gt;Ghrelin secretion is modulated in a nutrient- and gender- specific manner&lt;/title&gt;&lt;secondary-title&gt;Clinical Endocrinology&lt;/secondary-title&gt;&lt;/titles&gt;&lt;periodical&gt;&lt;full-title&gt;Clinical endocrinology&lt;/full-title&gt;&lt;/periodical&gt;&lt;pages&gt;382-388&lt;/pages&gt;&lt;volume&gt;60&lt;/volume&gt;&lt;number&gt;3&lt;/number&gt;&lt;dates&gt;&lt;year&gt;2004&lt;/year&gt;&lt;/dates&gt;&lt;isbn&gt;0300-0664&lt;/isbn&gt;&lt;urls&gt;&lt;/urls&gt;&lt;electronic-resource-num&gt;10.1111/j.1365-2265.2004.01993.x&lt;/electronic-resource-num&gt;&lt;/record&gt;&lt;/Cite&gt;&lt;/EndNote&gt;</w:instrText>
      </w:r>
      <w:r>
        <w:rPr>
          <w:rFonts w:ascii="Arial" w:hAnsi="Arial"/>
        </w:rPr>
        <w:fldChar w:fldCharType="separate"/>
      </w:r>
      <w:r>
        <w:rPr>
          <w:rFonts w:ascii="Arial" w:hAnsi="Arial"/>
          <w:noProof/>
        </w:rPr>
        <w:t>(Greenman et al., 2004)</w:t>
      </w:r>
      <w:r>
        <w:rPr>
          <w:rFonts w:ascii="Arial" w:hAnsi="Arial"/>
        </w:rPr>
        <w:fldChar w:fldCharType="end"/>
      </w:r>
      <w:r>
        <w:rPr>
          <w:rFonts w:ascii="Arial" w:hAnsi="Arial"/>
        </w:rPr>
        <w:t xml:space="preserve">. Oral ingestion of high fat meal mainly causes suppression of postprandial ghrelin </w:t>
      </w:r>
      <w:r w:rsidRPr="00B2583A">
        <w:rPr>
          <w:rFonts w:ascii="Arial" w:hAnsi="Arial"/>
        </w:rPr>
        <w:t>concentrations</w:t>
      </w:r>
      <w:r>
        <w:rPr>
          <w:rFonts w:ascii="Arial" w:hAnsi="Arial"/>
        </w:rPr>
        <w:t xml:space="preserve"> </w:t>
      </w:r>
      <w:r>
        <w:rPr>
          <w:rFonts w:ascii="Arial" w:hAnsi="Arial"/>
        </w:rPr>
        <w:fldChar w:fldCharType="begin">
          <w:fldData xml:space="preserve">PEVuZE5vdGU+PENpdGU+PEF1dGhvcj5Nb250ZWxlb25lPC9BdXRob3I+PFllYXI+MjAwMzwvWWVh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</w:fldData>
        </w:fldChar>
      </w:r>
      <w:r w:rsidR="0000415D">
        <w:rPr>
          <w:rFonts w:ascii="Arial" w:hAnsi="Arial"/>
        </w:rPr>
        <w:instrText xml:space="preserve"> ADDIN EN.CITE </w:instrText>
      </w:r>
      <w:r w:rsidR="0000415D">
        <w:rPr>
          <w:rFonts w:ascii="Arial" w:hAnsi="Arial"/>
        </w:rPr>
        <w:fldChar w:fldCharType="begin">
          <w:fldData xml:space="preserve">PEVuZE5vdGU+PENpdGU+PEF1dGhvcj5Nb250ZWxlb25lPC9BdXRob3I+PFllYXI+MjAwMzwvWWVh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Pr>
          <w:rFonts w:ascii="Arial" w:hAnsi="Arial"/>
        </w:rPr>
      </w:r>
      <w:r>
        <w:rPr>
          <w:rFonts w:ascii="Arial" w:hAnsi="Arial"/>
        </w:rPr>
        <w:fldChar w:fldCharType="separate"/>
      </w:r>
      <w:r w:rsidR="0000415D">
        <w:rPr>
          <w:rFonts w:ascii="Arial" w:hAnsi="Arial"/>
          <w:noProof/>
        </w:rPr>
        <w:t>(Monteleone et al.</w:t>
      </w:r>
      <w:r w:rsidR="00DB30B5">
        <w:rPr>
          <w:rFonts w:ascii="Arial" w:hAnsi="Arial"/>
          <w:noProof/>
        </w:rPr>
        <w:t>, 2003, Nedvidkova et al., 2003</w:t>
      </w:r>
      <w:r w:rsidR="0000415D">
        <w:rPr>
          <w:rFonts w:ascii="Arial" w:hAnsi="Arial"/>
          <w:noProof/>
        </w:rPr>
        <w:t>, Feinle-Bisset et al., 2005)</w:t>
      </w:r>
      <w:r>
        <w:rPr>
          <w:rFonts w:ascii="Arial" w:hAnsi="Arial"/>
        </w:rPr>
        <w:fldChar w:fldCharType="end"/>
      </w:r>
      <w:r>
        <w:rPr>
          <w:rFonts w:ascii="Arial" w:hAnsi="Arial"/>
        </w:rPr>
        <w:t xml:space="preserve">. The effects of dietary fibres on ghrelin secretion are not well understood due to wide variety of fibres with different physical and chemical properties. It has been shown that dietary fibres either decrease postprandial ghrelin concentration or inhibit its </w:t>
      </w:r>
      <w:r w:rsidRPr="00161DC3">
        <w:rPr>
          <w:rFonts w:ascii="Arial" w:hAnsi="Arial"/>
        </w:rPr>
        <w:t>decrease</w:t>
      </w:r>
      <w:r w:rsidR="00A47485">
        <w:rPr>
          <w:rFonts w:ascii="Arial" w:hAnsi="Arial"/>
        </w:rPr>
        <w:t xml:space="preserve"> </w:t>
      </w:r>
      <w:r w:rsidR="0000415D">
        <w:rPr>
          <w:rFonts w:ascii="Arial" w:hAnsi="Arial"/>
        </w:rPr>
        <w:fldChar w:fldCharType="begin"/>
      </w:r>
      <w:r w:rsidR="0000415D">
        <w:rPr>
          <w:rFonts w:ascii="Arial" w:hAnsi="Arial"/>
        </w:rPr>
        <w:instrText xml:space="preserve"> ADDIN EN.CITE &lt;EndNote&gt;&lt;Cite&gt;&lt;Author&gt;Nedvidkova&lt;/Author&gt;&lt;Year&gt;2003&lt;/Year&gt;&lt;RecNum&gt;132&lt;/RecNum&gt;&lt;DisplayText&gt;(Nedvidkova et al., 2003b)&lt;/DisplayText&gt;&lt;record&gt;&lt;rec-number&gt;132&lt;/rec-number&gt;&lt;foreign-keys&gt;&lt;key app="EN" db-id="ae9rewfrpdttrheppfxxv0p4950wpd25r09x" timestamp="1520657915"&gt;132&lt;/key&gt;&lt;/foreign-keys&gt;&lt;ref-type name="Journal Article"&gt;17&lt;/ref-type&gt;&lt;contributors&gt;&lt;authors&gt;&lt;author&gt;Nedvidkova, J.&lt;/author&gt;&lt;author&gt;Krykorkova, I.&lt;/author&gt;&lt;author&gt;Bartak, V.&lt;/author&gt;&lt;author&gt;Papezova, H.&lt;/author&gt;&lt;author&gt;Gold, Pw&lt;/author&gt;&lt;author&gt;Alesci, S.&lt;/author&gt;&lt;author&gt;Pacak, K.&lt;/author&gt;&lt;/authors&gt;&lt;/contributors&gt;&lt;titles&gt;&lt;title&gt;Loss of meal- induced decrease in plasma ghrelin levels in patients with anorexia nervosa&lt;/title&gt;&lt;secondary-title&gt;Journal of Clinical Endocrinology and Metabolism&lt;/secondary-title&gt;&lt;/titles&gt;&lt;periodical&gt;&lt;full-title&gt;Journal of Clinical Endocrinology and Metabolism&lt;/full-title&gt;&lt;/periodical&gt;&lt;pages&gt;1678-1682&lt;/pages&gt;&lt;volume&gt;88&lt;/volume&gt;&lt;number&gt;4&lt;/number&gt;&lt;dates&gt;&lt;year&gt;2003&lt;/year&gt;&lt;/dates&gt;&lt;isbn&gt;0021-972X&lt;/isbn&gt;&lt;urls&gt;&lt;/urls&gt;&lt;electronic-resource-num&gt;10.1210/jc.2002-021669&lt;/electronic-resource-num&gt;&lt;/record&gt;&lt;/Cite&gt;&lt;/EndNote&gt;</w:instrText>
      </w:r>
      <w:r w:rsidR="0000415D">
        <w:rPr>
          <w:rFonts w:ascii="Arial" w:hAnsi="Arial"/>
        </w:rPr>
        <w:fldChar w:fldCharType="separate"/>
      </w:r>
      <w:r w:rsidR="00DB30B5">
        <w:rPr>
          <w:rFonts w:ascii="Arial" w:hAnsi="Arial"/>
          <w:noProof/>
        </w:rPr>
        <w:t>(Nedvidkova et al., 2003</w:t>
      </w:r>
      <w:r w:rsidR="0000415D">
        <w:rPr>
          <w:rFonts w:ascii="Arial" w:hAnsi="Arial"/>
          <w:noProof/>
        </w:rPr>
        <w:t>)</w:t>
      </w:r>
      <w:r w:rsidR="0000415D">
        <w:rPr>
          <w:rFonts w:ascii="Arial" w:hAnsi="Arial"/>
        </w:rPr>
        <w:fldChar w:fldCharType="end"/>
      </w:r>
      <w:r w:rsidR="00A47485">
        <w:rPr>
          <w:rFonts w:ascii="Arial" w:hAnsi="Arial"/>
        </w:rPr>
        <w:t xml:space="preserve">. </w:t>
      </w:r>
      <w:r w:rsidRPr="00F12A5A">
        <w:rPr>
          <w:rFonts w:ascii="Arial" w:hAnsi="Arial" w:cs="Calibri"/>
          <w:bCs/>
          <w:color w:val="000000"/>
        </w:rPr>
        <w:t xml:space="preserve">Ghrelin also plays an </w:t>
      </w:r>
      <w:r>
        <w:rPr>
          <w:rFonts w:ascii="Arial" w:hAnsi="Arial" w:cs="Calibri"/>
          <w:bCs/>
          <w:color w:val="000000"/>
        </w:rPr>
        <w:t>important</w:t>
      </w:r>
      <w:r w:rsidRPr="00F12A5A">
        <w:rPr>
          <w:rFonts w:ascii="Arial" w:hAnsi="Arial" w:cs="Calibri"/>
          <w:bCs/>
          <w:color w:val="000000"/>
        </w:rPr>
        <w:t xml:space="preserve"> role in </w:t>
      </w:r>
      <w:r>
        <w:rPr>
          <w:rFonts w:ascii="Arial" w:hAnsi="Arial" w:cs="Calibri"/>
          <w:bCs/>
          <w:color w:val="000000"/>
        </w:rPr>
        <w:t>long-</w:t>
      </w:r>
      <w:r>
        <w:rPr>
          <w:rFonts w:ascii="Arial" w:hAnsi="Arial" w:cs="Calibri"/>
          <w:bCs/>
          <w:color w:val="000000"/>
        </w:rPr>
        <w:lastRenderedPageBreak/>
        <w:t xml:space="preserve">term regulation of </w:t>
      </w:r>
      <w:r w:rsidRPr="00F12A5A">
        <w:rPr>
          <w:rFonts w:ascii="Arial" w:hAnsi="Arial" w:cs="Calibri"/>
          <w:bCs/>
          <w:color w:val="000000"/>
        </w:rPr>
        <w:t xml:space="preserve">energy homeostasis and </w:t>
      </w:r>
      <w:r>
        <w:rPr>
          <w:rFonts w:ascii="Arial" w:hAnsi="Arial" w:cs="Calibri"/>
          <w:bCs/>
          <w:color w:val="000000"/>
        </w:rPr>
        <w:t xml:space="preserve">changes in </w:t>
      </w:r>
      <w:r w:rsidRPr="00F12A5A">
        <w:rPr>
          <w:rFonts w:ascii="Arial" w:hAnsi="Arial" w:cs="Calibri"/>
          <w:bCs/>
          <w:color w:val="000000"/>
        </w:rPr>
        <w:t>body weight</w:t>
      </w:r>
      <w:r>
        <w:rPr>
          <w:rFonts w:ascii="Arial" w:hAnsi="Arial" w:cs="Calibri"/>
          <w:bCs/>
          <w:color w:val="000000"/>
        </w:rPr>
        <w:t xml:space="preserve"> </w:t>
      </w:r>
      <w:r>
        <w:rPr>
          <w:rFonts w:ascii="Arial" w:hAnsi="Arial" w:cs="Calibri"/>
          <w:bCs/>
          <w:color w:val="000000"/>
        </w:rPr>
        <w:fldChar w:fldCharType="begin">
          <w:fldData xml:space="preserve">PEVuZE5vdGU+PENpdGU+PEF1dGhvcj5DdW1taW5nczwvQXV0aG9yPjxZZWFyPjIwMDI8L1llYXI+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</w:fldData>
        </w:fldChar>
      </w:r>
      <w:r w:rsidR="00651EFF">
        <w:rPr>
          <w:rFonts w:ascii="Arial" w:hAnsi="Arial" w:cs="Calibri"/>
          <w:bCs/>
          <w:color w:val="000000"/>
        </w:rPr>
        <w:instrText xml:space="preserve"> ADDIN EN.CITE </w:instrText>
      </w:r>
      <w:r w:rsidR="00651EFF">
        <w:rPr>
          <w:rFonts w:ascii="Arial" w:hAnsi="Arial" w:cs="Calibri"/>
          <w:bCs/>
          <w:color w:val="000000"/>
        </w:rPr>
        <w:fldChar w:fldCharType="begin">
          <w:fldData xml:space="preserve">PEVuZE5vdGU+PENpdGU+PEF1dGhvcj5DdW1taW5nczwvQXV0aG9yPjxZZWFyPjIwMDI8L1llYXI+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</w:fldData>
        </w:fldChar>
      </w:r>
      <w:r w:rsidR="00651EFF">
        <w:rPr>
          <w:rFonts w:ascii="Arial" w:hAnsi="Arial" w:cs="Calibri"/>
          <w:bCs/>
          <w:color w:val="000000"/>
        </w:rPr>
        <w:instrText xml:space="preserve"> ADDIN EN.CITE.DATA </w:instrText>
      </w:r>
      <w:r w:rsidR="00651EFF">
        <w:rPr>
          <w:rFonts w:ascii="Arial" w:hAnsi="Arial" w:cs="Calibri"/>
          <w:bCs/>
          <w:color w:val="000000"/>
        </w:rPr>
      </w:r>
      <w:r w:rsidR="00651EFF">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(Cummings et al., 2002, Cummings, 2006)</w:t>
      </w:r>
      <w:r>
        <w:rPr>
          <w:rFonts w:ascii="Arial" w:hAnsi="Arial" w:cs="Calibri"/>
          <w:bCs/>
          <w:color w:val="000000"/>
        </w:rPr>
        <w:fldChar w:fldCharType="end"/>
      </w:r>
      <w:r>
        <w:rPr>
          <w:rFonts w:ascii="Arial" w:hAnsi="Arial" w:cs="Calibri"/>
          <w:bCs/>
          <w:color w:val="000000"/>
        </w:rPr>
        <w:t>.</w:t>
      </w:r>
    </w:p>
    <w:p w14:paraId="4FEFDD15" w14:textId="77777777" w:rsidR="007B76C3" w:rsidRPr="0008605F" w:rsidRDefault="007B76C3" w:rsidP="008858B1">
      <w:pPr>
        <w:pStyle w:val="Heading3"/>
        <w:spacing w:line="480" w:lineRule="auto"/>
        <w:jc w:val="both"/>
        <w:rPr>
          <w:rFonts w:ascii="Arial" w:hAnsi="Arial" w:cs="Arial"/>
          <w:color w:val="auto"/>
        </w:rPr>
      </w:pPr>
      <w:bookmarkStart w:id="30" w:name="_Toc383723853"/>
      <w:r w:rsidRPr="0008605F">
        <w:rPr>
          <w:rFonts w:ascii="Arial" w:hAnsi="Arial" w:cs="Arial"/>
          <w:color w:val="auto"/>
        </w:rPr>
        <w:t>1.4.3 Leptin</w:t>
      </w:r>
      <w:bookmarkEnd w:id="30"/>
      <w:r w:rsidRPr="0008605F">
        <w:rPr>
          <w:rFonts w:ascii="Arial" w:hAnsi="Arial" w:cs="Arial"/>
          <w:color w:val="auto"/>
        </w:rPr>
        <w:t xml:space="preserve"> </w:t>
      </w:r>
    </w:p>
    <w:p w14:paraId="40015668" w14:textId="77777777" w:rsidR="007B76C3" w:rsidRDefault="007B76C3" w:rsidP="007B76C3">
      <w:pPr>
        <w:spacing w:line="480" w:lineRule="auto"/>
        <w:jc w:val="both"/>
        <w:rPr>
          <w:rFonts w:ascii="Arial" w:hAnsi="Arial" w:cs="Calibri"/>
          <w:bCs/>
          <w:color w:val="000000"/>
        </w:rPr>
      </w:pPr>
      <w:r w:rsidRPr="00696C9D">
        <w:rPr>
          <w:rFonts w:ascii="Arial" w:hAnsi="Arial" w:cs="Calibri"/>
          <w:bCs/>
          <w:color w:val="000000"/>
        </w:rPr>
        <w:t>Leptin</w:t>
      </w:r>
      <w:r>
        <w:rPr>
          <w:rFonts w:ascii="Arial" w:hAnsi="Arial" w:cs="Calibri"/>
          <w:b/>
          <w:bCs/>
          <w:color w:val="000000"/>
        </w:rPr>
        <w:t xml:space="preserve"> </w:t>
      </w:r>
      <w:r w:rsidRPr="00A46FB5">
        <w:rPr>
          <w:rFonts w:ascii="Arial" w:hAnsi="Arial" w:cs="Calibri"/>
          <w:bCs/>
          <w:color w:val="000000"/>
        </w:rPr>
        <w:t xml:space="preserve">is mainly secreted by adipocytes, </w:t>
      </w:r>
      <w:r w:rsidRPr="00942E09">
        <w:rPr>
          <w:rFonts w:ascii="Arial" w:hAnsi="Arial" w:cs="Calibri"/>
          <w:bCs/>
          <w:color w:val="000000"/>
        </w:rPr>
        <w:t>a key hormone involved in long-term regulation of food intake and energy metabolism whose absence is known to be associated with obesity and alterations in body weight</w:t>
      </w:r>
      <w:r>
        <w:rPr>
          <w:rFonts w:ascii="Arial" w:hAnsi="Arial" w:cs="Calibri"/>
          <w:bCs/>
          <w:color w:val="000000"/>
        </w:rPr>
        <w:t xml:space="preserve"> </w:t>
      </w:r>
      <w:r w:rsidR="003E1FF3">
        <w:rPr>
          <w:rFonts w:ascii="Arial" w:hAnsi="Arial" w:cs="Calibri"/>
          <w:bCs/>
          <w:color w:val="000000"/>
        </w:rPr>
        <w:fldChar w:fldCharType="begin">
          <w:fldData xml:space="preserve">PEVuZE5vdGU+PENpdGU+PEF1dGhvcj5IYW1pbHRvbjwvQXV0aG9yPjxZZWFyPjE5OTU8L1llYXI+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PEVuZE5vdGU+PENpdGU+PEF1dGhvcj5IYW1pbHRvbjwvQXV0aG9yPjxZZWFyPjE5OTU8L1llYXI+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sidR="003E1FF3">
        <w:rPr>
          <w:rFonts w:ascii="Arial" w:hAnsi="Arial" w:cs="Calibri"/>
          <w:bCs/>
          <w:color w:val="000000"/>
        </w:rPr>
      </w:r>
      <w:r w:rsidR="003E1FF3">
        <w:rPr>
          <w:rFonts w:ascii="Arial" w:hAnsi="Arial" w:cs="Calibri"/>
          <w:bCs/>
          <w:color w:val="000000"/>
        </w:rPr>
        <w:fldChar w:fldCharType="separate"/>
      </w:r>
      <w:r w:rsidR="003E1FF3">
        <w:rPr>
          <w:rFonts w:ascii="Arial" w:hAnsi="Arial" w:cs="Calibri"/>
          <w:bCs/>
          <w:noProof/>
          <w:color w:val="000000"/>
        </w:rPr>
        <w:t>(Hamilton et al., 1995, Lönnqvist et al., 1995, Considine et al., 1996)</w:t>
      </w:r>
      <w:r w:rsidR="003E1FF3">
        <w:rPr>
          <w:rFonts w:ascii="Arial" w:hAnsi="Arial" w:cs="Calibri"/>
          <w:bCs/>
          <w:color w:val="000000"/>
        </w:rPr>
        <w:fldChar w:fldCharType="end"/>
      </w:r>
      <w:r w:rsidR="003E1FF3">
        <w:rPr>
          <w:rFonts w:ascii="Arial" w:hAnsi="Arial" w:cs="Calibri"/>
          <w:bCs/>
          <w:color w:val="000000"/>
        </w:rPr>
        <w:t>.</w:t>
      </w:r>
      <w:r>
        <w:rPr>
          <w:rFonts w:ascii="Arial" w:hAnsi="Arial" w:cs="Calibri"/>
          <w:bCs/>
          <w:color w:val="000000"/>
        </w:rPr>
        <w:t xml:space="preserve"> Leptin is also secreted from the bone marrow, muscle, stomach, placenta and pituitary cells, making it an essential neuroendocrine and metabolic hormone</w:t>
      </w:r>
      <w:r w:rsidR="00F550CD">
        <w:rPr>
          <w:rFonts w:ascii="Arial" w:hAnsi="Arial" w:cs="Calibri"/>
          <w:bCs/>
          <w:color w:val="000000"/>
        </w:rPr>
        <w:t xml:space="preserve"> </w:t>
      </w:r>
      <w:r w:rsidR="00F550CD">
        <w:rPr>
          <w:rFonts w:ascii="Arial" w:hAnsi="Arial" w:cs="Calibri"/>
          <w:bCs/>
          <w:color w:val="000000"/>
        </w:rPr>
        <w:fldChar w:fldCharType="begin"/>
      </w:r>
      <w:r w:rsidR="00A108A1">
        <w:rPr>
          <w:rFonts w:ascii="Arial" w:hAnsi="Arial" w:cs="Calibri"/>
          <w:bCs/>
          <w:color w:val="000000"/>
        </w:rPr>
        <w:instrText xml:space="preserve"> ADDIN EN.CITE &lt;EndNote&gt;&lt;Cite&gt;&lt;Author&gt;Wauters&lt;/Author&gt;&lt;Year&gt;2000&lt;/Year&gt;&lt;RecNum&gt;123&lt;/RecNum&gt;&lt;DisplayText&gt;(Wauters et al., 2000)&lt;/DisplayText&gt;&lt;record&gt;&lt;rec-number&gt;123&lt;/rec-number&gt;&lt;foreign-keys&gt;&lt;key app="EN" db-id="ae9rewfrpdttrheppfxxv0p4950wpd25r09x" timestamp="1520657904"&gt;123&lt;/key&gt;&lt;key app="ENWeb" db-id=""&gt;0&lt;/key&gt;&lt;/foreign-keys&gt;&lt;ref-type name="Journal Article"&gt;17&lt;/ref-type&gt;&lt;contributors&gt;&lt;authors&gt;&lt;author&gt;Wauters, M.&lt;/author&gt;&lt;author&gt;Considine, R. V.&lt;/author&gt;&lt;author&gt;Van Gaal, L. F.&lt;/author&gt;&lt;/authors&gt;&lt;/contributors&gt;&lt;titles&gt;&lt;title&gt;Human leptin: From an adipocyte hormone to an endocrine mediator&lt;/title&gt;&lt;secondary-title&gt;European Journal of Endocrinology&lt;/secondary-title&gt;&lt;/titles&gt;&lt;periodical&gt;&lt;full-title&gt;European Journal of Endocrinology&lt;/full-title&gt;&lt;/periodical&gt;&lt;pages&gt;293-311&lt;/pages&gt;&lt;volume&gt;143&lt;/volume&gt;&lt;number&gt;3&lt;/number&gt;&lt;dates&gt;&lt;year&gt;2000&lt;/year&gt;&lt;/dates&gt;&lt;isbn&gt;08044643&lt;/isbn&gt;&lt;urls&gt;&lt;/urls&gt;&lt;/record&gt;&lt;/Cite&gt;&lt;/EndNote&gt;</w:instrText>
      </w:r>
      <w:r w:rsidR="00F550CD">
        <w:rPr>
          <w:rFonts w:ascii="Arial" w:hAnsi="Arial" w:cs="Calibri"/>
          <w:bCs/>
          <w:color w:val="000000"/>
        </w:rPr>
        <w:fldChar w:fldCharType="separate"/>
      </w:r>
      <w:r w:rsidR="00F550CD">
        <w:rPr>
          <w:rFonts w:ascii="Arial" w:hAnsi="Arial" w:cs="Calibri"/>
          <w:bCs/>
          <w:noProof/>
          <w:color w:val="000000"/>
        </w:rPr>
        <w:t>(Wauters et al., 2000)</w:t>
      </w:r>
      <w:r w:rsidR="00F550CD">
        <w:rPr>
          <w:rFonts w:ascii="Arial" w:hAnsi="Arial" w:cs="Calibri"/>
          <w:bCs/>
          <w:color w:val="000000"/>
        </w:rPr>
        <w:fldChar w:fldCharType="end"/>
      </w:r>
      <w:r w:rsidR="00F550CD">
        <w:rPr>
          <w:rFonts w:ascii="Arial" w:hAnsi="Arial" w:cs="Calibri"/>
          <w:bCs/>
          <w:color w:val="000000"/>
        </w:rPr>
        <w:t xml:space="preserve">. </w:t>
      </w:r>
      <w:r>
        <w:rPr>
          <w:rFonts w:ascii="Arial" w:hAnsi="Arial" w:cs="Calibri"/>
          <w:bCs/>
          <w:color w:val="000000"/>
        </w:rPr>
        <w:t xml:space="preserve">Acting through central pathways including choroid plexus and hypothalamic nuclei and peripheral tissues including skeletal muscle, liver, pancreatic </w:t>
      </w:r>
      <w:r>
        <w:rPr>
          <w:rFonts w:ascii="Arial" w:hAnsi="Arial" w:cs="Arial"/>
          <w:bCs/>
          <w:color w:val="000000"/>
        </w:rPr>
        <w:t xml:space="preserve">β </w:t>
      </w:r>
      <w:r>
        <w:rPr>
          <w:rFonts w:ascii="Arial" w:hAnsi="Arial" w:cs="Calibri"/>
          <w:bCs/>
          <w:color w:val="000000"/>
        </w:rPr>
        <w:t>cells, T-lymphocytes, adipose and adrenal tissues, leptin not only plays important role in energy balance, but also in regulation of carbohydrate metabolism, puberty and reproduction</w:t>
      </w:r>
      <w:r w:rsidR="00885190">
        <w:rPr>
          <w:rFonts w:ascii="Arial" w:hAnsi="Arial" w:cs="Calibri"/>
          <w:bCs/>
          <w:color w:val="000000"/>
        </w:rPr>
        <w:t xml:space="preserve"> </w:t>
      </w:r>
      <w:r w:rsidR="00F47943">
        <w:rPr>
          <w:rFonts w:ascii="Arial" w:hAnsi="Arial" w:cs="Calibri"/>
          <w:bCs/>
          <w:color w:val="000000"/>
        </w:rPr>
        <w:fldChar w:fldCharType="begin">
          <w:fldData xml:space="preserve">PEVuZE5vdGU+PENpdGU+PEF1dGhvcj5CcnplY2hmZmE8L0F1dGhvcj48WWVhcj4xOTk2PC9ZZWFy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PEVuZE5vdGU+PENpdGU+PEF1dGhvcj5CcnplY2hmZmE8L0F1dGhvcj48WWVhcj4xOTk2PC9ZZWFy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sidR="00F47943">
        <w:rPr>
          <w:rFonts w:ascii="Arial" w:hAnsi="Arial" w:cs="Calibri"/>
          <w:bCs/>
          <w:color w:val="000000"/>
        </w:rPr>
      </w:r>
      <w:r w:rsidR="00F47943">
        <w:rPr>
          <w:rFonts w:ascii="Arial" w:hAnsi="Arial" w:cs="Calibri"/>
          <w:bCs/>
          <w:color w:val="000000"/>
        </w:rPr>
        <w:fldChar w:fldCharType="separate"/>
      </w:r>
      <w:r w:rsidR="00885190">
        <w:rPr>
          <w:rFonts w:ascii="Arial" w:hAnsi="Arial" w:cs="Calibri"/>
          <w:bCs/>
          <w:noProof/>
          <w:color w:val="000000"/>
        </w:rPr>
        <w:t>(Brzechffa et al., 1996, Kamohara et al., 1997, Quinton et al., 1999)</w:t>
      </w:r>
      <w:r w:rsidR="00F47943">
        <w:rPr>
          <w:rFonts w:ascii="Arial" w:hAnsi="Arial" w:cs="Calibri"/>
          <w:bCs/>
          <w:color w:val="000000"/>
        </w:rPr>
        <w:fldChar w:fldCharType="end"/>
      </w:r>
      <w:r w:rsidR="00885190">
        <w:rPr>
          <w:rFonts w:ascii="Arial" w:hAnsi="Arial" w:cs="Calibri"/>
          <w:bCs/>
          <w:color w:val="000000"/>
        </w:rPr>
        <w:t>.</w:t>
      </w:r>
    </w:p>
    <w:p w14:paraId="0E5C9D37" w14:textId="77777777" w:rsidR="007B76C3" w:rsidRDefault="007B76C3" w:rsidP="007B76C3">
      <w:pPr>
        <w:spacing w:line="480" w:lineRule="auto"/>
        <w:jc w:val="both"/>
        <w:rPr>
          <w:rFonts w:ascii="Arial" w:hAnsi="Arial" w:cs="Calibri"/>
          <w:bCs/>
          <w:color w:val="000000"/>
        </w:rPr>
      </w:pPr>
    </w:p>
    <w:p w14:paraId="1207FAC2" w14:textId="77777777" w:rsidR="007B76C3" w:rsidRDefault="007B76C3" w:rsidP="007B76C3">
      <w:pPr>
        <w:spacing w:line="480" w:lineRule="auto"/>
        <w:jc w:val="both"/>
        <w:rPr>
          <w:rFonts w:ascii="Arial" w:hAnsi="Arial" w:cs="Calibri"/>
          <w:bCs/>
          <w:color w:val="000000"/>
        </w:rPr>
      </w:pPr>
      <w:r w:rsidRPr="00B9073A">
        <w:rPr>
          <w:rFonts w:ascii="Arial" w:hAnsi="Arial" w:cs="Calibri"/>
          <w:bCs/>
          <w:color w:val="000000"/>
        </w:rPr>
        <w:t>In humans</w:t>
      </w:r>
      <w:r>
        <w:rPr>
          <w:rFonts w:ascii="Arial" w:hAnsi="Arial" w:cs="Calibri"/>
          <w:bCs/>
          <w:color w:val="000000"/>
        </w:rPr>
        <w:t>,</w:t>
      </w:r>
      <w:r w:rsidRPr="00B9073A">
        <w:rPr>
          <w:rFonts w:ascii="Arial" w:hAnsi="Arial" w:cs="Calibri"/>
          <w:bCs/>
          <w:color w:val="000000"/>
        </w:rPr>
        <w:t xml:space="preserve"> </w:t>
      </w:r>
      <w:r>
        <w:rPr>
          <w:rFonts w:ascii="Arial" w:hAnsi="Arial" w:cs="Calibri"/>
          <w:bCs/>
          <w:color w:val="000000"/>
        </w:rPr>
        <w:t>l</w:t>
      </w:r>
      <w:r w:rsidRPr="00A46FB5">
        <w:rPr>
          <w:rFonts w:ascii="Arial" w:hAnsi="Arial" w:cs="Calibri"/>
          <w:bCs/>
          <w:color w:val="000000"/>
        </w:rPr>
        <w:t xml:space="preserve">eptin inhibits appetite </w:t>
      </w:r>
      <w:r>
        <w:rPr>
          <w:rFonts w:ascii="Arial" w:hAnsi="Arial" w:cs="Calibri"/>
          <w:bCs/>
          <w:color w:val="000000"/>
        </w:rPr>
        <w:t xml:space="preserve">and leads to the reduction of food intake after being transported across the BBB and activating </w:t>
      </w:r>
      <w:r w:rsidRPr="00A46FB5">
        <w:rPr>
          <w:rFonts w:ascii="Arial" w:hAnsi="Arial" w:cs="Calibri"/>
          <w:bCs/>
          <w:color w:val="000000"/>
        </w:rPr>
        <w:t>its receptor</w:t>
      </w:r>
      <w:r>
        <w:rPr>
          <w:rFonts w:ascii="Arial" w:hAnsi="Arial" w:cs="Calibri"/>
          <w:bCs/>
          <w:color w:val="000000"/>
        </w:rPr>
        <w:t>s</w:t>
      </w:r>
      <w:r w:rsidRPr="00A46FB5">
        <w:rPr>
          <w:rFonts w:ascii="Arial" w:hAnsi="Arial" w:cs="Calibri"/>
          <w:bCs/>
          <w:color w:val="000000"/>
        </w:rPr>
        <w:t xml:space="preserve"> in </w:t>
      </w:r>
      <w:r>
        <w:rPr>
          <w:rFonts w:ascii="Arial" w:hAnsi="Arial" w:cs="Calibri"/>
          <w:bCs/>
          <w:color w:val="000000"/>
        </w:rPr>
        <w:t xml:space="preserve">the arcuate nucleus of the </w:t>
      </w:r>
      <w:r w:rsidRPr="00A46FB5">
        <w:rPr>
          <w:rFonts w:ascii="Arial" w:hAnsi="Arial" w:cs="Calibri"/>
          <w:bCs/>
          <w:color w:val="000000"/>
        </w:rPr>
        <w:t>hypothalamus</w:t>
      </w:r>
      <w:r>
        <w:rPr>
          <w:rFonts w:ascii="Arial" w:hAnsi="Arial" w:cs="Calibri"/>
          <w:bCs/>
          <w:color w:val="000000"/>
        </w:rPr>
        <w:t xml:space="preserve"> and choroid plexus</w:t>
      </w:r>
      <w:r w:rsidR="00C729DA">
        <w:rPr>
          <w:rFonts w:ascii="Arial" w:hAnsi="Arial" w:cs="Calibri"/>
          <w:bCs/>
          <w:color w:val="000000"/>
        </w:rPr>
        <w:t xml:space="preserve"> </w:t>
      </w:r>
      <w:r w:rsidR="006F3607">
        <w:rPr>
          <w:rFonts w:ascii="Arial" w:hAnsi="Arial" w:cs="Calibri"/>
          <w:bCs/>
          <w:color w:val="000000"/>
        </w:rPr>
        <w:fldChar w:fldCharType="begin">
          <w:fldData xml:space="preserve">PEVuZE5vdGU+PENpdGU+PEF1dGhvcj5UYXJ0YWdsaWE8L0F1dGhvcj48WWVhcj4xOTk1PC9ZZWFy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PEVuZE5vdGU+PENpdGU+PEF1dGhvcj5UYXJ0YWdsaWE8L0F1dGhvcj48WWVhcj4xOTk1PC9ZZWFy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sidR="006F3607">
        <w:rPr>
          <w:rFonts w:ascii="Arial" w:hAnsi="Arial" w:cs="Calibri"/>
          <w:bCs/>
          <w:color w:val="000000"/>
        </w:rPr>
      </w:r>
      <w:r w:rsidR="006F3607">
        <w:rPr>
          <w:rFonts w:ascii="Arial" w:hAnsi="Arial" w:cs="Calibri"/>
          <w:bCs/>
          <w:color w:val="000000"/>
        </w:rPr>
        <w:fldChar w:fldCharType="separate"/>
      </w:r>
      <w:r w:rsidR="00C729DA">
        <w:rPr>
          <w:rFonts w:ascii="Arial" w:hAnsi="Arial" w:cs="Calibri"/>
          <w:bCs/>
          <w:noProof/>
          <w:color w:val="000000"/>
        </w:rPr>
        <w:t>(Tartaglia et al., 1995, Wauters et al., 2000, Cowley et al., 2001, Small and Bloom, 2004)</w:t>
      </w:r>
      <w:r w:rsidR="006F3607">
        <w:rPr>
          <w:rFonts w:ascii="Arial" w:hAnsi="Arial" w:cs="Calibri"/>
          <w:bCs/>
          <w:color w:val="000000"/>
        </w:rPr>
        <w:fldChar w:fldCharType="end"/>
      </w:r>
      <w:r w:rsidR="00C729DA">
        <w:rPr>
          <w:rFonts w:ascii="Arial" w:hAnsi="Arial" w:cs="Calibri"/>
          <w:bCs/>
          <w:color w:val="000000"/>
        </w:rPr>
        <w:t xml:space="preserve">. </w:t>
      </w:r>
      <w:r>
        <w:rPr>
          <w:rFonts w:ascii="Arial" w:hAnsi="Arial" w:cs="Calibri"/>
          <w:bCs/>
          <w:color w:val="000000"/>
        </w:rPr>
        <w:t xml:space="preserve">It has been shown that leptin interacts with various neuropeptides, including small intestine derived cholecystokinin (CCK), to inhibit orexigenic and stimulate anorexigenic neuropeptides in the brain reducing the food intake </w:t>
      </w:r>
      <w:r w:rsidR="00510564">
        <w:rPr>
          <w:rFonts w:ascii="Arial" w:hAnsi="Arial" w:cs="Calibri"/>
          <w:bCs/>
          <w:color w:val="000000"/>
        </w:rPr>
        <w:fldChar w:fldCharType="begin">
          <w:fldData xml:space="preserve">PEVuZE5vdGU+PENpdGU+PEF1dGhvcj5TdGVwaGVuczwvQXV0aG9yPjxZZWFyPjE5OTU8L1llYXI+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PEVuZE5vdGU+PENpdGU+PEF1dGhvcj5TdGVwaGVuczwvQXV0aG9yPjxZZWFyPjE5OTU8L1llYXI+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sidR="00510564">
        <w:rPr>
          <w:rFonts w:ascii="Arial" w:hAnsi="Arial" w:cs="Calibri"/>
          <w:bCs/>
          <w:color w:val="000000"/>
        </w:rPr>
      </w:r>
      <w:r w:rsidR="00510564">
        <w:rPr>
          <w:rFonts w:ascii="Arial" w:hAnsi="Arial" w:cs="Calibri"/>
          <w:bCs/>
          <w:color w:val="000000"/>
        </w:rPr>
        <w:fldChar w:fldCharType="separate"/>
      </w:r>
      <w:r w:rsidR="00510564">
        <w:rPr>
          <w:rFonts w:ascii="Arial" w:hAnsi="Arial" w:cs="Calibri"/>
          <w:bCs/>
          <w:noProof/>
          <w:color w:val="000000"/>
        </w:rPr>
        <w:t>(Stephens et al., 1995, Wang et al., 1998)</w:t>
      </w:r>
      <w:r w:rsidR="00510564">
        <w:rPr>
          <w:rFonts w:ascii="Arial" w:hAnsi="Arial" w:cs="Calibri"/>
          <w:bCs/>
          <w:color w:val="000000"/>
        </w:rPr>
        <w:fldChar w:fldCharType="end"/>
      </w:r>
      <w:r w:rsidR="00510564">
        <w:rPr>
          <w:rFonts w:ascii="Arial" w:hAnsi="Arial" w:cs="Calibri"/>
          <w:bCs/>
          <w:color w:val="000000"/>
        </w:rPr>
        <w:t>.</w:t>
      </w:r>
      <w:r>
        <w:rPr>
          <w:rFonts w:ascii="Arial" w:hAnsi="Arial" w:cs="Calibri"/>
          <w:bCs/>
          <w:color w:val="000000"/>
        </w:rPr>
        <w:t xml:space="preserve"> Zhang et al</w:t>
      </w:r>
      <w:r w:rsidR="00510564">
        <w:rPr>
          <w:rFonts w:ascii="Arial" w:hAnsi="Arial" w:cs="Calibri"/>
          <w:bCs/>
          <w:color w:val="000000"/>
        </w:rPr>
        <w:t xml:space="preserve">. </w:t>
      </w:r>
      <w:r>
        <w:rPr>
          <w:rFonts w:ascii="Arial" w:hAnsi="Arial" w:cs="Calibri"/>
          <w:bCs/>
          <w:color w:val="000000"/>
        </w:rPr>
        <w:t>revealed that human homologue leptin gene is 84% identical with the mouse protein</w:t>
      </w:r>
      <w:r w:rsidR="00510564">
        <w:rPr>
          <w:rFonts w:ascii="Arial" w:hAnsi="Arial" w:cs="Calibri"/>
          <w:bCs/>
          <w:color w:val="000000"/>
        </w:rPr>
        <w:t xml:space="preserve"> </w:t>
      </w:r>
      <w:r w:rsidR="00510564">
        <w:rPr>
          <w:rFonts w:ascii="Arial" w:hAnsi="Arial" w:cs="Calibri"/>
          <w:bCs/>
          <w:color w:val="000000"/>
        </w:rPr>
        <w:fldChar w:fldCharType="begin"/>
      </w:r>
      <w:r w:rsidR="0000415D">
        <w:rPr>
          <w:rFonts w:ascii="Arial" w:hAnsi="Arial" w:cs="Calibri"/>
          <w:bCs/>
          <w:color w:val="000000"/>
        </w:rPr>
        <w:instrText xml:space="preserve"> ADDIN EN.CITE &lt;EndNote&gt;&lt;Cite&gt;&lt;Author&gt;Zhang&lt;/Author&gt;&lt;Year&gt;1994&lt;/Year&gt;&lt;RecNum&gt;379&lt;/RecNum&gt;&lt;DisplayText&gt;(Zhang et al., 1994)&lt;/DisplayText&gt;&lt;record&gt;&lt;rec-number&gt;379&lt;/rec-number&gt;&lt;foreign-keys&gt;&lt;key app="EN" db-id="ae9rewfrpdttrheppfxxv0p4950wpd25r09x" timestamp="1520658301"&gt;379&lt;/key&gt;&lt;/foreign-keys&gt;&lt;ref-type name="Journal Article"&gt;17&lt;/ref-type&gt;&lt;contributors&gt;&lt;authors&gt;&lt;author&gt;Zhang, Y.&lt;/author&gt;&lt;author&gt;Proenca, R.&lt;/author&gt;&lt;author&gt;Maffei, M.&lt;/author&gt;&lt;author&gt;Barone, M.&lt;/author&gt;&lt;author&gt;Leopold, L.,&lt;/author&gt;&lt;author&gt;Friedman, J. M.&lt;/author&gt;&lt;/authors&gt;&lt;/contributors&gt;&lt;titles&gt;&lt;title&gt;Positional cloning of the mouse obese gene and its human homologue&lt;/title&gt;&lt;secondary-title&gt;Nature&lt;/secondary-title&gt;&lt;/titles&gt;&lt;periodical&gt;&lt;full-title&gt;Nature&lt;/full-title&gt;&lt;/periodical&gt;&lt;pages&gt;425-32&lt;/pages&gt;&lt;volume&gt;372&lt;/volume&gt;&lt;number&gt;6505&lt;/number&gt;&lt;keywords&gt;&lt;keyword&gt;Fat Metabolism -- Genetic Aspects&lt;/keyword&gt;&lt;keyword&gt;Energy Metabolism -- Analysis&lt;/keyword&gt;&lt;/keywords&gt;&lt;dates&gt;&lt;year&gt;1994&lt;/year&gt;&lt;/dates&gt;&lt;isbn&gt;0028-0836&lt;/isbn&gt;&lt;urls&gt;&lt;/urls&gt;&lt;electronic-resource-num&gt;10.1038/372425a0&lt;/electronic-resource-num&gt;&lt;/record&gt;&lt;/Cite&gt;&lt;/EndNote&gt;</w:instrText>
      </w:r>
      <w:r w:rsidR="00510564">
        <w:rPr>
          <w:rFonts w:ascii="Arial" w:hAnsi="Arial" w:cs="Calibri"/>
          <w:bCs/>
          <w:color w:val="000000"/>
        </w:rPr>
        <w:fldChar w:fldCharType="separate"/>
      </w:r>
      <w:r w:rsidR="00510564">
        <w:rPr>
          <w:rFonts w:ascii="Arial" w:hAnsi="Arial" w:cs="Calibri"/>
          <w:bCs/>
          <w:noProof/>
          <w:color w:val="000000"/>
        </w:rPr>
        <w:t>(Zhang et al., 1994)</w:t>
      </w:r>
      <w:r w:rsidR="00510564">
        <w:rPr>
          <w:rFonts w:ascii="Arial" w:hAnsi="Arial" w:cs="Calibri"/>
          <w:bCs/>
          <w:color w:val="000000"/>
        </w:rPr>
        <w:fldChar w:fldCharType="end"/>
      </w:r>
      <w:r>
        <w:rPr>
          <w:rFonts w:ascii="Arial" w:hAnsi="Arial" w:cs="Calibri"/>
          <w:bCs/>
          <w:color w:val="000000"/>
        </w:rPr>
        <w:t xml:space="preserve">. </w:t>
      </w:r>
    </w:p>
    <w:p w14:paraId="572BABA8" w14:textId="77777777" w:rsidR="007B76C3" w:rsidRPr="0008605F" w:rsidRDefault="007B76C3" w:rsidP="008858B1">
      <w:pPr>
        <w:pStyle w:val="Heading3"/>
        <w:spacing w:line="480" w:lineRule="auto"/>
        <w:jc w:val="both"/>
        <w:rPr>
          <w:rFonts w:ascii="Arial" w:hAnsi="Arial" w:cs="Arial"/>
          <w:color w:val="auto"/>
        </w:rPr>
      </w:pPr>
      <w:bookmarkStart w:id="31" w:name="_Toc383723854"/>
      <w:r w:rsidRPr="0008605F">
        <w:rPr>
          <w:rFonts w:ascii="Arial" w:hAnsi="Arial" w:cs="Arial"/>
          <w:color w:val="auto"/>
        </w:rPr>
        <w:t>1.4.4 Insulin</w:t>
      </w:r>
      <w:bookmarkEnd w:id="31"/>
      <w:r w:rsidRPr="0008605F">
        <w:rPr>
          <w:rFonts w:ascii="Arial" w:hAnsi="Arial" w:cs="Arial"/>
          <w:color w:val="auto"/>
        </w:rPr>
        <w:t xml:space="preserve"> </w:t>
      </w:r>
    </w:p>
    <w:p w14:paraId="41653B4D" w14:textId="77777777" w:rsidR="007B76C3" w:rsidRDefault="007B76C3" w:rsidP="007B76C3">
      <w:pPr>
        <w:autoSpaceDE w:val="0"/>
        <w:autoSpaceDN w:val="0"/>
        <w:adjustRightInd w:val="0"/>
        <w:spacing w:line="480" w:lineRule="auto"/>
        <w:jc w:val="both"/>
        <w:rPr>
          <w:rFonts w:ascii="Arial" w:hAnsi="Arial" w:cs="Calibri"/>
          <w:bCs/>
          <w:color w:val="000000"/>
        </w:rPr>
      </w:pPr>
      <w:r w:rsidRPr="00696C9D">
        <w:rPr>
          <w:rFonts w:ascii="Arial" w:hAnsi="Arial"/>
        </w:rPr>
        <w:t xml:space="preserve">Insulin </w:t>
      </w:r>
      <w:r w:rsidRPr="00815938">
        <w:rPr>
          <w:rFonts w:ascii="Arial" w:hAnsi="Arial"/>
        </w:rPr>
        <w:t xml:space="preserve">is </w:t>
      </w:r>
      <w:r w:rsidR="00510564">
        <w:rPr>
          <w:rFonts w:ascii="Arial" w:hAnsi="Arial"/>
        </w:rPr>
        <w:t>a</w:t>
      </w:r>
      <w:r>
        <w:rPr>
          <w:rFonts w:ascii="Arial" w:hAnsi="Arial"/>
        </w:rPr>
        <w:t xml:space="preserve"> major endocrine and metabolic polypeptide hormone produced by </w:t>
      </w:r>
      <w:r w:rsidRPr="00815938">
        <w:rPr>
          <w:rFonts w:ascii="Arial" w:hAnsi="Arial"/>
        </w:rPr>
        <w:t xml:space="preserve">the </w:t>
      </w:r>
      <w:r w:rsidRPr="00815938">
        <w:rPr>
          <w:rFonts w:ascii="Arial" w:hAnsi="Arial" w:cs="Calibri"/>
          <w:bCs/>
          <w:color w:val="000000"/>
        </w:rPr>
        <w:sym w:font="Symbol" w:char="F062"/>
      </w:r>
      <w:r w:rsidRPr="00815938">
        <w:rPr>
          <w:rFonts w:ascii="Arial" w:hAnsi="Arial" w:cs="Calibri"/>
          <w:bCs/>
          <w:color w:val="000000"/>
        </w:rPr>
        <w:t xml:space="preserve"> cells in the endocrine pancreas</w:t>
      </w:r>
      <w:r>
        <w:rPr>
          <w:rFonts w:ascii="Arial" w:hAnsi="Arial" w:cs="Calibri"/>
          <w:bCs/>
          <w:color w:val="000000"/>
        </w:rPr>
        <w:t xml:space="preserve">. It plays essential role in regulation of the metabolic homeostasis by providing information to the CNS about size and distribution of the adipose </w:t>
      </w:r>
      <w:r w:rsidRPr="001D2D9F">
        <w:rPr>
          <w:rFonts w:ascii="Arial" w:hAnsi="Arial" w:cs="Calibri"/>
          <w:bCs/>
          <w:color w:val="000000"/>
        </w:rPr>
        <w:t>mass</w:t>
      </w:r>
      <w:r>
        <w:rPr>
          <w:rFonts w:ascii="Arial" w:hAnsi="Arial" w:cs="Calibri"/>
          <w:bCs/>
          <w:color w:val="000000"/>
        </w:rPr>
        <w:t xml:space="preserve"> </w:t>
      </w:r>
      <w:r>
        <w:rPr>
          <w:rFonts w:ascii="Arial" w:hAnsi="Arial" w:cs="Calibri"/>
          <w:bCs/>
          <w:color w:val="000000"/>
        </w:rPr>
        <w:fldChar w:fldCharType="begin"/>
      </w:r>
      <w:r w:rsidR="0000415D">
        <w:rPr>
          <w:rFonts w:ascii="Arial" w:hAnsi="Arial" w:cs="Calibri"/>
          <w:bCs/>
          <w:color w:val="000000"/>
        </w:rPr>
        <w:instrText xml:space="preserve"> ADDIN EN.CITE &lt;EndNote&gt;&lt;Cite&gt;&lt;Author&gt;Porte Jr&lt;/Author&gt;&lt;Year&gt;2002&lt;/Year&gt;&lt;RecNum&gt;216&lt;/RecNum&gt;&lt;DisplayText&gt;(Porte Jr et al., 2002)&lt;/DisplayText&gt;&lt;record&gt;&lt;rec-number&gt;216&lt;/rec-number&gt;&lt;foreign-keys&gt;&lt;key app="EN" db-id="ae9rewfrpdttrheppfxxv0p4950wpd25r09x" timestamp="1520658198"&gt;216&lt;/key&gt;&lt;key app="ENWeb" db-id=""&gt;0&lt;/key&gt;&lt;/foreign-keys&gt;&lt;ref-type name="Journal Article"&gt;17&lt;/ref-type&gt;&lt;contributors&gt;&lt;authors&gt;&lt;author&gt;Porte Jr, Daniel&lt;/author&gt;&lt;author&gt;Baskin, Denis G.&lt;/author&gt;&lt;author&gt;Schwartz, Michael W.&lt;/author&gt;&lt;/authors&gt;&lt;/contributors&gt;&lt;titles&gt;&lt;title&gt;Leptin and insulin action in the central nervous system&lt;/title&gt;&lt;secondary-title&gt;Nutrition Reviews&lt;/secondary-title&gt;&lt;/titles&gt;&lt;periodical&gt;&lt;full-title&gt;Nutrition Reviews&lt;/full-title&gt;&lt;/periodical&gt;&lt;pages&gt;S20-S29&lt;/pages&gt;&lt;volume&gt;60&lt;/volume&gt;&lt;keywords&gt;&lt;keyword&gt;Adiposity&lt;/keyword&gt;&lt;keyword&gt;Anabolic&lt;/keyword&gt;&lt;keyword&gt;Catabolic Signaling&lt;/keyword&gt;&lt;keyword&gt;Insulin&lt;/keyword&gt;&lt;keyword&gt;Leptin&lt;/keyword&gt;&lt;keyword&gt;Satiety System&lt;/keyword&gt;&lt;keyword&gt;Ventral Hypothalamus&lt;/keyword&gt;&lt;/keywords&gt;&lt;dates&gt;&lt;year&gt;2002&lt;/year&gt;&lt;/dates&gt;&lt;isbn&gt;00296643&lt;/isbn&gt;&lt;urls&gt;&lt;/urls&gt;&lt;/record&gt;&lt;/Cite&gt;&lt;/EndNote&gt;</w:instrText>
      </w:r>
      <w:r>
        <w:rPr>
          <w:rFonts w:ascii="Arial" w:hAnsi="Arial" w:cs="Calibri"/>
          <w:bCs/>
          <w:color w:val="000000"/>
        </w:rPr>
        <w:fldChar w:fldCharType="separate"/>
      </w:r>
      <w:r>
        <w:rPr>
          <w:rFonts w:ascii="Arial" w:hAnsi="Arial" w:cs="Calibri"/>
          <w:bCs/>
          <w:noProof/>
          <w:color w:val="000000"/>
        </w:rPr>
        <w:t xml:space="preserve">(Porte </w:t>
      </w:r>
      <w:r>
        <w:rPr>
          <w:rFonts w:ascii="Arial" w:hAnsi="Arial" w:cs="Calibri"/>
          <w:bCs/>
          <w:noProof/>
          <w:color w:val="000000"/>
        </w:rPr>
        <w:lastRenderedPageBreak/>
        <w:t>Jr et al., 2002)</w:t>
      </w:r>
      <w:r>
        <w:rPr>
          <w:rFonts w:ascii="Arial" w:hAnsi="Arial" w:cs="Calibri"/>
          <w:bCs/>
          <w:color w:val="000000"/>
        </w:rPr>
        <w:fldChar w:fldCharType="end"/>
      </w:r>
      <w:r>
        <w:rPr>
          <w:rFonts w:ascii="Arial" w:hAnsi="Arial" w:cs="Calibri"/>
          <w:bCs/>
          <w:color w:val="000000"/>
        </w:rPr>
        <w:t xml:space="preserve">. In humans and rodents cephalic secretion of insulin is initiated by the signals from the brain and begins a few minutes before the anticipated meal. Insulin concentration in plasma continues to rise as eating commences </w:t>
      </w:r>
      <w:r w:rsidRPr="0030765C">
        <w:rPr>
          <w:rFonts w:ascii="Arial" w:hAnsi="Arial" w:cs="Calibri"/>
          <w:bCs/>
          <w:color w:val="000000"/>
        </w:rPr>
        <w:t>(</w:t>
      </w:r>
      <w:r w:rsidR="00161FEA">
        <w:rPr>
          <w:rFonts w:ascii="Arial" w:hAnsi="Arial" w:cs="Calibri"/>
          <w:bCs/>
          <w:color w:val="000000"/>
        </w:rPr>
        <w:t xml:space="preserve">Figure </w:t>
      </w:r>
      <w:r>
        <w:rPr>
          <w:rFonts w:ascii="Arial" w:hAnsi="Arial" w:cs="Calibri"/>
          <w:bCs/>
          <w:color w:val="000000"/>
        </w:rPr>
        <w:t>10</w:t>
      </w:r>
      <w:r w:rsidRPr="0030765C">
        <w:rPr>
          <w:rFonts w:ascii="Arial" w:hAnsi="Arial" w:cs="Calibri"/>
          <w:bCs/>
          <w:color w:val="000000"/>
        </w:rPr>
        <w:t>)</w:t>
      </w:r>
      <w:r>
        <w:rPr>
          <w:rFonts w:ascii="Arial" w:hAnsi="Arial" w:cs="Calibri"/>
          <w:bCs/>
          <w:color w:val="000000"/>
        </w:rPr>
        <w:t xml:space="preserve"> </w:t>
      </w:r>
      <w:r>
        <w:rPr>
          <w:rFonts w:ascii="Arial" w:hAnsi="Arial" w:cs="Calibri"/>
          <w:bCs/>
          <w:color w:val="000000"/>
        </w:rPr>
        <w:fldChar w:fldCharType="begin">
          <w:fldData xml:space="preserve">PEVuZE5vdGU+PENpdGU+PEF1dGhvcj5CZXJ0aG91ZDwvQXV0aG9yPjxZZWFyPjE5ODE8L1llYXI+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PEVuZE5vdGU+PENpdGU+PEF1dGhvcj5CZXJ0aG91ZDwvQXV0aG9yPjxZZWFyPjE5ODE8L1llYXI+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(Berthoud et al., 1981, Teff et al., 1991, Just et al., 2008)</w:t>
      </w:r>
      <w:r>
        <w:rPr>
          <w:rFonts w:ascii="Arial" w:hAnsi="Arial" w:cs="Calibri"/>
          <w:bCs/>
          <w:color w:val="000000"/>
        </w:rPr>
        <w:fldChar w:fldCharType="end"/>
      </w:r>
      <w:r>
        <w:rPr>
          <w:rFonts w:ascii="Arial" w:hAnsi="Arial" w:cs="Calibri"/>
          <w:bCs/>
          <w:color w:val="000000"/>
        </w:rPr>
        <w:t xml:space="preserve">. </w:t>
      </w:r>
    </w:p>
    <w:p w14:paraId="63A0C8B2" w14:textId="77777777" w:rsidR="007B76C3" w:rsidRDefault="007B76C3" w:rsidP="007B76C3">
      <w:pPr>
        <w:autoSpaceDE w:val="0"/>
        <w:autoSpaceDN w:val="0"/>
        <w:adjustRightInd w:val="0"/>
        <w:spacing w:line="480" w:lineRule="auto"/>
        <w:jc w:val="both"/>
        <w:rPr>
          <w:rFonts w:ascii="Arial" w:hAnsi="Arial" w:cs="Calibri"/>
          <w:bCs/>
          <w:color w:val="000000"/>
        </w:rPr>
      </w:pPr>
    </w:p>
    <w:p w14:paraId="2A4038B2" w14:textId="77777777" w:rsidR="007B76C3" w:rsidRDefault="007B76C3" w:rsidP="007B76C3">
      <w:pPr>
        <w:autoSpaceDE w:val="0"/>
        <w:autoSpaceDN w:val="0"/>
        <w:adjustRightInd w:val="0"/>
        <w:spacing w:line="480" w:lineRule="auto"/>
        <w:jc w:val="both"/>
        <w:rPr>
          <w:rFonts w:ascii="Arial" w:hAnsi="Arial" w:cs="Calibri"/>
          <w:bCs/>
          <w:color w:val="000000"/>
        </w:rPr>
      </w:pPr>
      <w:r>
        <w:rPr>
          <w:rFonts w:ascii="Arial" w:hAnsi="Arial" w:cs="Calibri"/>
          <w:bCs/>
          <w:color w:val="000000"/>
        </w:rPr>
        <w:t>Glucose is the most powerful stimulator of the insulin release, whereas amino acids and fatty a</w:t>
      </w:r>
      <w:r w:rsidR="001A6C51">
        <w:rPr>
          <w:rFonts w:ascii="Arial" w:hAnsi="Arial" w:cs="Calibri"/>
          <w:bCs/>
          <w:color w:val="000000"/>
        </w:rPr>
        <w:t>cids are ineffective or only wea</w:t>
      </w:r>
      <w:r>
        <w:rPr>
          <w:rFonts w:ascii="Arial" w:hAnsi="Arial" w:cs="Calibri"/>
          <w:bCs/>
          <w:color w:val="000000"/>
        </w:rPr>
        <w:t xml:space="preserve">kly trigger insulin secretion. Insulin regulates metabolism of carbohydrates by stimulating glucose absorption from the blood into adipose tissue and muscle and formation of glycogen from glucose </w:t>
      </w:r>
      <w:r w:rsidR="0072427D">
        <w:rPr>
          <w:rFonts w:ascii="Arial" w:hAnsi="Arial" w:cs="Calibri"/>
          <w:bCs/>
          <w:color w:val="000000"/>
        </w:rPr>
        <w:t>(glycogene</w:t>
      </w:r>
      <w:r w:rsidRPr="0047309E">
        <w:rPr>
          <w:rFonts w:ascii="Arial" w:hAnsi="Arial" w:cs="Calibri"/>
          <w:bCs/>
          <w:color w:val="000000"/>
        </w:rPr>
        <w:t xml:space="preserve">sis) </w:t>
      </w:r>
      <w:r>
        <w:rPr>
          <w:rFonts w:ascii="Arial" w:hAnsi="Arial" w:cs="Calibri"/>
          <w:bCs/>
          <w:color w:val="000000"/>
        </w:rPr>
        <w:fldChar w:fldCharType="begin"/>
      </w:r>
      <w:r w:rsidR="00A108A1">
        <w:rPr>
          <w:rFonts w:ascii="Arial" w:hAnsi="Arial" w:cs="Calibri"/>
          <w:bCs/>
          <w:color w:val="000000"/>
        </w:rPr>
        <w:instrText xml:space="preserve"> ADDIN EN.CITE &lt;EndNote&gt;&lt;Cite&gt;&lt;Author&gt;Power&lt;/Author&gt;&lt;Year&gt;2008&lt;/Year&gt;&lt;RecNum&gt;138&lt;/RecNum&gt;&lt;DisplayText&gt;(Power and Schulkin, 2008)&lt;/DisplayText&gt;&lt;record&gt;&lt;rec-number&gt;138&lt;/rec-number&gt;&lt;foreign-keys&gt;&lt;key app="EN" db-id="ae9rewfrpdttrheppfxxv0p4950wpd25r09x" timestamp="1520657924"&gt;138&lt;/key&gt;&lt;key app="ENWeb" db-id=""&gt;0&lt;/key&gt;&lt;/foreign-keys&gt;&lt;ref-type name="Journal Article"&gt;17&lt;/ref-type&gt;&lt;contributors&gt;&lt;authors&gt;&lt;author&gt;Power, Michael L.&lt;/author&gt;&lt;author&gt;Schulkin, Jay&lt;/author&gt;&lt;/authors&gt;&lt;/contributors&gt;&lt;titles&gt;&lt;title&gt;Anticipatory physiological regulation in feeding biology: Cephalic phase responses&lt;/title&gt;&lt;secondary-title&gt;Appetite&lt;/secondary-title&gt;&lt;/titles&gt;&lt;periodical&gt;&lt;full-title&gt;Appetite&lt;/full-title&gt;&lt;/periodical&gt;&lt;pages&gt;194-206&lt;/pages&gt;&lt;volume&gt;50&lt;/volume&gt;&lt;number&gt;2&lt;/number&gt;&lt;keywords&gt;&lt;keyword&gt;Digestion&lt;/keyword&gt;&lt;keyword&gt;Appetite&lt;/keyword&gt;&lt;keyword&gt;Homeostasis&lt;/keyword&gt;&lt;keyword&gt;Insulin&lt;/keyword&gt;&lt;keyword&gt;Ghrelin&lt;/keyword&gt;&lt;keyword&gt;Evolution&lt;/keyword&gt;&lt;/keywords&gt;&lt;dates&gt;&lt;year&gt;2008&lt;/year&gt;&lt;/dates&gt;&lt;isbn&gt;0195-6663&lt;/isbn&gt;&lt;urls&gt;&lt;/urls&gt;&lt;electronic-resource-num&gt;10.1016/j.appet.2007.10.006&lt;/electronic-resource-num&gt;&lt;/record&gt;&lt;/Cite&gt;&lt;/EndNote&gt;</w:instrText>
      </w:r>
      <w:r>
        <w:rPr>
          <w:rFonts w:ascii="Arial" w:hAnsi="Arial" w:cs="Calibri"/>
          <w:bCs/>
          <w:color w:val="000000"/>
        </w:rPr>
        <w:fldChar w:fldCharType="separate"/>
      </w:r>
      <w:r>
        <w:rPr>
          <w:rFonts w:ascii="Arial" w:hAnsi="Arial" w:cs="Calibri"/>
          <w:bCs/>
          <w:noProof/>
          <w:color w:val="000000"/>
        </w:rPr>
        <w:t>(Power and Schulkin, 2008)</w:t>
      </w:r>
      <w:r>
        <w:rPr>
          <w:rFonts w:ascii="Arial" w:hAnsi="Arial" w:cs="Calibri"/>
          <w:bCs/>
          <w:color w:val="000000"/>
        </w:rPr>
        <w:fldChar w:fldCharType="end"/>
      </w:r>
      <w:r>
        <w:rPr>
          <w:rFonts w:ascii="Arial" w:hAnsi="Arial" w:cs="Calibri"/>
          <w:bCs/>
          <w:color w:val="000000"/>
        </w:rPr>
        <w:t xml:space="preserve">. The effects of the polypeptide hormone glucagon, which is released from the pancreatic </w:t>
      </w:r>
      <w:r>
        <w:rPr>
          <w:rFonts w:ascii="Arial" w:hAnsi="Arial" w:cs="Calibri"/>
          <w:bCs/>
          <w:color w:val="000000"/>
        </w:rPr>
        <w:sym w:font="Symbol" w:char="F061"/>
      </w:r>
      <w:r>
        <w:rPr>
          <w:rFonts w:ascii="Arial" w:hAnsi="Arial" w:cs="Calibri"/>
          <w:bCs/>
          <w:color w:val="000000"/>
        </w:rPr>
        <w:t xml:space="preserve"> cells, are opposite of those of insulin. Glucagon is secreted when concentratio</w:t>
      </w:r>
      <w:r w:rsidR="00E90FE8">
        <w:rPr>
          <w:rFonts w:ascii="Arial" w:hAnsi="Arial" w:cs="Calibri"/>
          <w:bCs/>
          <w:color w:val="000000"/>
        </w:rPr>
        <w:t>ns of glucose and amino acids</w:t>
      </w:r>
      <w:r>
        <w:rPr>
          <w:rFonts w:ascii="Arial" w:hAnsi="Arial" w:cs="Calibri"/>
          <w:bCs/>
          <w:color w:val="000000"/>
        </w:rPr>
        <w:t xml:space="preserve"> fall in plasma. It stimulates glycogen breakdown in the liver (glyco</w:t>
      </w:r>
      <w:r w:rsidR="0048363C">
        <w:rPr>
          <w:rFonts w:ascii="Arial" w:hAnsi="Arial" w:cs="Calibri"/>
          <w:bCs/>
          <w:color w:val="000000"/>
        </w:rPr>
        <w:t>geno</w:t>
      </w:r>
      <w:r>
        <w:rPr>
          <w:rFonts w:ascii="Arial" w:hAnsi="Arial" w:cs="Calibri"/>
          <w:bCs/>
          <w:color w:val="000000"/>
        </w:rPr>
        <w:t>lysis) and glucose synthesis fr</w:t>
      </w:r>
      <w:r w:rsidR="006B6D0E">
        <w:rPr>
          <w:rFonts w:ascii="Arial" w:hAnsi="Arial" w:cs="Calibri"/>
          <w:bCs/>
          <w:color w:val="000000"/>
        </w:rPr>
        <w:t xml:space="preserve">om the amino acids in the liver </w:t>
      </w:r>
      <w:r>
        <w:rPr>
          <w:rFonts w:ascii="Arial" w:hAnsi="Arial" w:cs="Calibri"/>
          <w:bCs/>
          <w:color w:val="000000"/>
        </w:rPr>
        <w:t xml:space="preserve">and </w:t>
      </w:r>
      <w:r w:rsidRPr="001F10BD">
        <w:rPr>
          <w:rFonts w:ascii="Arial" w:hAnsi="Arial" w:cs="Calibri"/>
          <w:bCs/>
          <w:color w:val="000000"/>
        </w:rPr>
        <w:t xml:space="preserve">kidneys </w:t>
      </w:r>
      <w:r>
        <w:rPr>
          <w:rFonts w:ascii="Arial" w:hAnsi="Arial" w:cs="Calibri"/>
          <w:bCs/>
          <w:color w:val="000000"/>
        </w:rPr>
        <w:t xml:space="preserve">(gluconeogenesis) </w:t>
      </w:r>
      <w:r w:rsidR="00C34926">
        <w:rPr>
          <w:rFonts w:ascii="Arial" w:hAnsi="Arial" w:cs="Calibri"/>
          <w:bCs/>
          <w:color w:val="000000"/>
        </w:rPr>
        <w:fldChar w:fldCharType="begin"/>
      </w:r>
      <w:r w:rsidR="00651EFF">
        <w:rPr>
          <w:rFonts w:ascii="Arial" w:hAnsi="Arial" w:cs="Calibri"/>
          <w:bCs/>
          <w:color w:val="000000"/>
        </w:rPr>
        <w:instrText xml:space="preserve"> ADDIN EN.CITE &lt;EndNote&gt;&lt;Cite&gt;&lt;Author&gt;Cummings&lt;/Author&gt;&lt;Year&gt;2007&lt;/Year&gt;&lt;RecNum&gt;380&lt;/RecNum&gt;&lt;DisplayText&gt;(Cummings and Overduin, 2007, Frayn, 2010)&lt;/DisplayText&gt;&lt;record&gt;&lt;rec-number&gt;380&lt;/rec-number&gt;&lt;foreign-keys&gt;&lt;key app="EN" db-id="ae9rewfrpdttrheppfxxv0p4950wpd25r09x" timestamp="1520658301"&gt;380&lt;/key&gt;&lt;/foreign-keys&gt;&lt;ref-type name="Journal Article"&gt;17&lt;/ref-type&gt;&lt;contributors&gt;&lt;authors&gt;&lt;author&gt;Cummings, De&lt;/author&gt;&lt;author&gt;Overduin, J.&lt;/author&gt;&lt;/authors&gt;&lt;/contributors&gt;&lt;titles&gt;&lt;title&gt;Gastrointestinal regulation of food intake&lt;/title&gt;&lt;secondary-title&gt;The Journal of Clinical Investigation&lt;/secondary-title&gt;&lt;/titles&gt;&lt;periodical&gt;&lt;full-title&gt;The Journal of clinical investigation&lt;/full-title&gt;&lt;/periodical&gt;&lt;pages&gt;13-23&lt;/pages&gt;&lt;volume&gt;117&lt;/volume&gt;&lt;keywords&gt;&lt;keyword&gt;Energy Intake&lt;/keyword&gt;&lt;keyword&gt;Gastrointestinal Tract -- Physiology&lt;/keyword&gt;&lt;/keywords&gt;&lt;dates&gt;&lt;year&gt;2007&lt;/year&gt;&lt;/dates&gt;&lt;isbn&gt;0021-9738&lt;/isbn&gt;&lt;urls&gt;&lt;/urls&gt;&lt;electronic-resource-num&gt;10.1172/JCI30227&lt;/electronic-resource-num&gt;&lt;/record&gt;&lt;/Cite&gt;&lt;Cite&gt;&lt;Author&gt;Frayn&lt;/Author&gt;&lt;Year&gt;2010&lt;/Year&gt;&lt;RecNum&gt;382&lt;/RecNum&gt;&lt;record&gt;&lt;rec-number&gt;382&lt;/rec-number&gt;&lt;foreign-keys&gt;&lt;key app="EN" db-id="ae9rewfrpdttrheppfxxv0p4950wpd25r09x" timestamp="1520658301"&gt;382&lt;/key&gt;&lt;/foreign-keys&gt;&lt;ref-type name="Book"&gt;6&lt;/ref-type&gt;&lt;contributors&gt;&lt;authors&gt;&lt;author&gt;Frayn, K. N.&lt;/author&gt;&lt;/authors&gt;&lt;secondary-authors&gt;&lt;author&gt;Frayn, K. N.&lt;/author&gt;&lt;/secondary-authors&gt;&lt;/contributors&gt;&lt;titles&gt;&lt;title&gt;Metabolic Regulation: A Human Perspective, 3rd Edition&lt;/title&gt;&lt;/titles&gt;&lt;pages&gt;384&lt;/pages&gt;&lt;edition&gt;3rd ed.&lt;/edition&gt;&lt;keywords&gt;&lt;keyword&gt;Metabolism -- Regulation&lt;/keyword&gt;&lt;keyword&gt;Control of metabolism&lt;/keyword&gt;&lt;keyword&gt;Metabolic control&lt;/keyword&gt;&lt;keyword&gt;Metabolic regulation&lt;/keyword&gt;&lt;keyword&gt;Regulation of metabolism&lt;/keyword&gt;&lt;keyword&gt;Biological control systems&lt;/keyword&gt;&lt;/keywords&gt;&lt;dates&gt;&lt;year&gt;2010&lt;/year&gt;&lt;/dates&gt;&lt;pub-location&gt;Chichester, UK&lt;/pub-location&gt;&lt;publisher&gt; Wiley-Blackwell&lt;/publisher&gt;&lt;urls&gt;&lt;/urls&gt;&lt;/record&gt;&lt;/Cite&gt;&lt;/EndNote&gt;</w:instrText>
      </w:r>
      <w:r w:rsidR="00C34926">
        <w:rPr>
          <w:rFonts w:ascii="Arial" w:hAnsi="Arial" w:cs="Calibri"/>
          <w:bCs/>
          <w:color w:val="000000"/>
        </w:rPr>
        <w:fldChar w:fldCharType="separate"/>
      </w:r>
      <w:r w:rsidR="00C34926">
        <w:rPr>
          <w:rFonts w:ascii="Arial" w:hAnsi="Arial" w:cs="Calibri"/>
          <w:bCs/>
          <w:noProof/>
          <w:color w:val="000000"/>
        </w:rPr>
        <w:t>(Cummings and Overduin, 2007, Frayn, 2010)</w:t>
      </w:r>
      <w:r w:rsidR="00C34926">
        <w:rPr>
          <w:rFonts w:ascii="Arial" w:hAnsi="Arial" w:cs="Calibri"/>
          <w:bCs/>
          <w:color w:val="000000"/>
        </w:rPr>
        <w:fldChar w:fldCharType="end"/>
      </w:r>
      <w:r w:rsidR="00C34926">
        <w:rPr>
          <w:rFonts w:ascii="Arial" w:hAnsi="Arial" w:cs="Calibri"/>
          <w:bCs/>
          <w:color w:val="000000"/>
        </w:rPr>
        <w:t>.</w:t>
      </w:r>
      <w:r>
        <w:rPr>
          <w:rFonts w:ascii="Arial" w:hAnsi="Arial" w:cs="Calibri"/>
          <w:bCs/>
          <w:color w:val="000000"/>
        </w:rPr>
        <w:t xml:space="preserve"> </w:t>
      </w:r>
    </w:p>
    <w:p w14:paraId="7CCBCAF2" w14:textId="77777777" w:rsidR="007B76C3" w:rsidRDefault="007B76C3" w:rsidP="007B76C3">
      <w:pPr>
        <w:autoSpaceDE w:val="0"/>
        <w:autoSpaceDN w:val="0"/>
        <w:adjustRightInd w:val="0"/>
        <w:spacing w:line="480" w:lineRule="auto"/>
        <w:jc w:val="both"/>
        <w:rPr>
          <w:rFonts w:ascii="Arial" w:hAnsi="Arial" w:cs="Calibri"/>
          <w:bCs/>
          <w:color w:val="000000"/>
        </w:rPr>
      </w:pPr>
    </w:p>
    <w:p w14:paraId="31358E4A" w14:textId="77777777" w:rsidR="007B76C3" w:rsidRDefault="007B76C3" w:rsidP="007B76C3">
      <w:pPr>
        <w:autoSpaceDE w:val="0"/>
        <w:autoSpaceDN w:val="0"/>
        <w:adjustRightInd w:val="0"/>
        <w:spacing w:line="480" w:lineRule="auto"/>
        <w:jc w:val="both"/>
        <w:rPr>
          <w:rFonts w:ascii="Arial" w:hAnsi="Arial" w:cs="Calibri"/>
          <w:bCs/>
          <w:color w:val="000000"/>
        </w:rPr>
      </w:pPr>
      <w:r w:rsidRPr="00141905">
        <w:rPr>
          <w:rFonts w:ascii="Arial" w:hAnsi="Arial"/>
        </w:rPr>
        <w:t>Amylin</w:t>
      </w:r>
      <w:r w:rsidRPr="00275969">
        <w:rPr>
          <w:rFonts w:ascii="Arial" w:hAnsi="Arial"/>
        </w:rPr>
        <w:t xml:space="preserve">, also </w:t>
      </w:r>
      <w:r w:rsidRPr="0036693B">
        <w:rPr>
          <w:rFonts w:ascii="Arial" w:hAnsi="Arial"/>
        </w:rPr>
        <w:t xml:space="preserve">known as islet amyloid polypeptide, is </w:t>
      </w:r>
      <w:r>
        <w:rPr>
          <w:rFonts w:ascii="Arial" w:hAnsi="Arial"/>
        </w:rPr>
        <w:t>stored in the same granules as insulin and co-</w:t>
      </w:r>
      <w:r w:rsidRPr="0036693B">
        <w:rPr>
          <w:rFonts w:ascii="Arial" w:hAnsi="Arial"/>
        </w:rPr>
        <w:t xml:space="preserve">secreted </w:t>
      </w:r>
      <w:r>
        <w:rPr>
          <w:rFonts w:ascii="Arial" w:hAnsi="Arial"/>
        </w:rPr>
        <w:t xml:space="preserve">with insulin </w:t>
      </w:r>
      <w:r w:rsidRPr="0036693B">
        <w:rPr>
          <w:rFonts w:ascii="Arial" w:hAnsi="Arial"/>
        </w:rPr>
        <w:t xml:space="preserve">from </w:t>
      </w:r>
      <w:r>
        <w:rPr>
          <w:rFonts w:ascii="Arial" w:hAnsi="Arial"/>
        </w:rPr>
        <w:t xml:space="preserve">pancreatic </w:t>
      </w:r>
      <w:r w:rsidRPr="00815938">
        <w:rPr>
          <w:rFonts w:ascii="Arial" w:hAnsi="Arial" w:cs="Calibri"/>
          <w:bCs/>
          <w:color w:val="000000"/>
        </w:rPr>
        <w:sym w:font="Symbol" w:char="F062"/>
      </w:r>
      <w:r>
        <w:rPr>
          <w:rFonts w:ascii="Arial" w:hAnsi="Arial" w:cs="Calibri"/>
          <w:bCs/>
          <w:color w:val="000000"/>
        </w:rPr>
        <w:t xml:space="preserve"> cells </w:t>
      </w:r>
      <w:r>
        <w:rPr>
          <w:rFonts w:ascii="Arial" w:hAnsi="Arial" w:cs="Calibri"/>
          <w:bCs/>
          <w:color w:val="000000"/>
        </w:rPr>
        <w:fldChar w:fldCharType="begin"/>
      </w:r>
      <w:r w:rsidR="00B97465">
        <w:rPr>
          <w:rFonts w:ascii="Arial" w:hAnsi="Arial" w:cs="Calibri"/>
          <w:bCs/>
          <w:color w:val="000000"/>
        </w:rPr>
        <w:instrText xml:space="preserve"> ADDIN EN.CITE &lt;EndNote&gt;&lt;Cite&gt;&lt;Author&gt;Cooper&lt;/Author&gt;&lt;Year&gt;1987&lt;/Year&gt;&lt;RecNum&gt;141&lt;/RecNum&gt;&lt;DisplayText&gt;(Cooper et al., 1987, Cooper, 2001)&lt;/DisplayText&gt;&lt;record&gt;&lt;rec-number&gt;141&lt;/rec-number&gt;&lt;foreign-keys&gt;&lt;key app="EN" db-id="ae9rewfrpdttrheppfxxv0p4950wpd25r09x" timestamp="1520657931"&gt;141&lt;/key&gt;&lt;key app="ENWeb" db-id=""&gt;0&lt;/key&gt;&lt;/foreign-keys&gt;&lt;ref-type name="Journal Article"&gt;17&lt;/ref-type&gt;&lt;contributors&gt;&lt;authors&gt;&lt;author&gt;Cooper, G. J. S.&lt;/author&gt;&lt;author&gt;Willis, A. C.&lt;/author&gt;&lt;author&gt;Clark, A.&lt;/author&gt;&lt;author&gt;Turner, R. C.&lt;/author&gt;&lt;author&gt;Sim, R. B.&lt;/author&gt;&lt;author&gt;Reid, K. B. M.&lt;/author&gt;&lt;/authors&gt;&lt;/contributors&gt;&lt;titles&gt;&lt;title&gt;Purification and characterization of a peptide from amyloid- rich pancreases of type 2 diabetic patients&lt;/title&gt;&lt;secondary-title&gt;Proceedings of the National Academy of Sciences of the United States of America&lt;/secondary-title&gt;&lt;/titles&gt;&lt;periodical&gt;&lt;full-title&gt;Proceedings of the National Academy of Sciences of the United States of America&lt;/full-title&gt;&lt;/periodical&gt;&lt;pages&gt;8628-8632&lt;/pages&gt;&lt;volume&gt;84&lt;/volume&gt;&lt;number&gt;23&lt;/number&gt;&lt;dates&gt;&lt;year&gt;1987&lt;/year&gt;&lt;/dates&gt;&lt;isbn&gt;00278424&lt;/isbn&gt;&lt;urls&gt;&lt;/urls&gt;&lt;/record&gt;&lt;/Cite&gt;&lt;Cite&gt;&lt;Author&gt;Cooper&lt;/Author&gt;&lt;Year&gt;2001&lt;/Year&gt;&lt;RecNum&gt;260&lt;/RecNum&gt;&lt;record&gt;&lt;rec-number&gt;260&lt;/rec-number&gt;&lt;foreign-keys&gt;&lt;key app="EN" db-id="ae9rewfrpdttrheppfxxv0p4950wpd25r09x" timestamp="1520658213"&gt;260&lt;/key&gt;&lt;/foreign-keys&gt;&lt;ref-type name="Book Section"&gt;5&lt;/ref-type&gt;&lt;contributors&gt;&lt;authors&gt;&lt;author&gt;Cooper, G.J.S.&lt;/author&gt;&lt;/authors&gt;&lt;secondary-authors&gt;&lt;author&gt;Jefferson, L.S., &lt;/author&gt;&lt;author&gt;Cherrington, A.D., &lt;/author&gt;&lt;author&gt;Goodman, H.M.&lt;/author&gt;&lt;/secondary-authors&gt;&lt;/contributors&gt;&lt;titles&gt;&lt;title&gt;Amylin and related proteins: physiology and pathophysiology. &lt;/title&gt;&lt;secondary-title&gt;The endocrine pancreas and regulation of metabolism.&lt;/secondary-title&gt;&lt;/titles&gt;&lt;pages&gt;303–96.&lt;/pages&gt;&lt;dates&gt;&lt;year&gt;2001&lt;/year&gt;&lt;/dates&gt;&lt;pub-location&gt;Oxford&lt;/pub-location&gt;&lt;publisher&gt;Oxford University Press&lt;/publisher&gt;&lt;urls&gt;&lt;/urls&gt;&lt;/record&gt;&lt;/Cite&gt;&lt;/EndNote&gt;</w:instrText>
      </w:r>
      <w:r>
        <w:rPr>
          <w:rFonts w:ascii="Arial" w:hAnsi="Arial" w:cs="Calibri"/>
          <w:bCs/>
          <w:color w:val="000000"/>
        </w:rPr>
        <w:fldChar w:fldCharType="separate"/>
      </w:r>
      <w:r>
        <w:rPr>
          <w:rFonts w:ascii="Arial" w:hAnsi="Arial" w:cs="Calibri"/>
          <w:bCs/>
          <w:noProof/>
          <w:color w:val="000000"/>
        </w:rPr>
        <w:t>(Cooper et al., 1987, Cooper, 2001)</w:t>
      </w:r>
      <w:r>
        <w:rPr>
          <w:rFonts w:ascii="Arial" w:hAnsi="Arial" w:cs="Calibri"/>
          <w:bCs/>
          <w:color w:val="000000"/>
        </w:rPr>
        <w:fldChar w:fldCharType="end"/>
      </w:r>
      <w:r>
        <w:rPr>
          <w:rFonts w:ascii="Arial" w:hAnsi="Arial" w:cs="Calibri"/>
          <w:bCs/>
          <w:color w:val="000000"/>
        </w:rPr>
        <w:t>.</w:t>
      </w:r>
      <w:r w:rsidRPr="00E027D1">
        <w:rPr>
          <w:rFonts w:ascii="Arial" w:hAnsi="Arial" w:cs="Calibri"/>
          <w:bCs/>
          <w:color w:val="000000"/>
        </w:rPr>
        <w:t xml:space="preserve"> </w:t>
      </w:r>
      <w:r w:rsidRPr="00DF5FA8">
        <w:rPr>
          <w:rFonts w:ascii="Arial" w:hAnsi="Arial" w:cs="Calibri"/>
          <w:bCs/>
          <w:color w:val="000000"/>
        </w:rPr>
        <w:t xml:space="preserve">Amylin binds to its receptor </w:t>
      </w:r>
      <w:r>
        <w:rPr>
          <w:rFonts w:ascii="Arial" w:hAnsi="Arial" w:cs="Calibri"/>
          <w:bCs/>
          <w:color w:val="000000"/>
        </w:rPr>
        <w:t xml:space="preserve">complexes </w:t>
      </w:r>
      <w:r w:rsidRPr="00DF5FA8">
        <w:rPr>
          <w:rFonts w:ascii="Arial" w:hAnsi="Arial" w:cs="Calibri"/>
          <w:bCs/>
          <w:color w:val="000000"/>
        </w:rPr>
        <w:t>consisting of calcitonin receptor (CTR) at the core dimerised with receptor acti</w:t>
      </w:r>
      <w:r>
        <w:rPr>
          <w:rFonts w:ascii="Arial" w:hAnsi="Arial" w:cs="Calibri"/>
          <w:bCs/>
          <w:color w:val="000000"/>
        </w:rPr>
        <w:t xml:space="preserve">vity modifying proteins (RAMPs) </w:t>
      </w:r>
      <w:r>
        <w:rPr>
          <w:rFonts w:ascii="Arial" w:hAnsi="Arial" w:cs="Calibri"/>
          <w:bCs/>
          <w:color w:val="000000"/>
        </w:rPr>
        <w:fldChar w:fldCharType="begin">
          <w:fldData xml:space="preserve">PEVuZE5vdGU+PENpdGU+PEF1dGhvcj5Db29wZXI8L0F1dGhvcj48WWVhcj4xOTg3PC9ZZWFyPjxS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=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PEVuZE5vdGU+PENpdGU+PEF1dGhvcj5Db29wZXI8L0F1dGhvcj48WWVhcj4xOTg3PC9ZZWFyPjxS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=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(Cooper et al., 1987, Hay et al., 2004)</w:t>
      </w:r>
      <w:r>
        <w:rPr>
          <w:rFonts w:ascii="Arial" w:hAnsi="Arial" w:cs="Calibri"/>
          <w:bCs/>
          <w:color w:val="000000"/>
        </w:rPr>
        <w:fldChar w:fldCharType="end"/>
      </w:r>
      <w:r>
        <w:rPr>
          <w:rFonts w:ascii="Arial" w:hAnsi="Arial" w:cs="Calibri"/>
          <w:bCs/>
          <w:color w:val="000000"/>
        </w:rPr>
        <w:t>. It is an anorexigenic hormone that inhibits</w:t>
      </w:r>
      <w:r w:rsidR="00E97194">
        <w:rPr>
          <w:rFonts w:ascii="Arial" w:hAnsi="Arial" w:cs="Calibri"/>
          <w:bCs/>
          <w:color w:val="000000"/>
        </w:rPr>
        <w:t xml:space="preserve"> food intake by slowing gastric </w:t>
      </w:r>
      <w:r>
        <w:rPr>
          <w:rFonts w:ascii="Arial" w:hAnsi="Arial" w:cs="Calibri"/>
          <w:bCs/>
          <w:color w:val="000000"/>
        </w:rPr>
        <w:t xml:space="preserve">emptying and ultimately reducing both meal size and number of the meals. Amylin enhances insulin function by inhibiting gastric acid and glucagon secretions and thereby regulating postprandial glucose concentrations in plasma </w:t>
      </w:r>
      <w:r>
        <w:rPr>
          <w:rFonts w:ascii="Arial" w:hAnsi="Arial" w:cs="Calibri"/>
          <w:bCs/>
          <w:color w:val="000000"/>
        </w:rPr>
        <w:fldChar w:fldCharType="begin">
          <w:fldData xml:space="preserve">PEVuZE5vdGU+PENpdGU+PEF1dGhvcj5MdXR6PC9BdXRob3I+PFllYXI+MTk5NTwvWWVhcj48UmVj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PEVuZE5vdGU+PENpdGU+PEF1dGhvcj5MdXR6PC9BdXRob3I+PFllYXI+MTk5NTwvWWVhcj48UmVj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(Lutz et al., 1995, Reda et al., 2002, Lutz, 2006)</w:t>
      </w:r>
      <w:r>
        <w:rPr>
          <w:rFonts w:ascii="Arial" w:hAnsi="Arial" w:cs="Calibri"/>
          <w:bCs/>
          <w:color w:val="000000"/>
        </w:rPr>
        <w:fldChar w:fldCharType="end"/>
      </w:r>
      <w:r>
        <w:rPr>
          <w:rFonts w:ascii="Arial" w:hAnsi="Arial" w:cs="Calibri"/>
          <w:bCs/>
          <w:color w:val="000000"/>
        </w:rPr>
        <w:t xml:space="preserve">. </w:t>
      </w:r>
    </w:p>
    <w:p w14:paraId="6EA087C5" w14:textId="77777777" w:rsidR="00D34460" w:rsidRDefault="00D34460" w:rsidP="007B76C3">
      <w:pPr>
        <w:autoSpaceDE w:val="0"/>
        <w:autoSpaceDN w:val="0"/>
        <w:adjustRightInd w:val="0"/>
        <w:spacing w:line="480" w:lineRule="auto"/>
        <w:jc w:val="both"/>
        <w:rPr>
          <w:rFonts w:ascii="Arial" w:hAnsi="Arial"/>
          <w:b/>
        </w:rPr>
      </w:pPr>
    </w:p>
    <w:p w14:paraId="1F857712" w14:textId="77777777" w:rsidR="00D34460" w:rsidRDefault="00D34460" w:rsidP="007B76C3">
      <w:pPr>
        <w:autoSpaceDE w:val="0"/>
        <w:autoSpaceDN w:val="0"/>
        <w:adjustRightInd w:val="0"/>
        <w:spacing w:line="480" w:lineRule="auto"/>
        <w:jc w:val="both"/>
        <w:rPr>
          <w:rFonts w:ascii="Arial" w:hAnsi="Arial"/>
          <w:b/>
        </w:rPr>
      </w:pPr>
    </w:p>
    <w:p w14:paraId="5E35B398" w14:textId="77777777" w:rsidR="007B76C3" w:rsidRPr="0008605F" w:rsidRDefault="007B76C3" w:rsidP="008858B1">
      <w:pPr>
        <w:pStyle w:val="Heading3"/>
        <w:spacing w:line="480" w:lineRule="auto"/>
        <w:jc w:val="both"/>
        <w:rPr>
          <w:rFonts w:ascii="Arial" w:hAnsi="Arial" w:cs="Arial"/>
          <w:color w:val="auto"/>
        </w:rPr>
      </w:pPr>
      <w:bookmarkStart w:id="32" w:name="_Toc383723855"/>
      <w:r w:rsidRPr="0008605F">
        <w:rPr>
          <w:rFonts w:ascii="Arial" w:hAnsi="Arial" w:cs="Arial"/>
          <w:color w:val="auto"/>
        </w:rPr>
        <w:lastRenderedPageBreak/>
        <w:t>1.4.5 GIP</w:t>
      </w:r>
      <w:bookmarkEnd w:id="32"/>
      <w:r w:rsidRPr="0008605F">
        <w:rPr>
          <w:rFonts w:ascii="Arial" w:hAnsi="Arial" w:cs="Arial"/>
          <w:color w:val="auto"/>
        </w:rPr>
        <w:t xml:space="preserve"> </w:t>
      </w:r>
    </w:p>
    <w:p w14:paraId="4D37C80D" w14:textId="77777777" w:rsidR="007B76C3" w:rsidRDefault="007B76C3" w:rsidP="007B76C3">
      <w:pPr>
        <w:autoSpaceDE w:val="0"/>
        <w:autoSpaceDN w:val="0"/>
        <w:adjustRightInd w:val="0"/>
        <w:spacing w:line="480" w:lineRule="auto"/>
        <w:jc w:val="both"/>
        <w:rPr>
          <w:rFonts w:ascii="Arial" w:hAnsi="Arial" w:cs="Calibri"/>
          <w:bCs/>
          <w:color w:val="000000"/>
        </w:rPr>
      </w:pPr>
      <w:r w:rsidRPr="00696C9D">
        <w:rPr>
          <w:rFonts w:ascii="Arial" w:hAnsi="Arial"/>
        </w:rPr>
        <w:t>GIP</w:t>
      </w:r>
      <w:r>
        <w:rPr>
          <w:rFonts w:ascii="Arial" w:hAnsi="Arial"/>
          <w:b/>
        </w:rPr>
        <w:t xml:space="preserve"> </w:t>
      </w:r>
      <w:r w:rsidRPr="00E86C2F">
        <w:rPr>
          <w:rFonts w:ascii="Arial" w:hAnsi="Arial" w:cs="Calibri"/>
          <w:bCs/>
          <w:color w:val="000000"/>
        </w:rPr>
        <w:t>(glucose-dependent insulinotropic polypeptide)</w:t>
      </w:r>
      <w:r>
        <w:rPr>
          <w:rFonts w:ascii="Arial" w:hAnsi="Arial" w:cs="Calibri"/>
          <w:bCs/>
          <w:color w:val="000000"/>
        </w:rPr>
        <w:t xml:space="preserve"> is secreted predominantly from intestinal K cells in response to nutrient intake </w:t>
      </w:r>
      <w:r>
        <w:rPr>
          <w:rFonts w:ascii="Arial" w:hAnsi="Arial" w:cs="Calibri"/>
          <w:bCs/>
          <w:color w:val="000000"/>
        </w:rPr>
        <w:fldChar w:fldCharType="begin"/>
      </w:r>
      <w:r w:rsidR="00A108A1">
        <w:rPr>
          <w:rFonts w:ascii="Arial" w:hAnsi="Arial" w:cs="Calibri"/>
          <w:bCs/>
          <w:color w:val="000000"/>
        </w:rPr>
        <w:instrText xml:space="preserve"> ADDIN EN.CITE &lt;EndNote&gt;&lt;Cite&gt;&lt;Author&gt;Mortensen&lt;/Author&gt;&lt;Year&gt;2003&lt;/Year&gt;&lt;RecNum&gt;145&lt;/RecNum&gt;&lt;DisplayText&gt;(Mortensen et al., 2003)&lt;/DisplayText&gt;&lt;record&gt;&lt;rec-number&gt;145&lt;/rec-number&gt;&lt;foreign-keys&gt;&lt;key app="EN" db-id="ae9rewfrpdttrheppfxxv0p4950wpd25r09x" timestamp="1520657937"&gt;145&lt;/key&gt;&lt;key app="ENWeb" db-id=""&gt;0&lt;/key&gt;&lt;/foreign-keys&gt;&lt;ref-type name="Journal Article"&gt;17&lt;/ref-type&gt;&lt;contributors&gt;&lt;authors&gt;&lt;author&gt;Mortensen, Kristine&lt;/author&gt;&lt;author&gt;Christensen, Louise Lundby&lt;/author&gt;&lt;author&gt;Orskov, Cathrine&lt;/author&gt;&lt;author&gt;Holst, Jens Juul&lt;/author&gt;&lt;/authors&gt;&lt;/contributors&gt;&lt;titles&gt;&lt;title&gt;GLP- 1 and GIP are colocalized in a subset of endocrine cells in the small intestine&lt;/title&gt;&lt;secondary-title&gt;Regulatory Peptides&lt;/secondary-title&gt;&lt;/titles&gt;&lt;periodical&gt;&lt;full-title&gt;Regulatory Peptides&lt;/full-title&gt;&lt;/periodical&gt;&lt;pages&gt;189-196&lt;/pages&gt;&lt;volume&gt;114&lt;/volume&gt;&lt;number&gt;2-3&lt;/number&gt;&lt;keywords&gt;&lt;keyword&gt;Endocrine Phenotype&lt;/keyword&gt;&lt;keyword&gt;Glucagon-Like Peptide- 1&lt;/keyword&gt;&lt;keyword&gt;Glucose-Dependent Insulinotropic Polypeptide&lt;/keyword&gt;&lt;keyword&gt;Incretin&lt;/keyword&gt;&lt;keyword&gt;Peptide Yy&lt;/keyword&gt;&lt;/keywords&gt;&lt;dates&gt;&lt;year&gt;2003&lt;/year&gt;&lt;/dates&gt;&lt;isbn&gt;01670115&lt;/isbn&gt;&lt;urls&gt;&lt;/urls&gt;&lt;electronic-resource-num&gt;10.1016/S0167-0115(03)00125-3&lt;/electronic-resource-num&gt;&lt;/record&gt;&lt;/Cite&gt;&lt;/EndNote&gt;</w:instrText>
      </w:r>
      <w:r>
        <w:rPr>
          <w:rFonts w:ascii="Arial" w:hAnsi="Arial" w:cs="Calibri"/>
          <w:bCs/>
          <w:color w:val="000000"/>
        </w:rPr>
        <w:fldChar w:fldCharType="separate"/>
      </w:r>
      <w:r>
        <w:rPr>
          <w:rFonts w:ascii="Arial" w:hAnsi="Arial" w:cs="Calibri"/>
          <w:bCs/>
          <w:noProof/>
          <w:color w:val="000000"/>
        </w:rPr>
        <w:t>(Mortensen et al., 2003)</w:t>
      </w:r>
      <w:r>
        <w:rPr>
          <w:rFonts w:ascii="Arial" w:hAnsi="Arial" w:cs="Calibri"/>
          <w:bCs/>
          <w:color w:val="000000"/>
        </w:rPr>
        <w:fldChar w:fldCharType="end"/>
      </w:r>
      <w:r>
        <w:rPr>
          <w:rFonts w:ascii="Arial" w:hAnsi="Arial" w:cs="Calibri"/>
          <w:bCs/>
          <w:color w:val="000000"/>
        </w:rPr>
        <w:t xml:space="preserve">. </w:t>
      </w:r>
      <w:r w:rsidRPr="00AB765D">
        <w:rPr>
          <w:rFonts w:ascii="Arial" w:hAnsi="Arial" w:cs="Calibri"/>
          <w:bCs/>
          <w:color w:val="000000"/>
        </w:rPr>
        <w:t>GIP conc</w:t>
      </w:r>
      <w:r w:rsidR="00154B14">
        <w:rPr>
          <w:rFonts w:ascii="Arial" w:hAnsi="Arial" w:cs="Calibri"/>
          <w:bCs/>
          <w:color w:val="000000"/>
        </w:rPr>
        <w:t>entration increases within 5-15</w:t>
      </w:r>
      <w:r w:rsidRPr="00AB765D">
        <w:rPr>
          <w:rFonts w:ascii="Arial" w:hAnsi="Arial" w:cs="Calibri"/>
          <w:bCs/>
          <w:color w:val="000000"/>
        </w:rPr>
        <w:t>min after the</w:t>
      </w:r>
      <w:r w:rsidR="00154B14">
        <w:rPr>
          <w:rFonts w:ascii="Arial" w:hAnsi="Arial" w:cs="Calibri"/>
          <w:bCs/>
          <w:color w:val="000000"/>
        </w:rPr>
        <w:t xml:space="preserve"> food ingestion and peaks 30-60</w:t>
      </w:r>
      <w:r w:rsidRPr="00AB765D">
        <w:rPr>
          <w:rFonts w:ascii="Arial" w:hAnsi="Arial" w:cs="Calibri"/>
          <w:bCs/>
          <w:color w:val="000000"/>
        </w:rPr>
        <w:t xml:space="preserve">min postprandially depending on </w:t>
      </w:r>
      <w:r>
        <w:rPr>
          <w:rFonts w:ascii="Arial" w:hAnsi="Arial" w:cs="Calibri"/>
          <w:bCs/>
          <w:color w:val="000000"/>
        </w:rPr>
        <w:t xml:space="preserve">the </w:t>
      </w:r>
      <w:r w:rsidRPr="00AB765D">
        <w:rPr>
          <w:rFonts w:ascii="Arial" w:hAnsi="Arial" w:cs="Calibri"/>
          <w:bCs/>
          <w:color w:val="000000"/>
        </w:rPr>
        <w:t>meal size and composition</w:t>
      </w:r>
      <w:r>
        <w:rPr>
          <w:rFonts w:ascii="Arial" w:hAnsi="Arial" w:cs="Calibri"/>
          <w:bCs/>
          <w:color w:val="000000"/>
        </w:rPr>
        <w:t xml:space="preserve"> </w:t>
      </w:r>
      <w:r>
        <w:rPr>
          <w:rFonts w:ascii="Arial" w:hAnsi="Arial" w:cs="Calibri"/>
          <w:bCs/>
          <w:color w:val="000000"/>
        </w:rPr>
        <w:fldChar w:fldCharType="begin">
          <w:fldData xml:space="preserve">PEVuZE5vdGU+PENpdGU+PEF1dGhvcj5NZWllcjwvQXV0aG9yPjxZZWFyPjIwMDI8L1llYXI+PFJl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=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PEVuZE5vdGU+PENpdGU+PEF1dGhvcj5NZWllcjwvQXV0aG9yPjxZZWFyPjIwMDI8L1llYXI+PFJl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=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(Meier et al., 2002, Vilsbøll et al., 2003)</w:t>
      </w:r>
      <w:r>
        <w:rPr>
          <w:rFonts w:ascii="Arial" w:hAnsi="Arial" w:cs="Calibri"/>
          <w:bCs/>
          <w:color w:val="000000"/>
        </w:rPr>
        <w:fldChar w:fldCharType="end"/>
      </w:r>
      <w:r>
        <w:rPr>
          <w:rFonts w:ascii="Arial" w:hAnsi="Arial" w:cs="Calibri"/>
          <w:bCs/>
          <w:color w:val="000000"/>
        </w:rPr>
        <w:t xml:space="preserve">. Dietary fat and carbohydrates are the main stimuli for GIP secretion </w:t>
      </w:r>
      <w:r>
        <w:rPr>
          <w:rFonts w:ascii="Arial" w:hAnsi="Arial" w:cs="Calibri"/>
          <w:bCs/>
          <w:color w:val="000000"/>
        </w:rPr>
        <w:fldChar w:fldCharType="begin">
          <w:fldData xml:space="preserve">PEVuZE5vdGU+PENpdGU+PEF1dGhvcj5FbGxpb3R0PC9BdXRob3I+PFllYXI+MTk5MzwvWWVhcj48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</w:fldData>
        </w:fldChar>
      </w:r>
      <w:r w:rsidR="00651EFF">
        <w:rPr>
          <w:rFonts w:ascii="Arial" w:hAnsi="Arial" w:cs="Calibri"/>
          <w:bCs/>
          <w:color w:val="000000"/>
        </w:rPr>
        <w:instrText xml:space="preserve"> ADDIN EN.CITE </w:instrText>
      </w:r>
      <w:r w:rsidR="00651EFF">
        <w:rPr>
          <w:rFonts w:ascii="Arial" w:hAnsi="Arial" w:cs="Calibri"/>
          <w:bCs/>
          <w:color w:val="000000"/>
        </w:rPr>
        <w:fldChar w:fldCharType="begin">
          <w:fldData xml:space="preserve">PEVuZE5vdGU+PENpdGU+PEF1dGhvcj5FbGxpb3R0PC9BdXRob3I+PFllYXI+MTk5MzwvWWVhcj48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</w:fldData>
        </w:fldChar>
      </w:r>
      <w:r w:rsidR="00651EFF">
        <w:rPr>
          <w:rFonts w:ascii="Arial" w:hAnsi="Arial" w:cs="Calibri"/>
          <w:bCs/>
          <w:color w:val="000000"/>
        </w:rPr>
        <w:instrText xml:space="preserve"> ADDIN EN.CITE.DATA </w:instrText>
      </w:r>
      <w:r w:rsidR="00651EFF">
        <w:rPr>
          <w:rFonts w:ascii="Arial" w:hAnsi="Arial" w:cs="Calibri"/>
          <w:bCs/>
          <w:color w:val="000000"/>
        </w:rPr>
      </w:r>
      <w:r w:rsidR="00651EFF">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(Elliott et al., 1993, Herrmann et al., 1995)</w:t>
      </w:r>
      <w:r>
        <w:rPr>
          <w:rFonts w:ascii="Arial" w:hAnsi="Arial" w:cs="Calibri"/>
          <w:bCs/>
          <w:color w:val="000000"/>
        </w:rPr>
        <w:fldChar w:fldCharType="end"/>
      </w:r>
      <w:r>
        <w:rPr>
          <w:rFonts w:ascii="Arial" w:hAnsi="Arial" w:cs="Calibri"/>
          <w:bCs/>
          <w:color w:val="000000"/>
        </w:rPr>
        <w:t xml:space="preserve">. </w:t>
      </w:r>
      <w:r w:rsidR="003D06A5">
        <w:rPr>
          <w:rFonts w:ascii="Arial" w:hAnsi="Arial" w:cs="Calibri"/>
          <w:bCs/>
          <w:color w:val="000000"/>
        </w:rPr>
        <w:t>As an</w:t>
      </w:r>
      <w:r>
        <w:rPr>
          <w:rFonts w:ascii="Arial" w:hAnsi="Arial" w:cs="Calibri"/>
          <w:bCs/>
          <w:color w:val="000000"/>
        </w:rPr>
        <w:t xml:space="preserve"> insulinotropic hormone</w:t>
      </w:r>
      <w:r w:rsidR="003D06A5">
        <w:rPr>
          <w:rFonts w:ascii="Arial" w:hAnsi="Arial" w:cs="Calibri"/>
          <w:bCs/>
          <w:color w:val="000000"/>
        </w:rPr>
        <w:t>, GIP is</w:t>
      </w:r>
      <w:r>
        <w:rPr>
          <w:rFonts w:ascii="Arial" w:hAnsi="Arial" w:cs="Calibri"/>
          <w:bCs/>
          <w:color w:val="000000"/>
        </w:rPr>
        <w:t xml:space="preserve"> involved in the stimulation of meal-induced pancreatic insulin secretion </w:t>
      </w:r>
      <w:r w:rsidR="00E3345E">
        <w:rPr>
          <w:rFonts w:ascii="Arial" w:hAnsi="Arial" w:cs="Calibri"/>
          <w:bCs/>
          <w:color w:val="000000"/>
        </w:rPr>
        <w:fldChar w:fldCharType="begin"/>
      </w:r>
      <w:r w:rsidR="0000415D">
        <w:rPr>
          <w:rFonts w:ascii="Arial" w:hAnsi="Arial" w:cs="Calibri"/>
          <w:bCs/>
          <w:color w:val="000000"/>
        </w:rPr>
        <w:instrText xml:space="preserve"> ADDIN EN.CITE &lt;EndNote&gt;&lt;Cite&gt;&lt;Author&gt;Nauck&lt;/Author&gt;&lt;Year&gt;1993&lt;/Year&gt;&lt;RecNum&gt;384&lt;/RecNum&gt;&lt;DisplayText&gt;(Nauck et al., 1993)&lt;/DisplayText&gt;&lt;record&gt;&lt;rec-number&gt;384&lt;/rec-number&gt;&lt;foreign-keys&gt;&lt;key app="EN" db-id="ae9rewfrpdttrheppfxxv0p4950wpd25r09x" timestamp="1520658301"&gt;384&lt;/key&gt;&lt;/foreign-keys&gt;&lt;ref-type name="Journal Article"&gt;17&lt;/ref-type&gt;&lt;contributors&gt;&lt;authors&gt;&lt;author&gt;Nauck, M. A.&lt;/author&gt;&lt;author&gt;Bartels, E.&lt;/author&gt;&lt;author&gt;Orskov, C.&lt;/author&gt;&lt;author&gt;Ebert, R.&lt;/author&gt;&lt;author&gt;Creutzfeldt, W.&lt;/author&gt;&lt;/authors&gt;&lt;/contributors&gt;&lt;titles&gt;&lt;title&gt;Additive Insulinotropic Effects Of Exogenous Synthetic Human Gastric- Inhibitory Polypeptide And Glucagon- Like Peptide- 1-( 7- 36) Amide Infused At Near- Physiological Insulinotropic Hormone And Glucose- Concentrations&lt;/title&gt;&lt;secondary-title&gt;Journal of Clinical Endocrinology and Metabolism&lt;/secondary-title&gt;&lt;/titles&gt;&lt;periodical&gt;&lt;full-title&gt;Journal of Clinical Endocrinology and Metabolism&lt;/full-title&gt;&lt;/periodical&gt;&lt;pages&gt;912-917&lt;/pages&gt;&lt;volume&gt;76&lt;/volume&gt;&lt;number&gt;4&lt;/number&gt;&lt;dates&gt;&lt;year&gt;1993&lt;/year&gt;&lt;/dates&gt;&lt;isbn&gt;0021-972X&lt;/isbn&gt;&lt;urls&gt;&lt;/urls&gt;&lt;/record&gt;&lt;/Cite&gt;&lt;/EndNote&gt;</w:instrText>
      </w:r>
      <w:r w:rsidR="00E3345E">
        <w:rPr>
          <w:rFonts w:ascii="Arial" w:hAnsi="Arial" w:cs="Calibri"/>
          <w:bCs/>
          <w:color w:val="000000"/>
        </w:rPr>
        <w:fldChar w:fldCharType="separate"/>
      </w:r>
      <w:r w:rsidR="00E3345E">
        <w:rPr>
          <w:rFonts w:ascii="Arial" w:hAnsi="Arial" w:cs="Calibri"/>
          <w:bCs/>
          <w:noProof/>
          <w:color w:val="000000"/>
        </w:rPr>
        <w:t>(Nauck et al., 1993)</w:t>
      </w:r>
      <w:r w:rsidR="00E3345E">
        <w:rPr>
          <w:rFonts w:ascii="Arial" w:hAnsi="Arial" w:cs="Calibri"/>
          <w:bCs/>
          <w:color w:val="000000"/>
        </w:rPr>
        <w:fldChar w:fldCharType="end"/>
      </w:r>
      <w:r w:rsidR="00E3345E">
        <w:rPr>
          <w:rFonts w:ascii="Arial" w:hAnsi="Arial" w:cs="Calibri"/>
          <w:bCs/>
          <w:color w:val="000000"/>
        </w:rPr>
        <w:t xml:space="preserve">. </w:t>
      </w:r>
      <w:r>
        <w:rPr>
          <w:rFonts w:ascii="Arial" w:hAnsi="Arial" w:cs="Calibri"/>
          <w:bCs/>
          <w:color w:val="000000"/>
        </w:rPr>
        <w:t>Although proteins may have no effect on GIP concentrations, it was previously shown that administration of amino acids into the d</w:t>
      </w:r>
      <w:r w:rsidR="00E3345E">
        <w:rPr>
          <w:rFonts w:ascii="Arial" w:hAnsi="Arial" w:cs="Calibri"/>
          <w:bCs/>
          <w:color w:val="000000"/>
        </w:rPr>
        <w:t xml:space="preserve">uodenum stimulated GIP release </w:t>
      </w:r>
      <w:r w:rsidR="00E3345E">
        <w:rPr>
          <w:rFonts w:ascii="Arial" w:hAnsi="Arial" w:cs="Calibri"/>
          <w:bCs/>
          <w:color w:val="000000"/>
        </w:rPr>
        <w:fldChar w:fldCharType="begin"/>
      </w:r>
      <w:r w:rsidR="00A108A1">
        <w:rPr>
          <w:rFonts w:ascii="Arial" w:hAnsi="Arial" w:cs="Calibri"/>
          <w:bCs/>
          <w:color w:val="000000"/>
        </w:rPr>
        <w:instrText xml:space="preserve"> ADDIN EN.CITE &lt;EndNote&gt;&lt;Cite&gt;&lt;Author&gt;Thomas&lt;/Author&gt;&lt;Year&gt;1976&lt;/Year&gt;&lt;RecNum&gt;385&lt;/RecNum&gt;&lt;DisplayText&gt;(Thomas et al., 1976)&lt;/DisplayText&gt;&lt;record&gt;&lt;rec-number&gt;385&lt;/rec-number&gt;&lt;foreign-keys&gt;&lt;key app="EN" db-id="ae9rewfrpdttrheppfxxv0p4950wpd25r09x" timestamp="1520658301"&gt;385&lt;/key&gt;&lt;/foreign-keys&gt;&lt;ref-type name="Journal Article"&gt;17&lt;/ref-type&gt;&lt;contributors&gt;&lt;authors&gt;&lt;author&gt;Thomas, F. B.&lt;/author&gt;&lt;author&gt;Mazzaferri, E. L.&lt;/author&gt;&lt;author&gt;Crockett, S. E.&lt;/author&gt;&lt;author&gt;Mekhjian, H. S.&lt;/author&gt;&lt;author&gt;Gruemer, H. D.&lt;/author&gt;&lt;author&gt;Cataland, S.&lt;/author&gt;&lt;/authors&gt;&lt;/contributors&gt;&lt;titles&gt;&lt;title&gt;Stimulation of secretion of gastric inhibitory polypeptide and insulin by intraduodenal amino acid perfusion&lt;/title&gt;&lt;secondary-title&gt;Gastroenterology.&lt;/secondary-title&gt;&lt;/titles&gt;&lt;periodical&gt;&lt;full-title&gt;Gastroenterology.&lt;/full-title&gt;&lt;/periodical&gt;&lt;pages&gt;523-527&lt;/pages&gt;&lt;volume&gt;70&lt;/volume&gt;&lt;number&gt;4&lt;/number&gt;&lt;dates&gt;&lt;year&gt;1976&lt;/year&gt;&lt;/dates&gt;&lt;isbn&gt;0016-5085&lt;/isbn&gt;&lt;urls&gt;&lt;/urls&gt;&lt;/record&gt;&lt;/Cite&gt;&lt;/EndNote&gt;</w:instrText>
      </w:r>
      <w:r w:rsidR="00E3345E">
        <w:rPr>
          <w:rFonts w:ascii="Arial" w:hAnsi="Arial" w:cs="Calibri"/>
          <w:bCs/>
          <w:color w:val="000000"/>
        </w:rPr>
        <w:fldChar w:fldCharType="separate"/>
      </w:r>
      <w:r w:rsidR="00E3345E">
        <w:rPr>
          <w:rFonts w:ascii="Arial" w:hAnsi="Arial" w:cs="Calibri"/>
          <w:bCs/>
          <w:noProof/>
          <w:color w:val="000000"/>
        </w:rPr>
        <w:t>(Thomas et al., 1976)</w:t>
      </w:r>
      <w:r w:rsidR="00E3345E">
        <w:rPr>
          <w:rFonts w:ascii="Arial" w:hAnsi="Arial" w:cs="Calibri"/>
          <w:bCs/>
          <w:color w:val="000000"/>
        </w:rPr>
        <w:fldChar w:fldCharType="end"/>
      </w:r>
      <w:r>
        <w:rPr>
          <w:rFonts w:ascii="Arial" w:hAnsi="Arial" w:cs="Calibri"/>
          <w:bCs/>
          <w:color w:val="000000"/>
        </w:rPr>
        <w:t xml:space="preserve">. Postprandially GIP is involved in the lipid metabolism and exerts its anabolic effects by stimulating lipoprotein lipase activity to incorporate fatty acids into the adipose tissue </w:t>
      </w:r>
      <w:r w:rsidR="00A05125">
        <w:rPr>
          <w:rFonts w:ascii="Arial" w:hAnsi="Arial" w:cs="Calibri"/>
          <w:bCs/>
          <w:color w:val="000000"/>
        </w:rPr>
        <w:fldChar w:fldCharType="begin"/>
      </w:r>
      <w:r w:rsidR="00B97465">
        <w:rPr>
          <w:rFonts w:ascii="Arial" w:hAnsi="Arial" w:cs="Calibri"/>
          <w:bCs/>
          <w:color w:val="000000"/>
        </w:rPr>
        <w:instrText xml:space="preserve"> ADDIN EN.CITE &lt;EndNote&gt;&lt;Cite&gt;&lt;Author&gt;Fujimoto&lt;/Author&gt;&lt;Year&gt;1979&lt;/Year&gt;&lt;RecNum&gt;386&lt;/RecNum&gt;&lt;DisplayText&gt;(Fujimoto et al., 1979, Beck and Max, 1983)&lt;/DisplayText&gt;&lt;record&gt;&lt;rec-number&gt;386&lt;/rec-number&gt;&lt;foreign-keys&gt;&lt;key app="EN" db-id="ae9rewfrpdttrheppfxxv0p4950wpd25r09x" timestamp="1520658301"&gt;386&lt;/key&gt;&lt;/foreign-keys&gt;&lt;ref-type name="Journal Article"&gt;17&lt;/ref-type&gt;&lt;contributors&gt;&lt;authors&gt;&lt;author&gt;Fujimoto, W. Y.&lt;/author&gt;&lt;author&gt;Brunzell, J. D.&lt;/author&gt;&lt;author&gt;Eckel, R. H.&lt;/author&gt;&lt;/authors&gt;&lt;/contributors&gt;&lt;titles&gt;&lt;title&gt;Gastric inhibitory polypeptide enhanced lipoprotein lipase activity in cultured preadipocytes&lt;/title&gt;&lt;secondary-title&gt;Diabetes.&lt;/secondary-title&gt;&lt;/titles&gt;&lt;periodical&gt;&lt;full-title&gt;Diabetes.&lt;/full-title&gt;&lt;/periodical&gt;&lt;pages&gt;1141-1142&lt;/pages&gt;&lt;volume&gt;28&lt;/volume&gt;&lt;number&gt;12&lt;/number&gt;&lt;dates&gt;&lt;year&gt;1979&lt;/year&gt;&lt;/dates&gt;&lt;isbn&gt;0012-1797&lt;/isbn&gt;&lt;urls&gt;&lt;/urls&gt;&lt;electronic-resource-num&gt;10.2337/diabetes.28.12.1141&amp;#xD;info:doi/10.2337/diabetes.28.12.1141&lt;/electronic-resource-num&gt;&lt;/record&gt;&lt;/Cite&gt;&lt;Cite&gt;&lt;Author&gt;Beck&lt;/Author&gt;&lt;Year&gt;1983&lt;/Year&gt;&lt;RecNum&gt;387&lt;/RecNum&gt;&lt;record&gt;&lt;rec-number&gt;387&lt;/rec-number&gt;&lt;foreign-keys&gt;&lt;key app="EN" db-id="ae9rewfrpdttrheppfxxv0p4950wpd25r09x" timestamp="1520658301"&gt;387&lt;/key&gt;&lt;/foreign-keys&gt;&lt;ref-type name="Journal Article"&gt;17&lt;/ref-type&gt;&lt;contributors&gt;&lt;authors&gt;&lt;author&gt;Beck, Bernard&lt;/author&gt;&lt;author&gt;Max, Jean-Pierre&lt;/author&gt;&lt;/authors&gt;&lt;/contributors&gt;&lt;titles&gt;&lt;title&gt;Gastric inhibitory polypeptide enhancement of the insulin effect on fatty acid incorporation into adipose tissue in the rat&lt;/title&gt;&lt;secondary-title&gt;Regulatory Peptides&lt;/secondary-title&gt;&lt;/titles&gt;&lt;periodical&gt;&lt;full-title&gt;Regulatory Peptides&lt;/full-title&gt;&lt;/periodical&gt;&lt;pages&gt;3-8&lt;/pages&gt;&lt;volume&gt;7&lt;/volume&gt;&lt;number&gt;1&lt;/number&gt;&lt;dates&gt;&lt;year&gt;1983&lt;/year&gt;&lt;/dates&gt;&lt;pub-location&gt;Amsterdam :&lt;/pub-location&gt;&lt;isbn&gt;0167-0115&lt;/isbn&gt;&lt;urls&gt;&lt;/urls&gt;&lt;electronic-resource-num&gt;10.1016/0167-0115(83)90276-8&amp;#xD;info:doi/10.1016/0167-0115(83)90276-8&lt;/electronic-resource-num&gt;&lt;/record&gt;&lt;/Cite&gt;&lt;/EndNote&gt;</w:instrText>
      </w:r>
      <w:r w:rsidR="00A05125">
        <w:rPr>
          <w:rFonts w:ascii="Arial" w:hAnsi="Arial" w:cs="Calibri"/>
          <w:bCs/>
          <w:color w:val="000000"/>
        </w:rPr>
        <w:fldChar w:fldCharType="separate"/>
      </w:r>
      <w:r w:rsidR="005464BC">
        <w:rPr>
          <w:rFonts w:ascii="Arial" w:hAnsi="Arial" w:cs="Calibri"/>
          <w:bCs/>
          <w:noProof/>
          <w:color w:val="000000"/>
        </w:rPr>
        <w:t>(Fujimoto et al., 1979, Beck and Max, 1983)</w:t>
      </w:r>
      <w:r w:rsidR="00A05125">
        <w:rPr>
          <w:rFonts w:ascii="Arial" w:hAnsi="Arial" w:cs="Calibri"/>
          <w:bCs/>
          <w:color w:val="000000"/>
        </w:rPr>
        <w:fldChar w:fldCharType="end"/>
      </w:r>
      <w:r w:rsidR="00A05125">
        <w:rPr>
          <w:rFonts w:ascii="Arial" w:hAnsi="Arial" w:cs="Calibri"/>
          <w:bCs/>
          <w:color w:val="000000"/>
        </w:rPr>
        <w:t>.</w:t>
      </w:r>
      <w:r>
        <w:rPr>
          <w:rFonts w:ascii="Arial" w:hAnsi="Arial" w:cs="Calibri"/>
          <w:bCs/>
          <w:color w:val="000000"/>
        </w:rPr>
        <w:t xml:space="preserve"> </w:t>
      </w:r>
    </w:p>
    <w:p w14:paraId="700281E5" w14:textId="77777777" w:rsidR="007B76C3" w:rsidRPr="0008605F" w:rsidRDefault="007B76C3" w:rsidP="008858B1">
      <w:pPr>
        <w:pStyle w:val="Heading3"/>
        <w:spacing w:line="480" w:lineRule="auto"/>
        <w:jc w:val="both"/>
        <w:rPr>
          <w:rFonts w:ascii="Arial" w:hAnsi="Arial" w:cs="Arial"/>
          <w:color w:val="auto"/>
        </w:rPr>
      </w:pPr>
      <w:bookmarkStart w:id="33" w:name="_Toc383723856"/>
      <w:r w:rsidRPr="0008605F">
        <w:rPr>
          <w:rFonts w:ascii="Arial" w:hAnsi="Arial" w:cs="Arial"/>
          <w:color w:val="auto"/>
        </w:rPr>
        <w:t>1.4.6 GLP1</w:t>
      </w:r>
      <w:bookmarkEnd w:id="33"/>
      <w:r w:rsidRPr="0008605F">
        <w:rPr>
          <w:rFonts w:ascii="Arial" w:hAnsi="Arial" w:cs="Arial"/>
          <w:color w:val="auto"/>
        </w:rPr>
        <w:t xml:space="preserve"> </w:t>
      </w:r>
    </w:p>
    <w:p w14:paraId="2B3E32F7" w14:textId="77777777" w:rsidR="007B76C3" w:rsidRDefault="007B76C3" w:rsidP="007B76C3">
      <w:pPr>
        <w:spacing w:line="480" w:lineRule="auto"/>
        <w:jc w:val="both"/>
        <w:rPr>
          <w:rFonts w:ascii="Arial" w:hAnsi="Arial" w:cs="Calibri"/>
          <w:bCs/>
          <w:color w:val="000000"/>
        </w:rPr>
      </w:pPr>
      <w:r w:rsidRPr="00696C9D">
        <w:rPr>
          <w:rFonts w:ascii="Arial" w:hAnsi="Arial" w:cs="Calibri"/>
          <w:bCs/>
          <w:color w:val="000000"/>
        </w:rPr>
        <w:t>GLP1</w:t>
      </w:r>
      <w:r>
        <w:rPr>
          <w:rFonts w:ascii="Arial" w:hAnsi="Arial" w:cs="Calibri"/>
          <w:b/>
          <w:bCs/>
          <w:color w:val="000000"/>
        </w:rPr>
        <w:t xml:space="preserve"> </w:t>
      </w:r>
      <w:r w:rsidRPr="00D668F2">
        <w:rPr>
          <w:rFonts w:ascii="Arial" w:hAnsi="Arial" w:cs="Calibri"/>
          <w:bCs/>
          <w:color w:val="000000"/>
        </w:rPr>
        <w:t>(</w:t>
      </w:r>
      <w:r>
        <w:rPr>
          <w:rFonts w:ascii="Arial" w:hAnsi="Arial" w:cs="Calibri"/>
          <w:bCs/>
          <w:color w:val="000000"/>
        </w:rPr>
        <w:t>glucagon-like peptide 1) is an incretin hormone</w:t>
      </w:r>
      <w:r>
        <w:rPr>
          <w:rStyle w:val="FootnoteReference"/>
          <w:rFonts w:ascii="Arial" w:hAnsi="Arial" w:cs="Calibri"/>
          <w:bCs/>
          <w:color w:val="000000"/>
        </w:rPr>
        <w:footnoteReference w:id="2"/>
      </w:r>
      <w:r>
        <w:rPr>
          <w:rFonts w:ascii="Arial" w:hAnsi="Arial" w:cs="Calibri"/>
          <w:bCs/>
          <w:color w:val="000000"/>
        </w:rPr>
        <w:t xml:space="preserve"> secreted from intestinal L cells. It is</w:t>
      </w:r>
      <w:r w:rsidRPr="004C7830">
        <w:rPr>
          <w:rFonts w:ascii="Arial" w:hAnsi="Arial" w:cs="Calibri"/>
          <w:bCs/>
          <w:color w:val="000000"/>
        </w:rPr>
        <w:t xml:space="preserve"> cleaved from proglucagon </w:t>
      </w:r>
      <w:r>
        <w:rPr>
          <w:rFonts w:ascii="Arial" w:hAnsi="Arial" w:cs="Calibri"/>
          <w:bCs/>
          <w:color w:val="000000"/>
        </w:rPr>
        <w:t xml:space="preserve">protein expressed in the brain, intestines </w:t>
      </w:r>
      <w:r w:rsidRPr="004C7830">
        <w:rPr>
          <w:rFonts w:ascii="Arial" w:hAnsi="Arial" w:cs="Calibri"/>
          <w:bCs/>
          <w:color w:val="000000"/>
        </w:rPr>
        <w:t xml:space="preserve">and pancreas. This process gives end products including glicentin, </w:t>
      </w:r>
      <w:r>
        <w:rPr>
          <w:rFonts w:ascii="Arial" w:hAnsi="Arial" w:cs="Calibri"/>
          <w:bCs/>
          <w:color w:val="000000"/>
        </w:rPr>
        <w:t xml:space="preserve">oxyntomodulin, glucagon, </w:t>
      </w:r>
      <w:r w:rsidRPr="004C7830">
        <w:rPr>
          <w:rFonts w:ascii="Arial" w:hAnsi="Arial" w:cs="Calibri"/>
          <w:bCs/>
          <w:color w:val="000000"/>
        </w:rPr>
        <w:t xml:space="preserve">GLP1 and </w:t>
      </w:r>
      <w:r w:rsidRPr="00141905">
        <w:rPr>
          <w:rFonts w:ascii="Arial" w:hAnsi="Arial" w:cs="Calibri"/>
          <w:bCs/>
          <w:color w:val="000000"/>
        </w:rPr>
        <w:t xml:space="preserve">GLP2 </w:t>
      </w:r>
      <w:r w:rsidRPr="004C7830">
        <w:rPr>
          <w:rFonts w:ascii="Arial" w:hAnsi="Arial" w:cs="Calibri"/>
          <w:bCs/>
          <w:color w:val="000000"/>
        </w:rPr>
        <w:t xml:space="preserve">(glucagon-like peptide 2) </w:t>
      </w:r>
      <w:r>
        <w:rPr>
          <w:rFonts w:ascii="Arial" w:hAnsi="Arial" w:cs="Calibri"/>
          <w:bCs/>
          <w:color w:val="000000"/>
        </w:rPr>
        <w:fldChar w:fldCharType="begin"/>
      </w:r>
      <w:r w:rsidR="00A108A1">
        <w:rPr>
          <w:rFonts w:ascii="Arial" w:hAnsi="Arial" w:cs="Calibri"/>
          <w:bCs/>
          <w:color w:val="000000"/>
        </w:rPr>
        <w:instrText xml:space="preserve"> ADDIN EN.CITE &lt;EndNote&gt;&lt;Cite&gt;&lt;Author&gt;Drucker&lt;/Author&gt;&lt;Year&gt;2006&lt;/Year&gt;&lt;RecNum&gt;389&lt;/RecNum&gt;&lt;DisplayText&gt;(Drucker, 2006)&lt;/DisplayText&gt;&lt;record&gt;&lt;rec-number&gt;389&lt;/rec-number&gt;&lt;foreign-keys&gt;&lt;key app="EN" db-id="ae9rewfrpdttrheppfxxv0p4950wpd25r09x" timestamp="1520658301"&gt;389&lt;/key&gt;&lt;/foreign-keys&gt;&lt;ref-type name="Journal Article"&gt;17&lt;/ref-type&gt;&lt;contributors&gt;&lt;authors&gt;&lt;author&gt;Drucker, Daniel J.&lt;/author&gt;&lt;/authors&gt;&lt;/contributors&gt;&lt;titles&gt;&lt;title&gt;The biology of incretin hormones&lt;/title&gt;&lt;secondary-title&gt;Cell Metabolism&lt;/secondary-title&gt;&lt;/titles&gt;&lt;periodical&gt;&lt;full-title&gt;Cell metabolism&lt;/full-title&gt;&lt;/periodical&gt;&lt;pages&gt;153-165&lt;/pages&gt;&lt;volume&gt;3&lt;/volume&gt;&lt;number&gt;3&lt;/number&gt;&lt;keywords&gt;&lt;keyword&gt;Peptide Hormones&lt;/keyword&gt;&lt;keyword&gt;Glucagon&lt;/keyword&gt;&lt;keyword&gt;Type 2 Diabetes&lt;/keyword&gt;&lt;keyword&gt;Blood Glucose&lt;/keyword&gt;&lt;keyword&gt;Polypeptides&lt;/keyword&gt;&lt;/keywords&gt;&lt;dates&gt;&lt;year&gt;2006&lt;/year&gt;&lt;/dates&gt;&lt;isbn&gt;1550-4131&lt;/isbn&gt;&lt;urls&gt;&lt;/urls&gt;&lt;electronic-resource-num&gt;10.1016/j.cmet.2006.01.004&lt;/electronic-resource-num&gt;&lt;/record&gt;&lt;/Cite&gt;&lt;/EndNote&gt;</w:instrText>
      </w:r>
      <w:r>
        <w:rPr>
          <w:rFonts w:ascii="Arial" w:hAnsi="Arial" w:cs="Calibri"/>
          <w:bCs/>
          <w:color w:val="000000"/>
        </w:rPr>
        <w:fldChar w:fldCharType="separate"/>
      </w:r>
      <w:r>
        <w:rPr>
          <w:rFonts w:ascii="Arial" w:hAnsi="Arial" w:cs="Calibri"/>
          <w:bCs/>
          <w:noProof/>
          <w:color w:val="000000"/>
        </w:rPr>
        <w:t>(Drucker, 2006)</w:t>
      </w:r>
      <w:r>
        <w:rPr>
          <w:rFonts w:ascii="Arial" w:hAnsi="Arial" w:cs="Calibri"/>
          <w:bCs/>
          <w:color w:val="000000"/>
        </w:rPr>
        <w:fldChar w:fldCharType="end"/>
      </w:r>
      <w:r>
        <w:rPr>
          <w:rFonts w:ascii="Arial" w:hAnsi="Arial" w:cs="Calibri"/>
          <w:bCs/>
          <w:color w:val="000000"/>
        </w:rPr>
        <w:t xml:space="preserve">. GLP1 receptors are expressed in brainstem, hypothalamic arcuate and paraventricular nucleus (PVN), gut, pancreas and vagal afferent nerves </w:t>
      </w:r>
      <w:r w:rsidR="005464BC">
        <w:rPr>
          <w:rFonts w:ascii="Arial" w:hAnsi="Arial" w:cs="Calibri"/>
          <w:bCs/>
          <w:color w:val="000000"/>
        </w:rPr>
        <w:fldChar w:fldCharType="begin">
          <w:fldData xml:space="preserve">PEVuZE5vdGU+PENpdGU+PEF1dGhvcj5UdXJ0b248L0F1dGhvcj48WWVhcj4xOTk2PC9ZZWFyPjxS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PEVuZE5vdGU+PENpdGU+PEF1dGhvcj5UdXJ0b248L0F1dGhvcj48WWVhcj4xOTk2PC9ZZWFyPjxS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sidR="005464BC">
        <w:rPr>
          <w:rFonts w:ascii="Arial" w:hAnsi="Arial" w:cs="Calibri"/>
          <w:bCs/>
          <w:color w:val="000000"/>
        </w:rPr>
      </w:r>
      <w:r w:rsidR="005464BC">
        <w:rPr>
          <w:rFonts w:ascii="Arial" w:hAnsi="Arial" w:cs="Calibri"/>
          <w:bCs/>
          <w:color w:val="000000"/>
        </w:rPr>
        <w:fldChar w:fldCharType="separate"/>
      </w:r>
      <w:r w:rsidR="005464BC">
        <w:rPr>
          <w:rFonts w:ascii="Arial" w:hAnsi="Arial" w:cs="Calibri"/>
          <w:bCs/>
          <w:noProof/>
          <w:color w:val="000000"/>
        </w:rPr>
        <w:t>(Turton et al., 1996, Drucker, 2006)</w:t>
      </w:r>
      <w:r w:rsidR="005464BC">
        <w:rPr>
          <w:rFonts w:ascii="Arial" w:hAnsi="Arial" w:cs="Calibri"/>
          <w:bCs/>
          <w:color w:val="000000"/>
        </w:rPr>
        <w:fldChar w:fldCharType="end"/>
      </w:r>
      <w:r w:rsidR="005464BC">
        <w:rPr>
          <w:rFonts w:ascii="Arial" w:hAnsi="Arial" w:cs="Calibri"/>
          <w:bCs/>
          <w:color w:val="000000"/>
        </w:rPr>
        <w:t>.</w:t>
      </w:r>
      <w:r>
        <w:rPr>
          <w:rFonts w:ascii="Arial" w:hAnsi="Arial" w:cs="Calibri"/>
          <w:bCs/>
          <w:color w:val="000000"/>
        </w:rPr>
        <w:t xml:space="preserve"> </w:t>
      </w:r>
    </w:p>
    <w:p w14:paraId="0C36027A" w14:textId="77777777" w:rsidR="007B76C3" w:rsidRDefault="007B76C3" w:rsidP="007B76C3">
      <w:pPr>
        <w:spacing w:line="480" w:lineRule="auto"/>
        <w:jc w:val="both"/>
        <w:rPr>
          <w:rFonts w:ascii="Arial" w:hAnsi="Arial" w:cs="Calibri"/>
          <w:bCs/>
          <w:color w:val="000000"/>
        </w:rPr>
      </w:pPr>
    </w:p>
    <w:p w14:paraId="0F09C682" w14:textId="77777777" w:rsidR="00D34460" w:rsidRDefault="007B76C3" w:rsidP="007B76C3">
      <w:pPr>
        <w:spacing w:line="480" w:lineRule="auto"/>
        <w:jc w:val="both"/>
        <w:rPr>
          <w:rFonts w:ascii="Arial" w:hAnsi="Arial" w:cs="Calibri"/>
          <w:bCs/>
          <w:color w:val="000000"/>
        </w:rPr>
      </w:pPr>
      <w:r>
        <w:rPr>
          <w:rFonts w:ascii="Arial" w:hAnsi="Arial" w:cs="Calibri"/>
          <w:bCs/>
          <w:color w:val="000000"/>
        </w:rPr>
        <w:t xml:space="preserve">Meal-anticipatory cephalic secretion of </w:t>
      </w:r>
      <w:r w:rsidRPr="00E7696D">
        <w:rPr>
          <w:rFonts w:ascii="Arial" w:hAnsi="Arial" w:cs="Calibri"/>
          <w:bCs/>
          <w:color w:val="000000"/>
        </w:rPr>
        <w:t xml:space="preserve">GLP1 </w:t>
      </w:r>
      <w:r>
        <w:rPr>
          <w:rFonts w:ascii="Arial" w:hAnsi="Arial" w:cs="Calibri"/>
          <w:bCs/>
          <w:color w:val="000000"/>
        </w:rPr>
        <w:t xml:space="preserve">peaks </w:t>
      </w:r>
      <w:r w:rsidRPr="00E7696D">
        <w:rPr>
          <w:rFonts w:ascii="Arial" w:hAnsi="Arial" w:cs="Calibri"/>
          <w:bCs/>
          <w:color w:val="000000"/>
        </w:rPr>
        <w:t xml:space="preserve">around </w:t>
      </w:r>
      <w:r w:rsidR="00154B14">
        <w:rPr>
          <w:rFonts w:ascii="Arial" w:hAnsi="Arial" w:cs="Calibri"/>
          <w:bCs/>
          <w:color w:val="000000"/>
        </w:rPr>
        <w:t>1</w:t>
      </w:r>
      <w:r>
        <w:rPr>
          <w:rFonts w:ascii="Arial" w:hAnsi="Arial" w:cs="Calibri"/>
          <w:bCs/>
          <w:color w:val="000000"/>
        </w:rPr>
        <w:t>h</w:t>
      </w:r>
      <w:r w:rsidRPr="00E7696D">
        <w:rPr>
          <w:rFonts w:ascii="Arial" w:hAnsi="Arial" w:cs="Calibri"/>
          <w:bCs/>
          <w:color w:val="000000"/>
        </w:rPr>
        <w:t xml:space="preserve"> before the</w:t>
      </w:r>
      <w:r>
        <w:rPr>
          <w:rFonts w:ascii="Arial" w:hAnsi="Arial" w:cs="Calibri"/>
          <w:bCs/>
          <w:color w:val="000000"/>
        </w:rPr>
        <w:t xml:space="preserve"> anticipated meal, </w:t>
      </w:r>
      <w:r w:rsidRPr="00E7696D">
        <w:rPr>
          <w:rFonts w:ascii="Arial" w:hAnsi="Arial" w:cs="Calibri"/>
          <w:bCs/>
          <w:color w:val="000000"/>
        </w:rPr>
        <w:t>then decline</w:t>
      </w:r>
      <w:r>
        <w:rPr>
          <w:rFonts w:ascii="Arial" w:hAnsi="Arial" w:cs="Calibri"/>
          <w:bCs/>
          <w:color w:val="000000"/>
        </w:rPr>
        <w:t>s</w:t>
      </w:r>
      <w:r w:rsidRPr="00E7696D">
        <w:rPr>
          <w:rFonts w:ascii="Arial" w:hAnsi="Arial" w:cs="Calibri"/>
          <w:bCs/>
          <w:color w:val="000000"/>
        </w:rPr>
        <w:t xml:space="preserve"> to </w:t>
      </w:r>
      <w:r w:rsidRPr="00C97813">
        <w:rPr>
          <w:rFonts w:ascii="Arial" w:hAnsi="Arial" w:cs="Calibri"/>
          <w:bCs/>
          <w:color w:val="000000"/>
        </w:rPr>
        <w:t>baseline by meal time with levels increasing rapidl</w:t>
      </w:r>
      <w:r w:rsidR="00161FEA">
        <w:rPr>
          <w:rFonts w:ascii="Arial" w:hAnsi="Arial" w:cs="Calibri"/>
          <w:bCs/>
          <w:color w:val="000000"/>
        </w:rPr>
        <w:t xml:space="preserve">y as eating commences (Figure </w:t>
      </w:r>
      <w:r>
        <w:rPr>
          <w:rFonts w:ascii="Arial" w:hAnsi="Arial" w:cs="Calibri"/>
          <w:bCs/>
          <w:color w:val="000000"/>
        </w:rPr>
        <w:t>10</w:t>
      </w:r>
      <w:r w:rsidRPr="00C97813">
        <w:rPr>
          <w:rFonts w:ascii="Arial" w:hAnsi="Arial" w:cs="Calibri"/>
          <w:bCs/>
          <w:color w:val="000000"/>
        </w:rPr>
        <w:t>)</w:t>
      </w:r>
      <w:r>
        <w:rPr>
          <w:rFonts w:ascii="Arial" w:hAnsi="Arial" w:cs="Calibri"/>
          <w:bCs/>
          <w:color w:val="000000"/>
        </w:rPr>
        <w:t xml:space="preserve"> </w:t>
      </w:r>
      <w:r>
        <w:rPr>
          <w:rFonts w:ascii="Arial" w:hAnsi="Arial" w:cs="Calibri"/>
          <w:bCs/>
          <w:color w:val="000000"/>
        </w:rPr>
        <w:fldChar w:fldCharType="begin"/>
      </w:r>
      <w:r w:rsidR="00A108A1">
        <w:rPr>
          <w:rFonts w:ascii="Arial" w:hAnsi="Arial" w:cs="Calibri"/>
          <w:bCs/>
          <w:color w:val="000000"/>
        </w:rPr>
        <w:instrText xml:space="preserve"> ADDIN EN.CITE &lt;EndNote&gt;&lt;Cite&gt;&lt;Author&gt;Vilsbøll&lt;/Author&gt;&lt;Year&gt;2003&lt;/Year&gt;&lt;RecNum&gt;144&lt;/RecNum&gt;&lt;DisplayText&gt;(Vilsbøll et al., 2003)&lt;/DisplayText&gt;&lt;record&gt;&lt;rec-number&gt;144&lt;/rec-number&gt;&lt;foreign-keys&gt;&lt;key app="EN" db-id="ae9rewfrpdttrheppfxxv0p4950wpd25r09x" timestamp="1520657937"&gt;144&lt;/key&gt;&lt;/foreign-keys&gt;&lt;ref-type name="Journal Article"&gt;17&lt;/ref-type&gt;&lt;contributors&gt;&lt;authors&gt;&lt;author&gt;Vilsbøll, Tina&lt;/author&gt;&lt;author&gt;Krarup, Tina&lt;/author&gt;&lt;author&gt;Holst, Tina&lt;/author&gt;&lt;author&gt;Sonne, Tina&lt;/author&gt;&lt;author&gt;Madsbad, Tina&lt;/author&gt;&lt;author&gt;Vølund, Tina&lt;/author&gt;&lt;author&gt;Juul, Tina&lt;/author&gt;&lt;/authors&gt;&lt;/contributors&gt;&lt;titles&gt;&lt;title&gt;Incretin secretion in relation to meal size and body weight in healthy subjects and people with type 1 and type 2 diabetes mellitus&lt;/title&gt;&lt;secondary-title&gt;Journal of Clinical Endocrinology and Metabolism&lt;/secondary-title&gt;&lt;/titles&gt;&lt;periodical&gt;&lt;full-title&gt;Journal of Clinical Endocrinology and Metabolism&lt;/full-title&gt;&lt;/periodical&gt;&lt;pages&gt;2706-2713&lt;/pages&gt;&lt;volume&gt;88&lt;/volume&gt;&lt;number&gt;6&lt;/number&gt;&lt;dates&gt;&lt;year&gt;2003&lt;/year&gt;&lt;/dates&gt;&lt;isbn&gt;0021972X&lt;/isbn&gt;&lt;urls&gt;&lt;/urls&gt;&lt;/record&gt;&lt;/Cite&gt;&lt;/EndNote&gt;</w:instrText>
      </w:r>
      <w:r>
        <w:rPr>
          <w:rFonts w:ascii="Arial" w:hAnsi="Arial" w:cs="Calibri"/>
          <w:bCs/>
          <w:color w:val="000000"/>
        </w:rPr>
        <w:fldChar w:fldCharType="separate"/>
      </w:r>
      <w:r>
        <w:rPr>
          <w:rFonts w:ascii="Arial" w:hAnsi="Arial" w:cs="Calibri"/>
          <w:bCs/>
          <w:noProof/>
          <w:color w:val="000000"/>
        </w:rPr>
        <w:t>(Vilsbøll et al., 2003)</w:t>
      </w:r>
      <w:r>
        <w:rPr>
          <w:rFonts w:ascii="Arial" w:hAnsi="Arial" w:cs="Calibri"/>
          <w:bCs/>
          <w:color w:val="000000"/>
        </w:rPr>
        <w:fldChar w:fldCharType="end"/>
      </w:r>
      <w:r>
        <w:rPr>
          <w:rFonts w:ascii="Arial" w:hAnsi="Arial" w:cs="Calibri"/>
          <w:bCs/>
          <w:color w:val="000000"/>
        </w:rPr>
        <w:t xml:space="preserve">. </w:t>
      </w:r>
      <w:r w:rsidRPr="00C97813">
        <w:rPr>
          <w:rFonts w:ascii="Arial" w:hAnsi="Arial" w:cs="Arial"/>
          <w:bCs/>
          <w:color w:val="000000"/>
        </w:rPr>
        <w:t>Preprandial</w:t>
      </w:r>
      <w:r w:rsidRPr="004E5BC7">
        <w:rPr>
          <w:rFonts w:ascii="Arial" w:hAnsi="Arial" w:cs="Calibri"/>
          <w:bCs/>
          <w:color w:val="000000"/>
        </w:rPr>
        <w:t xml:space="preserve"> secretion of GLP1 before the </w:t>
      </w:r>
    </w:p>
    <w:p w14:paraId="051127F2" w14:textId="77777777" w:rsidR="003D06A5" w:rsidRDefault="007B76C3" w:rsidP="007B76C3">
      <w:pPr>
        <w:spacing w:line="480" w:lineRule="auto"/>
        <w:jc w:val="both"/>
        <w:rPr>
          <w:rFonts w:ascii="Arial" w:hAnsi="Arial" w:cs="Calibri"/>
          <w:bCs/>
          <w:color w:val="000000"/>
        </w:rPr>
      </w:pPr>
      <w:proofErr w:type="gramStart"/>
      <w:r w:rsidRPr="004E5BC7">
        <w:rPr>
          <w:rFonts w:ascii="Arial" w:hAnsi="Arial" w:cs="Calibri"/>
          <w:bCs/>
          <w:color w:val="000000"/>
        </w:rPr>
        <w:lastRenderedPageBreak/>
        <w:t>meal</w:t>
      </w:r>
      <w:proofErr w:type="gramEnd"/>
      <w:r w:rsidRPr="004E5BC7">
        <w:rPr>
          <w:rFonts w:ascii="Arial" w:hAnsi="Arial" w:cs="Calibri"/>
          <w:bCs/>
          <w:color w:val="000000"/>
        </w:rPr>
        <w:t xml:space="preserve"> may </w:t>
      </w:r>
      <w:r w:rsidRPr="00C97813">
        <w:rPr>
          <w:rFonts w:ascii="Arial" w:hAnsi="Arial" w:cs="Calibri"/>
          <w:bCs/>
          <w:color w:val="000000"/>
        </w:rPr>
        <w:t xml:space="preserve">stimulate pancreatic </w:t>
      </w:r>
      <w:r w:rsidRPr="00C97813">
        <w:rPr>
          <w:rFonts w:ascii="Arial" w:hAnsi="Arial" w:cs="Calibri"/>
          <w:bCs/>
          <w:color w:val="000000"/>
        </w:rPr>
        <w:sym w:font="Symbol" w:char="F062"/>
      </w:r>
      <w:r w:rsidRPr="00C97813">
        <w:rPr>
          <w:rFonts w:ascii="Arial" w:hAnsi="Arial" w:cs="Calibri"/>
          <w:bCs/>
          <w:color w:val="000000"/>
        </w:rPr>
        <w:t xml:space="preserve"> cells to produce insulin in anticipation of incoming nutrients</w:t>
      </w:r>
      <w:r>
        <w:rPr>
          <w:rFonts w:ascii="Arial" w:hAnsi="Arial" w:cs="Calibri"/>
          <w:bCs/>
          <w:color w:val="000000"/>
        </w:rPr>
        <w:t xml:space="preserve"> and shares the insulinotropic effect with GIP </w:t>
      </w:r>
      <w:r>
        <w:rPr>
          <w:rFonts w:ascii="Arial" w:hAnsi="Arial" w:cs="Calibri"/>
          <w:bCs/>
          <w:color w:val="000000"/>
        </w:rPr>
        <w:fldChar w:fldCharType="begin"/>
      </w:r>
      <w:r w:rsidR="00A108A1">
        <w:rPr>
          <w:rFonts w:ascii="Arial" w:hAnsi="Arial" w:cs="Calibri"/>
          <w:bCs/>
          <w:color w:val="000000"/>
        </w:rPr>
        <w:instrText xml:space="preserve"> ADDIN EN.CITE &lt;EndNote&gt;&lt;Cite&gt;&lt;Author&gt;Vahl&lt;/Author&gt;&lt;Year&gt;2010&lt;/Year&gt;&lt;RecNum&gt;146&lt;/RecNum&gt;&lt;DisplayText&gt;(Vahl et al., 2010)&lt;/DisplayText&gt;&lt;record&gt;&lt;rec-number&gt;146&lt;/rec-number&gt;&lt;foreign-keys&gt;&lt;key app="EN" db-id="ae9rewfrpdttrheppfxxv0p4950wpd25r09x" timestamp="1520657941"&gt;146&lt;/key&gt;&lt;/foreign-keys&gt;&lt;ref-type name="Journal Article"&gt;17&lt;/ref-type&gt;&lt;contributors&gt;&lt;authors&gt;&lt;author&gt;Vahl, Torsten P.&lt;/author&gt;&lt;author&gt;Drazen, Deborah L.&lt;/author&gt;&lt;author&gt;Seeley, Randy J.&lt;/author&gt;&lt;author&gt;D&amp;apos;Alessio, David A.&lt;/author&gt;&lt;author&gt;Woods, Stephen C.&lt;/author&gt;&lt;/authors&gt;&lt;/contributors&gt;&lt;titles&gt;&lt;title&gt;Meal-Anticipatory Glucagon-Like Peptide-1 Secretion in Rats&lt;/title&gt;&lt;secondary-title&gt;Endocrinology&lt;/secondary-title&gt;&lt;/titles&gt;&lt;periodical&gt;&lt;full-title&gt;Endocrinology&lt;/full-title&gt;&lt;/periodical&gt;&lt;pages&gt;569-575&lt;/pages&gt;&lt;volume&gt;151&lt;/volume&gt;&lt;number&gt;2&lt;/number&gt;&lt;dates&gt;&lt;year&gt;2010&lt;/year&gt;&lt;pub-dates&gt;&lt;date&gt;Feb&lt;/date&gt;&lt;/pub-dates&gt;&lt;/dates&gt;&lt;isbn&gt;0013-7227&lt;/isbn&gt;&lt;accession-num&gt;WOS:000273948600016&lt;/accession-num&gt;&lt;urls&gt;&lt;related-urls&gt;&lt;url&gt;&amp;lt;Go to ISI&amp;gt;://WOS:000273948600016&lt;/url&gt;&lt;/related-urls&gt;&lt;/urls&gt;&lt;electronic-resource-num&gt;10.1210/en.2009-1002&lt;/electronic-resource-num&gt;&lt;/record&gt;&lt;/Cite&gt;&lt;/EndNote&gt;</w:instrText>
      </w:r>
      <w:r>
        <w:rPr>
          <w:rFonts w:ascii="Arial" w:hAnsi="Arial" w:cs="Calibri"/>
          <w:bCs/>
          <w:color w:val="000000"/>
        </w:rPr>
        <w:fldChar w:fldCharType="separate"/>
      </w:r>
      <w:r>
        <w:rPr>
          <w:rFonts w:ascii="Arial" w:hAnsi="Arial" w:cs="Calibri"/>
          <w:bCs/>
          <w:noProof/>
          <w:color w:val="000000"/>
        </w:rPr>
        <w:t>(Vahl et al., 2010)</w:t>
      </w:r>
      <w:r>
        <w:rPr>
          <w:rFonts w:ascii="Arial" w:hAnsi="Arial" w:cs="Calibri"/>
          <w:bCs/>
          <w:color w:val="000000"/>
        </w:rPr>
        <w:fldChar w:fldCharType="end"/>
      </w:r>
      <w:r>
        <w:rPr>
          <w:rFonts w:ascii="Arial" w:hAnsi="Arial" w:cs="Calibri"/>
          <w:bCs/>
          <w:color w:val="000000"/>
        </w:rPr>
        <w:t>. C</w:t>
      </w:r>
      <w:r w:rsidRPr="00C97813">
        <w:rPr>
          <w:rFonts w:ascii="Arial" w:hAnsi="Arial" w:cs="Calibri"/>
          <w:bCs/>
          <w:color w:val="000000"/>
        </w:rPr>
        <w:t>arb</w:t>
      </w:r>
      <w:r>
        <w:rPr>
          <w:rFonts w:ascii="Arial" w:hAnsi="Arial" w:cs="Calibri"/>
          <w:bCs/>
          <w:color w:val="000000"/>
        </w:rPr>
        <w:t>ohydrates are strong stimuli of</w:t>
      </w:r>
      <w:r w:rsidRPr="00C97813">
        <w:rPr>
          <w:rFonts w:ascii="Arial" w:hAnsi="Arial" w:cs="Calibri"/>
          <w:bCs/>
          <w:color w:val="000000"/>
        </w:rPr>
        <w:t xml:space="preserve"> GLP1 release </w:t>
      </w:r>
      <w:r>
        <w:rPr>
          <w:rFonts w:ascii="Arial" w:hAnsi="Arial" w:cs="Calibri"/>
          <w:bCs/>
          <w:color w:val="000000"/>
        </w:rPr>
        <w:t xml:space="preserve">consistent with its role as an incretin hormone </w:t>
      </w:r>
      <w:r>
        <w:rPr>
          <w:rFonts w:ascii="Arial" w:hAnsi="Arial" w:cs="Calibri"/>
          <w:bCs/>
          <w:color w:val="000000"/>
        </w:rPr>
        <w:fldChar w:fldCharType="begin">
          <w:fldData xml:space="preserve">PEVuZE5vdGU+PENpdGU+PEF1dGhvcj5FbGxpb3R0PC9BdXRob3I+PFllYXI+MTk5MzwvWWVhcj48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</w:fldData>
        </w:fldChar>
      </w:r>
      <w:r w:rsidR="00651EFF">
        <w:rPr>
          <w:rFonts w:ascii="Arial" w:hAnsi="Arial" w:cs="Calibri"/>
          <w:bCs/>
          <w:color w:val="000000"/>
        </w:rPr>
        <w:instrText xml:space="preserve"> ADDIN EN.CITE </w:instrText>
      </w:r>
      <w:r w:rsidR="00651EFF">
        <w:rPr>
          <w:rFonts w:ascii="Arial" w:hAnsi="Arial" w:cs="Calibri"/>
          <w:bCs/>
          <w:color w:val="000000"/>
        </w:rPr>
        <w:fldChar w:fldCharType="begin">
          <w:fldData xml:space="preserve">PEVuZE5vdGU+PENpdGU+PEF1dGhvcj5FbGxpb3R0PC9BdXRob3I+PFllYXI+MTk5MzwvWWVhcj48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</w:fldData>
        </w:fldChar>
      </w:r>
      <w:r w:rsidR="00651EFF">
        <w:rPr>
          <w:rFonts w:ascii="Arial" w:hAnsi="Arial" w:cs="Calibri"/>
          <w:bCs/>
          <w:color w:val="000000"/>
        </w:rPr>
        <w:instrText xml:space="preserve"> ADDIN EN.CITE.DATA </w:instrText>
      </w:r>
      <w:r w:rsidR="00651EFF">
        <w:rPr>
          <w:rFonts w:ascii="Arial" w:hAnsi="Arial" w:cs="Calibri"/>
          <w:bCs/>
          <w:color w:val="000000"/>
        </w:rPr>
      </w:r>
      <w:r w:rsidR="00651EFF">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(Elliott et al., 1993, Herrmann et al., 1995, Brubaker and Anini, 2003)</w:t>
      </w:r>
      <w:r>
        <w:rPr>
          <w:rFonts w:ascii="Arial" w:hAnsi="Arial" w:cs="Calibri"/>
          <w:bCs/>
          <w:color w:val="000000"/>
        </w:rPr>
        <w:fldChar w:fldCharType="end"/>
      </w:r>
      <w:r>
        <w:rPr>
          <w:rFonts w:ascii="Arial" w:hAnsi="Arial" w:cs="Calibri"/>
          <w:bCs/>
          <w:color w:val="000000"/>
        </w:rPr>
        <w:t>. The dietary fibres are shown to increase, inhibit or have no effect on GLP1 secretio</w:t>
      </w:r>
      <w:r w:rsidR="006B6D0E">
        <w:rPr>
          <w:rFonts w:ascii="Arial" w:hAnsi="Arial" w:cs="Calibri"/>
          <w:bCs/>
          <w:color w:val="000000"/>
        </w:rPr>
        <w:t xml:space="preserve">n perhaps depending on the type </w:t>
      </w:r>
      <w:r>
        <w:rPr>
          <w:rFonts w:ascii="Arial" w:hAnsi="Arial" w:cs="Calibri"/>
          <w:bCs/>
          <w:color w:val="000000"/>
        </w:rPr>
        <w:t xml:space="preserve">and amount of fibres </w:t>
      </w:r>
      <w:r w:rsidR="007A3C93">
        <w:rPr>
          <w:rFonts w:ascii="Arial" w:hAnsi="Arial" w:cs="Calibri"/>
          <w:bCs/>
          <w:color w:val="000000"/>
        </w:rPr>
        <w:fldChar w:fldCharType="begin">
          <w:fldData xml:space="preserve">PEVuZE5vdGU+PENpdGU+PEF1dGhvcj5SYWJlbjwvQXV0aG9yPjxZZWFyPjE5OTQ8L1llYXI+PFJl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==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PEVuZE5vdGU+PENpdGU+PEF1dGhvcj5SYWJlbjwvQXV0aG9yPjxZZWFyPjE5OTQ8L1llYXI+PFJl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==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sidR="007A3C93">
        <w:rPr>
          <w:rFonts w:ascii="Arial" w:hAnsi="Arial" w:cs="Calibri"/>
          <w:bCs/>
          <w:color w:val="000000"/>
        </w:rPr>
      </w:r>
      <w:r w:rsidR="007A3C93">
        <w:rPr>
          <w:rFonts w:ascii="Arial" w:hAnsi="Arial" w:cs="Calibri"/>
          <w:bCs/>
          <w:color w:val="000000"/>
        </w:rPr>
        <w:fldChar w:fldCharType="separate"/>
      </w:r>
      <w:r w:rsidR="007A3C93">
        <w:rPr>
          <w:rFonts w:ascii="Arial" w:hAnsi="Arial" w:cs="Calibri"/>
          <w:bCs/>
          <w:noProof/>
          <w:color w:val="000000"/>
        </w:rPr>
        <w:t>(Raben et al., 1994, Juntunen et al., 2002, Frost et al., 2003)</w:t>
      </w:r>
      <w:r w:rsidR="007A3C93">
        <w:rPr>
          <w:rFonts w:ascii="Arial" w:hAnsi="Arial" w:cs="Calibri"/>
          <w:bCs/>
          <w:color w:val="000000"/>
        </w:rPr>
        <w:fldChar w:fldCharType="end"/>
      </w:r>
      <w:r w:rsidR="007A3C93">
        <w:rPr>
          <w:rFonts w:ascii="Arial" w:hAnsi="Arial" w:cs="Calibri"/>
          <w:bCs/>
          <w:color w:val="000000"/>
        </w:rPr>
        <w:t>.</w:t>
      </w:r>
      <w:r>
        <w:rPr>
          <w:rFonts w:ascii="Arial" w:hAnsi="Arial" w:cs="Calibri"/>
          <w:bCs/>
          <w:color w:val="000000"/>
        </w:rPr>
        <w:t xml:space="preserve"> The GLP1 concentration is elevated after protein-rich food ingestion </w:t>
      </w:r>
      <w:r w:rsidR="00EA5462">
        <w:rPr>
          <w:rFonts w:ascii="Arial" w:hAnsi="Arial" w:cs="Calibri"/>
          <w:bCs/>
          <w:color w:val="000000"/>
        </w:rPr>
        <w:fldChar w:fldCharType="begin"/>
      </w:r>
      <w:r w:rsidR="0000415D">
        <w:rPr>
          <w:rFonts w:ascii="Arial" w:hAnsi="Arial" w:cs="Calibri"/>
          <w:bCs/>
          <w:color w:val="000000"/>
        </w:rPr>
        <w:instrText xml:space="preserve"> ADDIN EN.CITE &lt;EndNote&gt;&lt;Cite&gt;&lt;Author&gt;Raben&lt;/Author&gt;&lt;Year&gt;2003&lt;/Year&gt;&lt;RecNum&gt;393&lt;/RecNum&gt;&lt;DisplayText&gt;(Raben et al., 2003)&lt;/DisplayText&gt;&lt;record&gt;&lt;rec-number&gt;393&lt;/rec-number&gt;&lt;foreign-keys&gt;&lt;key app="EN" db-id="ae9rewfrpdttrheppfxxv0p4950wpd25r09x" timestamp="1520658302"&gt;393&lt;/key&gt;&lt;/foreign-keys&gt;&lt;ref-type name="Journal Article"&gt;17&lt;/ref-type&gt;&lt;contributors&gt;&lt;authors&gt;&lt;author&gt;Raben, Anne&lt;/author&gt;&lt;author&gt;Agerholm-Larsen, Lisa&lt;/author&gt;&lt;author&gt;Flint, Anne&lt;/author&gt;&lt;author&gt;Holst, Jens J.&lt;/author&gt;&lt;author&gt;Astrup, Arne&lt;/author&gt;&lt;/authors&gt;&lt;/contributors&gt;&lt;titles&gt;&lt;title&gt;Meals with similar energy densities but rich in protein, fat, carbohydrate, or alcohol have different effects on energy expenditure and substrate metabolism but not on appetite and energy intake&lt;/title&gt;&lt;secondary-title&gt;The American Journal of Clinical Nutrition&lt;/secondary-title&gt;&lt;/titles&gt;&lt;periodical&gt;&lt;full-title&gt;The American journal of clinical nutrition&lt;/full-title&gt;&lt;/periodical&gt;&lt;pages&gt;91-100&lt;/pages&gt;&lt;volume&gt;77&lt;/volume&gt;&lt;number&gt;1&lt;/number&gt;&lt;keywords&gt;&lt;keyword&gt;Appetite -- Drug Effects&lt;/keyword&gt;&lt;keyword&gt;Dietary Carbohydrates -- Pharmacology&lt;/keyword&gt;&lt;keyword&gt;Dietary Fats -- Pharmacology&lt;/keyword&gt;&lt;keyword&gt;Dietary Proteins -- Pharmacology&lt;/keyword&gt;&lt;keyword&gt;Energy Metabolism -- Drug Effects&lt;/keyword&gt;&lt;keyword&gt;Ethanol -- Pharmacology&lt;/keyword&gt;&lt;/keywords&gt;&lt;dates&gt;&lt;year&gt;2003&lt;/year&gt;&lt;/dates&gt;&lt;isbn&gt;0002-9165&lt;/isbn&gt;&lt;urls&gt;&lt;/urls&gt;&lt;/record&gt;&lt;/Cite&gt;&lt;/EndNote&gt;</w:instrText>
      </w:r>
      <w:r w:rsidR="00EA5462">
        <w:rPr>
          <w:rFonts w:ascii="Arial" w:hAnsi="Arial" w:cs="Calibri"/>
          <w:bCs/>
          <w:color w:val="000000"/>
        </w:rPr>
        <w:fldChar w:fldCharType="separate"/>
      </w:r>
      <w:r w:rsidR="00EA5462">
        <w:rPr>
          <w:rFonts w:ascii="Arial" w:hAnsi="Arial" w:cs="Calibri"/>
          <w:bCs/>
          <w:noProof/>
          <w:color w:val="000000"/>
        </w:rPr>
        <w:t>(Raben et al., 2003)</w:t>
      </w:r>
      <w:r w:rsidR="00EA5462">
        <w:rPr>
          <w:rFonts w:ascii="Arial" w:hAnsi="Arial" w:cs="Calibri"/>
          <w:bCs/>
          <w:color w:val="000000"/>
        </w:rPr>
        <w:fldChar w:fldCharType="end"/>
      </w:r>
      <w:r w:rsidR="00EA5462">
        <w:rPr>
          <w:rFonts w:ascii="Arial" w:hAnsi="Arial" w:cs="Calibri"/>
          <w:bCs/>
          <w:color w:val="000000"/>
        </w:rPr>
        <w:t>.</w:t>
      </w:r>
      <w:r>
        <w:rPr>
          <w:rFonts w:ascii="Arial" w:hAnsi="Arial" w:cs="Calibri"/>
          <w:bCs/>
          <w:color w:val="000000"/>
        </w:rPr>
        <w:t xml:space="preserve"> Fats cause delayed increase in GLP1 secretion in comparison to carbohydrates and their effect seem to depend on the chain length of fatty acids </w:t>
      </w:r>
      <w:r w:rsidR="00EA5462">
        <w:rPr>
          <w:rFonts w:ascii="Arial" w:hAnsi="Arial" w:cs="Calibri"/>
          <w:bCs/>
          <w:color w:val="000000"/>
        </w:rPr>
        <w:fldChar w:fldCharType="begin">
          <w:fldData xml:space="preserve">PEVuZE5vdGU+PENpdGU+PEF1dGhvcj5UaG9tc2VuPC9BdXRob3I+PFllYXI+MTk5OTwvWWVhcj48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PEVuZE5vdGU+PENpdGU+PEF1dGhvcj5UaG9tc2VuPC9BdXRob3I+PFllYXI+MTk5OTwvWWVhcj48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sidR="00EA5462">
        <w:rPr>
          <w:rFonts w:ascii="Arial" w:hAnsi="Arial" w:cs="Calibri"/>
          <w:bCs/>
          <w:color w:val="000000"/>
        </w:rPr>
      </w:r>
      <w:r w:rsidR="00EA5462">
        <w:rPr>
          <w:rFonts w:ascii="Arial" w:hAnsi="Arial" w:cs="Calibri"/>
          <w:bCs/>
          <w:color w:val="000000"/>
        </w:rPr>
        <w:fldChar w:fldCharType="separate"/>
      </w:r>
      <w:r w:rsidR="00EA5462">
        <w:rPr>
          <w:rFonts w:ascii="Arial" w:hAnsi="Arial" w:cs="Calibri"/>
          <w:bCs/>
          <w:noProof/>
          <w:color w:val="000000"/>
        </w:rPr>
        <w:t>(Thomsen et al., 1999, Feltrin et al., 2004)</w:t>
      </w:r>
      <w:r w:rsidR="00EA5462">
        <w:rPr>
          <w:rFonts w:ascii="Arial" w:hAnsi="Arial" w:cs="Calibri"/>
          <w:bCs/>
          <w:color w:val="000000"/>
        </w:rPr>
        <w:fldChar w:fldCharType="end"/>
      </w:r>
      <w:r w:rsidR="00EA5462">
        <w:rPr>
          <w:rFonts w:ascii="Arial" w:hAnsi="Arial" w:cs="Calibri"/>
          <w:bCs/>
          <w:color w:val="000000"/>
        </w:rPr>
        <w:t>.</w:t>
      </w:r>
      <w:r>
        <w:rPr>
          <w:rFonts w:ascii="Arial" w:hAnsi="Arial" w:cs="Calibri"/>
          <w:bCs/>
          <w:color w:val="000000"/>
        </w:rPr>
        <w:t xml:space="preserve"> </w:t>
      </w:r>
    </w:p>
    <w:p w14:paraId="7E3623A9" w14:textId="77777777" w:rsidR="003D06A5" w:rsidRDefault="003D06A5" w:rsidP="007B76C3">
      <w:pPr>
        <w:spacing w:line="480" w:lineRule="auto"/>
        <w:jc w:val="both"/>
        <w:rPr>
          <w:rFonts w:ascii="Arial" w:hAnsi="Arial" w:cs="Calibri"/>
          <w:bCs/>
          <w:color w:val="000000"/>
        </w:rPr>
      </w:pPr>
    </w:p>
    <w:p w14:paraId="7E0305CC" w14:textId="77777777" w:rsidR="007B76C3" w:rsidRDefault="007B76C3" w:rsidP="007B76C3">
      <w:pPr>
        <w:spacing w:line="480" w:lineRule="auto"/>
        <w:jc w:val="both"/>
        <w:rPr>
          <w:rFonts w:ascii="Arial" w:hAnsi="Arial" w:cs="Arial"/>
          <w:color w:val="000000" w:themeColor="text1"/>
        </w:rPr>
      </w:pPr>
      <w:r>
        <w:rPr>
          <w:rFonts w:ascii="Arial" w:hAnsi="Arial" w:cs="Arial"/>
          <w:color w:val="000000" w:themeColor="text1"/>
        </w:rPr>
        <w:t>T</w:t>
      </w:r>
      <w:r w:rsidRPr="00BE59A9">
        <w:rPr>
          <w:rFonts w:ascii="Arial" w:hAnsi="Arial" w:cs="Arial"/>
          <w:color w:val="000000" w:themeColor="text1"/>
        </w:rPr>
        <w:t xml:space="preserve">he main findings </w:t>
      </w:r>
      <w:r>
        <w:rPr>
          <w:rFonts w:ascii="Arial" w:hAnsi="Arial" w:cs="Arial"/>
          <w:color w:val="000000" w:themeColor="text1"/>
        </w:rPr>
        <w:t>of the effects of macronutrients and fibre on postprandial release of GI peptides in humans are summarised in the Table 1.</w:t>
      </w:r>
    </w:p>
    <w:p w14:paraId="5502699B" w14:textId="77777777" w:rsidR="007B76C3" w:rsidRDefault="007B76C3" w:rsidP="007B76C3">
      <w:pPr>
        <w:spacing w:line="480" w:lineRule="auto"/>
        <w:jc w:val="both"/>
        <w:rPr>
          <w:rFonts w:ascii="Arial" w:hAnsi="Arial" w:cs="Arial"/>
          <w:color w:val="000000" w:themeColor="text1"/>
        </w:rPr>
      </w:pPr>
    </w:p>
    <w:p w14:paraId="589A3AF2" w14:textId="77777777" w:rsidR="000427E5" w:rsidRPr="00404421" w:rsidRDefault="000427E5" w:rsidP="000427E5">
      <w:pPr>
        <w:pStyle w:val="Caption"/>
        <w:keepNext/>
        <w:spacing w:line="360" w:lineRule="auto"/>
        <w:jc w:val="both"/>
        <w:rPr>
          <w:rFonts w:ascii="Arial" w:hAnsi="Arial" w:cs="Arial"/>
          <w:color w:val="244061" w:themeColor="accent1" w:themeShade="80"/>
          <w:sz w:val="24"/>
          <w:szCs w:val="24"/>
        </w:rPr>
      </w:pPr>
      <w:bookmarkStart w:id="34" w:name="_Toc381049297"/>
      <w:bookmarkStart w:id="35" w:name="_Toc383545827"/>
      <w:r w:rsidRPr="00404421">
        <w:rPr>
          <w:rFonts w:ascii="Arial" w:hAnsi="Arial" w:cs="Arial"/>
          <w:color w:val="244061" w:themeColor="accent1" w:themeShade="80"/>
          <w:sz w:val="24"/>
          <w:szCs w:val="24"/>
        </w:rPr>
        <w:t xml:space="preserve">Table </w:t>
      </w:r>
      <w:r w:rsidRPr="00404421">
        <w:rPr>
          <w:rFonts w:ascii="Arial" w:hAnsi="Arial" w:cs="Arial"/>
          <w:color w:val="244061" w:themeColor="accent1" w:themeShade="80"/>
          <w:sz w:val="24"/>
          <w:szCs w:val="24"/>
        </w:rPr>
        <w:fldChar w:fldCharType="begin"/>
      </w:r>
      <w:r w:rsidRPr="00404421">
        <w:rPr>
          <w:rFonts w:ascii="Arial" w:hAnsi="Arial" w:cs="Arial"/>
          <w:color w:val="244061" w:themeColor="accent1" w:themeShade="80"/>
          <w:sz w:val="24"/>
          <w:szCs w:val="24"/>
        </w:rPr>
        <w:instrText xml:space="preserve"> SEQ Table \* ARABIC </w:instrText>
      </w:r>
      <w:r w:rsidRPr="00404421">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w:t>
      </w:r>
      <w:r w:rsidRPr="00404421">
        <w:rPr>
          <w:rFonts w:ascii="Arial" w:hAnsi="Arial" w:cs="Arial"/>
          <w:color w:val="244061" w:themeColor="accent1" w:themeShade="80"/>
          <w:sz w:val="24"/>
          <w:szCs w:val="24"/>
        </w:rPr>
        <w:fldChar w:fldCharType="end"/>
      </w:r>
      <w:r w:rsidRPr="00404421">
        <w:rPr>
          <w:rFonts w:ascii="Arial" w:hAnsi="Arial" w:cs="Arial"/>
          <w:color w:val="244061" w:themeColor="accent1" w:themeShade="80"/>
          <w:sz w:val="24"/>
          <w:szCs w:val="24"/>
        </w:rPr>
        <w:t xml:space="preserve"> Summary of the main findings of the effect of macronutrients and fibre on postprandial release of satiety-related gastrointestinal peptides in humans</w:t>
      </w:r>
      <w:bookmarkEnd w:id="34"/>
      <w:bookmarkEnd w:id="35"/>
    </w:p>
    <w:tbl>
      <w:tblPr>
        <w:tblStyle w:val="LightShading-Accent1"/>
        <w:tblW w:w="0" w:type="auto"/>
        <w:tblLook w:val="04A0" w:firstRow="1" w:lastRow="0" w:firstColumn="1" w:lastColumn="0" w:noHBand="0" w:noVBand="1"/>
      </w:tblPr>
      <w:tblGrid>
        <w:gridCol w:w="1892"/>
        <w:gridCol w:w="1892"/>
        <w:gridCol w:w="1893"/>
        <w:gridCol w:w="1893"/>
        <w:gridCol w:w="1896"/>
      </w:tblGrid>
      <w:tr w:rsidR="007B76C3" w14:paraId="240180AA" w14:textId="77777777" w:rsidTr="0054375B">
        <w:trPr>
          <w:cnfStyle w:val="100000000000" w:firstRow="1" w:lastRow="0" w:firstColumn="0" w:lastColumn="0" w:oddVBand="0" w:evenVBand="0" w:oddHBand="0" w:evenHBand="0" w:firstRowFirstColumn="0" w:firstRowLastColumn="0" w:lastRowFirstColumn="0" w:lastRowLastColumn="0"/>
          <w:trHeight w:val="641"/>
        </w:trPr>
        <w:tc>
          <w:tcPr>
            <w:cnfStyle w:val="001000000000" w:firstRow="0" w:lastRow="0" w:firstColumn="1" w:lastColumn="0" w:oddVBand="0" w:evenVBand="0" w:oddHBand="0" w:evenHBand="0" w:firstRowFirstColumn="0" w:firstRowLastColumn="0" w:lastRowFirstColumn="0" w:lastRowLastColumn="0"/>
            <w:tcW w:w="1892" w:type="dxa"/>
          </w:tcPr>
          <w:p w14:paraId="2FD43560" w14:textId="77777777" w:rsidR="007B76C3" w:rsidRPr="007B6F5C" w:rsidRDefault="007B76C3" w:rsidP="001002E8">
            <w:pPr>
              <w:spacing w:line="480" w:lineRule="auto"/>
              <w:rPr>
                <w:rFonts w:ascii="Arial" w:hAnsi="Arial" w:cs="Arial"/>
                <w:color w:val="000000" w:themeColor="text1"/>
              </w:rPr>
            </w:pPr>
            <w:r w:rsidRPr="007B6F5C">
              <w:rPr>
                <w:rFonts w:ascii="Arial" w:hAnsi="Arial" w:cs="Arial"/>
                <w:color w:val="000000" w:themeColor="text1"/>
              </w:rPr>
              <w:t>Peptide</w:t>
            </w:r>
          </w:p>
        </w:tc>
        <w:tc>
          <w:tcPr>
            <w:tcW w:w="1892" w:type="dxa"/>
          </w:tcPr>
          <w:p w14:paraId="7B106715" w14:textId="77777777" w:rsidR="007B76C3" w:rsidRPr="007B6F5C" w:rsidRDefault="007B76C3" w:rsidP="001002E8">
            <w:pPr>
              <w:spacing w:line="480" w:lineRule="auto"/>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7B6F5C">
              <w:rPr>
                <w:rFonts w:ascii="Arial" w:hAnsi="Arial" w:cs="Arial"/>
                <w:color w:val="000000" w:themeColor="text1"/>
              </w:rPr>
              <w:t>Carbohydrate</w:t>
            </w:r>
          </w:p>
        </w:tc>
        <w:tc>
          <w:tcPr>
            <w:tcW w:w="1893" w:type="dxa"/>
          </w:tcPr>
          <w:p w14:paraId="3F4F8E36" w14:textId="77777777" w:rsidR="007B76C3" w:rsidRPr="007B6F5C" w:rsidRDefault="007B76C3" w:rsidP="001002E8">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7B6F5C">
              <w:rPr>
                <w:rFonts w:ascii="Arial" w:hAnsi="Arial" w:cs="Arial"/>
                <w:color w:val="000000" w:themeColor="text1"/>
              </w:rPr>
              <w:t>Fibre</w:t>
            </w:r>
          </w:p>
        </w:tc>
        <w:tc>
          <w:tcPr>
            <w:tcW w:w="1893" w:type="dxa"/>
          </w:tcPr>
          <w:p w14:paraId="6A0F7193" w14:textId="77777777" w:rsidR="007B76C3" w:rsidRPr="007B6F5C" w:rsidRDefault="007B76C3" w:rsidP="001002E8">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7B6F5C">
              <w:rPr>
                <w:rFonts w:ascii="Arial" w:hAnsi="Arial" w:cs="Arial"/>
                <w:color w:val="000000" w:themeColor="text1"/>
              </w:rPr>
              <w:t>Fat</w:t>
            </w:r>
          </w:p>
        </w:tc>
        <w:tc>
          <w:tcPr>
            <w:tcW w:w="1896" w:type="dxa"/>
          </w:tcPr>
          <w:p w14:paraId="6D850AF0" w14:textId="77777777" w:rsidR="007B76C3" w:rsidRPr="007B6F5C" w:rsidRDefault="007B76C3" w:rsidP="001002E8">
            <w:pPr>
              <w:spacing w:line="480" w:lineRule="auto"/>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7B6F5C">
              <w:rPr>
                <w:rFonts w:ascii="Arial" w:hAnsi="Arial" w:cs="Arial"/>
                <w:color w:val="000000" w:themeColor="text1"/>
              </w:rPr>
              <w:t>Protein</w:t>
            </w:r>
          </w:p>
        </w:tc>
      </w:tr>
      <w:tr w:rsidR="007B76C3" w14:paraId="7B4FCB49" w14:textId="77777777" w:rsidTr="0054375B">
        <w:trPr>
          <w:cnfStyle w:val="000000100000" w:firstRow="0" w:lastRow="0" w:firstColumn="0" w:lastColumn="0" w:oddVBand="0" w:evenVBand="0" w:oddHBand="1" w:evenHBand="0" w:firstRowFirstColumn="0" w:firstRowLastColumn="0" w:lastRowFirstColumn="0" w:lastRowLastColumn="0"/>
          <w:trHeight w:val="988"/>
        </w:trPr>
        <w:tc>
          <w:tcPr>
            <w:cnfStyle w:val="001000000000" w:firstRow="0" w:lastRow="0" w:firstColumn="1" w:lastColumn="0" w:oddVBand="0" w:evenVBand="0" w:oddHBand="0" w:evenHBand="0" w:firstRowFirstColumn="0" w:firstRowLastColumn="0" w:lastRowFirstColumn="0" w:lastRowLastColumn="0"/>
            <w:tcW w:w="1892" w:type="dxa"/>
          </w:tcPr>
          <w:p w14:paraId="68B1CDC0" w14:textId="77777777" w:rsidR="007B76C3" w:rsidRPr="007B6F5C" w:rsidRDefault="007B76C3" w:rsidP="001002E8">
            <w:pPr>
              <w:spacing w:line="480" w:lineRule="auto"/>
              <w:rPr>
                <w:rFonts w:ascii="Arial" w:hAnsi="Arial" w:cs="Arial"/>
                <w:b w:val="0"/>
                <w:color w:val="000000" w:themeColor="text1"/>
              </w:rPr>
            </w:pPr>
            <w:r w:rsidRPr="007B6F5C">
              <w:rPr>
                <w:rFonts w:ascii="Arial" w:hAnsi="Arial" w:cs="Arial"/>
                <w:b w:val="0"/>
                <w:color w:val="000000" w:themeColor="text1"/>
              </w:rPr>
              <w:t>Ghrelin</w:t>
            </w:r>
          </w:p>
        </w:tc>
        <w:tc>
          <w:tcPr>
            <w:tcW w:w="1892" w:type="dxa"/>
          </w:tcPr>
          <w:p w14:paraId="082F3058" w14:textId="77777777" w:rsidR="007B76C3" w:rsidRDefault="007B76C3" w:rsidP="001002E8">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Decrease</w:t>
            </w:r>
          </w:p>
        </w:tc>
        <w:tc>
          <w:tcPr>
            <w:tcW w:w="1893" w:type="dxa"/>
          </w:tcPr>
          <w:p w14:paraId="155E6189"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Blunted or</w:t>
            </w:r>
          </w:p>
          <w:p w14:paraId="60D075C5"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Inhibited</w:t>
            </w:r>
          </w:p>
        </w:tc>
        <w:tc>
          <w:tcPr>
            <w:tcW w:w="1893" w:type="dxa"/>
          </w:tcPr>
          <w:p w14:paraId="3842FED4"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Decrease/No</w:t>
            </w:r>
          </w:p>
          <w:p w14:paraId="7D36D2F2"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roofErr w:type="gramStart"/>
            <w:r>
              <w:rPr>
                <w:rFonts w:ascii="Arial" w:hAnsi="Arial" w:cs="Arial"/>
                <w:color w:val="000000" w:themeColor="text1"/>
              </w:rPr>
              <w:t>effect</w:t>
            </w:r>
            <w:proofErr w:type="gramEnd"/>
          </w:p>
        </w:tc>
        <w:tc>
          <w:tcPr>
            <w:tcW w:w="1896" w:type="dxa"/>
          </w:tcPr>
          <w:p w14:paraId="3B477624"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Decrease/No</w:t>
            </w:r>
          </w:p>
          <w:p w14:paraId="3F8C1008" w14:textId="77777777" w:rsidR="007B76C3" w:rsidRDefault="007B76C3" w:rsidP="001002E8">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roofErr w:type="gramStart"/>
            <w:r>
              <w:rPr>
                <w:rFonts w:ascii="Arial" w:hAnsi="Arial" w:cs="Arial"/>
                <w:color w:val="000000" w:themeColor="text1"/>
              </w:rPr>
              <w:t>effect</w:t>
            </w:r>
            <w:proofErr w:type="gramEnd"/>
          </w:p>
        </w:tc>
      </w:tr>
      <w:tr w:rsidR="007B76C3" w14:paraId="0B7459CF" w14:textId="77777777" w:rsidTr="0054375B">
        <w:trPr>
          <w:trHeight w:val="733"/>
        </w:trPr>
        <w:tc>
          <w:tcPr>
            <w:cnfStyle w:val="001000000000" w:firstRow="0" w:lastRow="0" w:firstColumn="1" w:lastColumn="0" w:oddVBand="0" w:evenVBand="0" w:oddHBand="0" w:evenHBand="0" w:firstRowFirstColumn="0" w:firstRowLastColumn="0" w:lastRowFirstColumn="0" w:lastRowLastColumn="0"/>
            <w:tcW w:w="1892" w:type="dxa"/>
          </w:tcPr>
          <w:p w14:paraId="3F369B31" w14:textId="77777777" w:rsidR="007B76C3" w:rsidRPr="007B6F5C" w:rsidRDefault="007B76C3" w:rsidP="001002E8">
            <w:pPr>
              <w:spacing w:line="480" w:lineRule="auto"/>
              <w:jc w:val="both"/>
              <w:rPr>
                <w:rFonts w:ascii="Arial" w:hAnsi="Arial" w:cs="Arial"/>
                <w:b w:val="0"/>
                <w:color w:val="000000" w:themeColor="text1"/>
              </w:rPr>
            </w:pPr>
            <w:r w:rsidRPr="007B6F5C">
              <w:rPr>
                <w:rFonts w:ascii="Arial" w:hAnsi="Arial" w:cs="Arial"/>
                <w:b w:val="0"/>
                <w:color w:val="000000" w:themeColor="text1"/>
              </w:rPr>
              <w:t>Insulin</w:t>
            </w:r>
          </w:p>
        </w:tc>
        <w:tc>
          <w:tcPr>
            <w:tcW w:w="1892" w:type="dxa"/>
          </w:tcPr>
          <w:p w14:paraId="2CEC8164"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Increase</w:t>
            </w:r>
          </w:p>
          <w:p w14:paraId="082CA3F6"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1893" w:type="dxa"/>
          </w:tcPr>
          <w:p w14:paraId="339AC48C"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Blunted increase</w:t>
            </w:r>
          </w:p>
        </w:tc>
        <w:tc>
          <w:tcPr>
            <w:tcW w:w="1893" w:type="dxa"/>
          </w:tcPr>
          <w:p w14:paraId="537300D4"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Increase</w:t>
            </w:r>
          </w:p>
          <w:p w14:paraId="7DF3BA46"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1896" w:type="dxa"/>
          </w:tcPr>
          <w:p w14:paraId="0A3E19E7" w14:textId="77777777" w:rsidR="007B76C3" w:rsidRDefault="007B76C3" w:rsidP="001002E8">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Increase</w:t>
            </w:r>
          </w:p>
        </w:tc>
      </w:tr>
      <w:tr w:rsidR="007B76C3" w14:paraId="41958D5F" w14:textId="77777777" w:rsidTr="0054375B">
        <w:trPr>
          <w:cnfStyle w:val="000000100000" w:firstRow="0" w:lastRow="0" w:firstColumn="0" w:lastColumn="0" w:oddVBand="0" w:evenVBand="0" w:oddHBand="1"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1892" w:type="dxa"/>
          </w:tcPr>
          <w:p w14:paraId="09A61818" w14:textId="77777777" w:rsidR="007B76C3" w:rsidRPr="007B6F5C" w:rsidRDefault="007B76C3" w:rsidP="001002E8">
            <w:pPr>
              <w:spacing w:line="480" w:lineRule="auto"/>
              <w:jc w:val="both"/>
              <w:rPr>
                <w:rFonts w:ascii="Arial" w:hAnsi="Arial" w:cs="Arial"/>
                <w:b w:val="0"/>
                <w:color w:val="000000" w:themeColor="text1"/>
              </w:rPr>
            </w:pPr>
            <w:r w:rsidRPr="007B6F5C">
              <w:rPr>
                <w:rFonts w:ascii="Arial" w:hAnsi="Arial" w:cs="Arial"/>
                <w:b w:val="0"/>
                <w:color w:val="000000" w:themeColor="text1"/>
              </w:rPr>
              <w:t>Amylin</w:t>
            </w:r>
          </w:p>
        </w:tc>
        <w:tc>
          <w:tcPr>
            <w:tcW w:w="1892" w:type="dxa"/>
          </w:tcPr>
          <w:p w14:paraId="43F7058B"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Increase</w:t>
            </w:r>
          </w:p>
          <w:p w14:paraId="769C8181"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c>
          <w:tcPr>
            <w:tcW w:w="1893" w:type="dxa"/>
          </w:tcPr>
          <w:p w14:paraId="6D213429" w14:textId="77777777" w:rsidR="007B76C3" w:rsidRDefault="007B76C3" w:rsidP="001002E8">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O</w:t>
            </w:r>
          </w:p>
        </w:tc>
        <w:tc>
          <w:tcPr>
            <w:tcW w:w="1893" w:type="dxa"/>
          </w:tcPr>
          <w:p w14:paraId="2DDB044E" w14:textId="77777777" w:rsidR="007B76C3" w:rsidRDefault="007B76C3" w:rsidP="001002E8">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O</w:t>
            </w:r>
          </w:p>
        </w:tc>
        <w:tc>
          <w:tcPr>
            <w:tcW w:w="1896" w:type="dxa"/>
          </w:tcPr>
          <w:p w14:paraId="4640DE1B" w14:textId="77777777" w:rsidR="007B76C3" w:rsidRDefault="007B76C3" w:rsidP="001002E8">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O</w:t>
            </w:r>
          </w:p>
        </w:tc>
      </w:tr>
      <w:tr w:rsidR="007B76C3" w14:paraId="6A725389" w14:textId="77777777" w:rsidTr="0054375B">
        <w:trPr>
          <w:trHeight w:val="733"/>
        </w:trPr>
        <w:tc>
          <w:tcPr>
            <w:cnfStyle w:val="001000000000" w:firstRow="0" w:lastRow="0" w:firstColumn="1" w:lastColumn="0" w:oddVBand="0" w:evenVBand="0" w:oddHBand="0" w:evenHBand="0" w:firstRowFirstColumn="0" w:firstRowLastColumn="0" w:lastRowFirstColumn="0" w:lastRowLastColumn="0"/>
            <w:tcW w:w="1892" w:type="dxa"/>
          </w:tcPr>
          <w:p w14:paraId="215D4E01" w14:textId="77777777" w:rsidR="007B76C3" w:rsidRPr="007B6F5C" w:rsidRDefault="007B76C3" w:rsidP="001002E8">
            <w:pPr>
              <w:spacing w:line="480" w:lineRule="auto"/>
              <w:jc w:val="both"/>
              <w:rPr>
                <w:rFonts w:ascii="Arial" w:hAnsi="Arial" w:cs="Arial"/>
                <w:b w:val="0"/>
                <w:color w:val="000000" w:themeColor="text1"/>
              </w:rPr>
            </w:pPr>
            <w:r w:rsidRPr="007B6F5C">
              <w:rPr>
                <w:rFonts w:ascii="Arial" w:hAnsi="Arial" w:cs="Arial"/>
                <w:b w:val="0"/>
                <w:color w:val="000000" w:themeColor="text1"/>
              </w:rPr>
              <w:t>GIP</w:t>
            </w:r>
          </w:p>
        </w:tc>
        <w:tc>
          <w:tcPr>
            <w:tcW w:w="1892" w:type="dxa"/>
          </w:tcPr>
          <w:p w14:paraId="138643B3"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Increase</w:t>
            </w:r>
          </w:p>
          <w:p w14:paraId="20DFDA82"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1893" w:type="dxa"/>
          </w:tcPr>
          <w:p w14:paraId="46CE74B5" w14:textId="77777777" w:rsidR="007B76C3" w:rsidRDefault="007B76C3" w:rsidP="001002E8">
            <w:pPr>
              <w:spacing w:line="48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O</w:t>
            </w:r>
          </w:p>
        </w:tc>
        <w:tc>
          <w:tcPr>
            <w:tcW w:w="1893" w:type="dxa"/>
          </w:tcPr>
          <w:p w14:paraId="79602887"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Increase</w:t>
            </w:r>
          </w:p>
          <w:p w14:paraId="78FFCF02"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1896" w:type="dxa"/>
          </w:tcPr>
          <w:p w14:paraId="08B56542"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No effect/</w:t>
            </w:r>
          </w:p>
          <w:p w14:paraId="31FA4D40" w14:textId="77777777" w:rsidR="007B76C3" w:rsidRDefault="007B76C3" w:rsidP="001002E8">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Increase</w:t>
            </w:r>
          </w:p>
        </w:tc>
      </w:tr>
      <w:tr w:rsidR="007B76C3" w14:paraId="75E05425" w14:textId="77777777" w:rsidTr="0054375B">
        <w:trPr>
          <w:cnfStyle w:val="000000100000" w:firstRow="0" w:lastRow="0" w:firstColumn="0" w:lastColumn="0" w:oddVBand="0" w:evenVBand="0" w:oddHBand="1" w:evenHBand="0" w:firstRowFirstColumn="0" w:firstRowLastColumn="0" w:lastRowFirstColumn="0" w:lastRowLastColumn="0"/>
          <w:trHeight w:val="733"/>
        </w:trPr>
        <w:tc>
          <w:tcPr>
            <w:cnfStyle w:val="001000000000" w:firstRow="0" w:lastRow="0" w:firstColumn="1" w:lastColumn="0" w:oddVBand="0" w:evenVBand="0" w:oddHBand="0" w:evenHBand="0" w:firstRowFirstColumn="0" w:firstRowLastColumn="0" w:lastRowFirstColumn="0" w:lastRowLastColumn="0"/>
            <w:tcW w:w="1892" w:type="dxa"/>
          </w:tcPr>
          <w:p w14:paraId="3EFB8CF4" w14:textId="77777777" w:rsidR="007B76C3" w:rsidRPr="007B6F5C" w:rsidRDefault="007B76C3" w:rsidP="001002E8">
            <w:pPr>
              <w:spacing w:line="480" w:lineRule="auto"/>
              <w:jc w:val="both"/>
              <w:rPr>
                <w:rFonts w:ascii="Arial" w:hAnsi="Arial" w:cs="Arial"/>
                <w:b w:val="0"/>
                <w:color w:val="000000" w:themeColor="text1"/>
              </w:rPr>
            </w:pPr>
            <w:r w:rsidRPr="007B6F5C">
              <w:rPr>
                <w:rFonts w:ascii="Arial" w:hAnsi="Arial" w:cs="Arial"/>
                <w:b w:val="0"/>
                <w:color w:val="000000" w:themeColor="text1"/>
              </w:rPr>
              <w:t>GLP1</w:t>
            </w:r>
          </w:p>
        </w:tc>
        <w:tc>
          <w:tcPr>
            <w:tcW w:w="1892" w:type="dxa"/>
          </w:tcPr>
          <w:p w14:paraId="535B52D8"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Increase</w:t>
            </w:r>
          </w:p>
          <w:p w14:paraId="7185F904"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c>
          <w:tcPr>
            <w:tcW w:w="1893" w:type="dxa"/>
          </w:tcPr>
          <w:p w14:paraId="3BAEF268"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Blunted increase</w:t>
            </w:r>
          </w:p>
        </w:tc>
        <w:tc>
          <w:tcPr>
            <w:tcW w:w="1893" w:type="dxa"/>
          </w:tcPr>
          <w:p w14:paraId="4196659C"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Increase</w:t>
            </w:r>
          </w:p>
          <w:p w14:paraId="41C4E5BE" w14:textId="77777777" w:rsidR="007B76C3" w:rsidRDefault="007B76C3" w:rsidP="001002E8">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p>
        </w:tc>
        <w:tc>
          <w:tcPr>
            <w:tcW w:w="1896" w:type="dxa"/>
          </w:tcPr>
          <w:p w14:paraId="39AE7C38" w14:textId="77777777" w:rsidR="007B76C3" w:rsidRDefault="007B76C3" w:rsidP="001002E8">
            <w:pPr>
              <w:spacing w:line="48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Pr>
                <w:rFonts w:ascii="Arial" w:hAnsi="Arial" w:cs="Arial"/>
                <w:color w:val="000000" w:themeColor="text1"/>
              </w:rPr>
              <w:t>Increase</w:t>
            </w:r>
          </w:p>
        </w:tc>
      </w:tr>
      <w:tr w:rsidR="007B76C3" w14:paraId="08598250" w14:textId="77777777" w:rsidTr="0054375B">
        <w:trPr>
          <w:trHeight w:val="641"/>
        </w:trPr>
        <w:tc>
          <w:tcPr>
            <w:cnfStyle w:val="001000000000" w:firstRow="0" w:lastRow="0" w:firstColumn="1" w:lastColumn="0" w:oddVBand="0" w:evenVBand="0" w:oddHBand="0" w:evenHBand="0" w:firstRowFirstColumn="0" w:firstRowLastColumn="0" w:lastRowFirstColumn="0" w:lastRowLastColumn="0"/>
            <w:tcW w:w="9466" w:type="dxa"/>
            <w:gridSpan w:val="5"/>
          </w:tcPr>
          <w:p w14:paraId="3A090D8C" w14:textId="77777777" w:rsidR="007B76C3" w:rsidRPr="007B6F5C" w:rsidRDefault="007B76C3" w:rsidP="001002E8">
            <w:pPr>
              <w:spacing w:line="480" w:lineRule="auto"/>
              <w:jc w:val="both"/>
              <w:rPr>
                <w:rFonts w:ascii="Arial" w:hAnsi="Arial" w:cs="Arial"/>
                <w:b w:val="0"/>
                <w:color w:val="000000" w:themeColor="text1"/>
                <w:sz w:val="22"/>
                <w:szCs w:val="22"/>
              </w:rPr>
            </w:pPr>
            <w:r w:rsidRPr="007B6F5C">
              <w:rPr>
                <w:rFonts w:ascii="Arial" w:hAnsi="Arial" w:cs="Arial"/>
                <w:b w:val="0"/>
                <w:color w:val="000000" w:themeColor="text1"/>
                <w:sz w:val="22"/>
                <w:szCs w:val="22"/>
              </w:rPr>
              <w:t>O: No studies available</w:t>
            </w:r>
          </w:p>
        </w:tc>
      </w:tr>
    </w:tbl>
    <w:p w14:paraId="6CE8F15B" w14:textId="77777777" w:rsidR="007B76C3" w:rsidRPr="00670F70" w:rsidRDefault="007B76C3" w:rsidP="007B76C3">
      <w:pPr>
        <w:pStyle w:val="Caption"/>
        <w:spacing w:line="360" w:lineRule="auto"/>
        <w:jc w:val="both"/>
        <w:rPr>
          <w:rFonts w:ascii="Arial" w:hAnsi="Arial" w:cs="Arial"/>
          <w:color w:val="1F497D" w:themeColor="text2"/>
          <w:sz w:val="24"/>
          <w:szCs w:val="24"/>
        </w:rPr>
      </w:pPr>
      <w:r w:rsidRPr="007B6F5C">
        <w:rPr>
          <w:rFonts w:ascii="Arial" w:hAnsi="Arial" w:cs="Arial"/>
          <w:b w:val="0"/>
          <w:color w:val="000000" w:themeColor="text1"/>
          <w:sz w:val="22"/>
          <w:szCs w:val="22"/>
        </w:rPr>
        <w:t xml:space="preserve">Reproduced from </w:t>
      </w:r>
      <w:r w:rsidRPr="007B6F5C">
        <w:rPr>
          <w:rFonts w:ascii="Arial" w:hAnsi="Arial" w:cs="Arial"/>
          <w:b w:val="0"/>
          <w:color w:val="000000" w:themeColor="text1"/>
          <w:sz w:val="22"/>
          <w:szCs w:val="22"/>
        </w:rPr>
        <w:fldChar w:fldCharType="begin"/>
      </w:r>
      <w:r w:rsidR="00A108A1">
        <w:rPr>
          <w:rFonts w:ascii="Arial" w:hAnsi="Arial" w:cs="Arial"/>
          <w:b w:val="0"/>
          <w:color w:val="000000" w:themeColor="text1"/>
          <w:sz w:val="22"/>
          <w:szCs w:val="22"/>
        </w:rPr>
        <w:instrText xml:space="preserve"> ADDIN EN.CITE &lt;EndNote&gt;&lt;Cite&gt;&lt;Author&gt;Karhunen&lt;/Author&gt;&lt;Year&gt;2008&lt;/Year&gt;&lt;RecNum&gt;118&lt;/RecNum&gt;&lt;DisplayText&gt;(Karhunen et al., 2008)&lt;/DisplayText&gt;&lt;record&gt;&lt;rec-number&gt;118&lt;/rec-number&gt;&lt;foreign-keys&gt;&lt;key app="EN" db-id="ae9rewfrpdttrheppfxxv0p4950wpd25r09x" timestamp="1520657888"&gt;118&lt;/key&gt;&lt;key app="ENWeb" db-id=""&gt;0&lt;/key&gt;&lt;/foreign-keys&gt;&lt;ref-type name="Journal Article"&gt;17&lt;/ref-type&gt;&lt;contributors&gt;&lt;authors&gt;&lt;author&gt;Karhunen, L. J.&lt;/author&gt;&lt;author&gt;Juvonen, K. R.&lt;/author&gt;&lt;author&gt;Huotari, A.&lt;/author&gt;&lt;author&gt;Purhonen, A. K.&lt;/author&gt;&lt;author&gt;Herzig, K. H.&lt;/author&gt;&lt;/authors&gt;&lt;/contributors&gt;&lt;titles&gt;&lt;title&gt;Effect of protein, fat, carbohydrate and fibre on gastrointestinal peptide release in humans&lt;/title&gt;&lt;secondary-title&gt;Regulatory Peptides&lt;/secondary-title&gt;&lt;/titles&gt;&lt;periodical&gt;&lt;full-title&gt;Regulatory Peptides&lt;/full-title&gt;&lt;/periodical&gt;&lt;pages&gt;70-78&lt;/pages&gt;&lt;volume&gt;149&lt;/volume&gt;&lt;number&gt;1-3&lt;/number&gt;&lt;keywords&gt;&lt;keyword&gt;Fibre&lt;/keyword&gt;&lt;keyword&gt;Humans&lt;/keyword&gt;&lt;keyword&gt;Intestine&lt;/keyword&gt;&lt;keyword&gt;Macronutrients&lt;/keyword&gt;&lt;keyword&gt;Peptide Release&lt;/keyword&gt;&lt;keyword&gt;Satiety&lt;/keyword&gt;&lt;/keywords&gt;&lt;dates&gt;&lt;year&gt;2008&lt;/year&gt;&lt;/dates&gt;&lt;isbn&gt;01670115&lt;/isbn&gt;&lt;urls&gt;&lt;/urls&gt;&lt;electronic-resource-num&gt;10.1016/j.regpep.2007.10.008&lt;/electronic-resource-num&gt;&lt;/record&gt;&lt;/Cite&gt;&lt;/EndNote&gt;</w:instrText>
      </w:r>
      <w:r w:rsidRPr="007B6F5C">
        <w:rPr>
          <w:rFonts w:ascii="Arial" w:hAnsi="Arial" w:cs="Arial"/>
          <w:b w:val="0"/>
          <w:color w:val="000000" w:themeColor="text1"/>
          <w:sz w:val="22"/>
          <w:szCs w:val="22"/>
        </w:rPr>
        <w:fldChar w:fldCharType="separate"/>
      </w:r>
      <w:r w:rsidRPr="007B6F5C">
        <w:rPr>
          <w:rFonts w:ascii="Arial" w:hAnsi="Arial" w:cs="Arial"/>
          <w:b w:val="0"/>
          <w:noProof/>
          <w:color w:val="000000" w:themeColor="text1"/>
          <w:sz w:val="22"/>
          <w:szCs w:val="22"/>
        </w:rPr>
        <w:t>(Karhunen et al., 2008)</w:t>
      </w:r>
      <w:r w:rsidRPr="007B6F5C">
        <w:rPr>
          <w:rFonts w:ascii="Arial" w:hAnsi="Arial" w:cs="Arial"/>
          <w:b w:val="0"/>
          <w:color w:val="000000" w:themeColor="text1"/>
          <w:sz w:val="22"/>
          <w:szCs w:val="22"/>
        </w:rPr>
        <w:fldChar w:fldCharType="end"/>
      </w:r>
    </w:p>
    <w:p w14:paraId="3F801609" w14:textId="77777777" w:rsidR="007B76C3" w:rsidRPr="00947EE3" w:rsidRDefault="00D34460" w:rsidP="008858B1">
      <w:pPr>
        <w:pStyle w:val="Heading3"/>
        <w:spacing w:line="480" w:lineRule="auto"/>
        <w:jc w:val="both"/>
        <w:rPr>
          <w:rFonts w:ascii="Arial" w:hAnsi="Arial" w:cs="Arial"/>
          <w:color w:val="auto"/>
        </w:rPr>
      </w:pPr>
      <w:bookmarkStart w:id="36" w:name="_Toc383723857"/>
      <w:r w:rsidRPr="00947EE3">
        <w:rPr>
          <w:rFonts w:ascii="Arial" w:hAnsi="Arial" w:cs="Arial"/>
          <w:color w:val="auto"/>
        </w:rPr>
        <w:lastRenderedPageBreak/>
        <w:t>1.4.7</w:t>
      </w:r>
      <w:r w:rsidR="007B76C3" w:rsidRPr="00947EE3">
        <w:rPr>
          <w:rFonts w:ascii="Arial" w:hAnsi="Arial" w:cs="Arial"/>
          <w:color w:val="auto"/>
        </w:rPr>
        <w:t xml:space="preserve"> Interlinks between endocrine system and bone homeostasis</w:t>
      </w:r>
      <w:bookmarkEnd w:id="36"/>
    </w:p>
    <w:p w14:paraId="2FDA395A" w14:textId="77777777" w:rsidR="007B76C3" w:rsidRPr="00461A48" w:rsidRDefault="007B76C3" w:rsidP="007B76C3">
      <w:pPr>
        <w:spacing w:line="480" w:lineRule="auto"/>
        <w:jc w:val="both"/>
        <w:rPr>
          <w:rFonts w:ascii="Arial" w:hAnsi="Arial" w:cs="Arial"/>
        </w:rPr>
      </w:pPr>
      <w:r>
        <w:rPr>
          <w:rFonts w:ascii="Arial" w:hAnsi="Arial" w:cs="Arial"/>
        </w:rPr>
        <w:t xml:space="preserve">The systems that regulate energy balance, metabolism and appetite are also central to the control of bone and mineral </w:t>
      </w:r>
      <w:r w:rsidR="005D789F">
        <w:rPr>
          <w:rFonts w:ascii="Arial" w:hAnsi="Arial" w:cs="Arial"/>
        </w:rPr>
        <w:t>homeostases</w:t>
      </w:r>
      <w:r>
        <w:rPr>
          <w:rFonts w:ascii="Arial" w:hAnsi="Arial" w:cs="Arial"/>
        </w:rPr>
        <w:t xml:space="preserve">. It has been shown that there are direct and indirect interlinks between food intake and bone turnover </w:t>
      </w:r>
      <w:r>
        <w:rPr>
          <w:rFonts w:ascii="Arial" w:hAnsi="Arial" w:cs="Arial"/>
        </w:rPr>
        <w:fldChar w:fldCharType="begin">
          <w:fldData xml:space="preserve">PEVuZE5vdGU+PENpdGU+PEF1dGhvcj5BbW1hbm48L0F1dGhvcj48WWVhcj4yMDAwPC9ZZWFyPjxS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PEVuZE5vdGU+PENpdGU+PEF1dGhvcj5BbW1hbm48L0F1dGhvcj48WWVhcj4yMDAwPC9ZZWFyPjxS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(Ammann et al., 2000, Ducy et al., 2000, Zeni et al., 2003, Naot and Cornish, 2008, Shi et al., 2008)</w:t>
      </w:r>
      <w:r>
        <w:rPr>
          <w:rFonts w:ascii="Arial" w:hAnsi="Arial" w:cs="Arial"/>
        </w:rPr>
        <w:fldChar w:fldCharType="end"/>
      </w:r>
      <w:r>
        <w:rPr>
          <w:rFonts w:ascii="Arial" w:hAnsi="Arial" w:cs="Arial"/>
        </w:rPr>
        <w:t>. Age-related changes in appetite, malnutrition and disorders of GI absorption are associated with increased risk of bone fractures, reduced bone mass and various bone diseases</w:t>
      </w:r>
      <w:r>
        <w:rPr>
          <w:rFonts w:ascii="Arial" w:hAnsi="Arial" w:cs="Lucida Grande"/>
          <w:szCs w:val="26"/>
        </w:rPr>
        <w:t xml:space="preserve"> </w:t>
      </w:r>
      <w:r>
        <w:rPr>
          <w:rFonts w:ascii="Arial" w:hAnsi="Arial" w:cs="Lucida Grande"/>
          <w:szCs w:val="26"/>
        </w:rPr>
        <w:fldChar w:fldCharType="begin"/>
      </w:r>
      <w:r w:rsidR="00B97465">
        <w:rPr>
          <w:rFonts w:ascii="Arial" w:hAnsi="Arial" w:cs="Lucida Grande"/>
          <w:szCs w:val="26"/>
        </w:rPr>
        <w:instrText xml:space="preserve"> ADDIN EN.CITE &lt;EndNote&gt;&lt;Cite&gt;&lt;Author&gt;Bernstein&lt;/Author&gt;&lt;Year&gt;2003&lt;/Year&gt;&lt;RecNum&gt;149&lt;/RecNum&gt;&lt;DisplayText&gt;(Bernstein and Leslie, 2003, Moss et al., 2012)&lt;/DisplayText&gt;&lt;record&gt;&lt;rec-number&gt;149&lt;/rec-number&gt;&lt;foreign-keys&gt;&lt;key app="EN" db-id="ae9rewfrpdttrheppfxxv0p4950wpd25r09x" timestamp="1520657947"&gt;149&lt;/key&gt;&lt;/foreign-keys&gt;&lt;ref-type name="Journal Article"&gt;17&lt;/ref-type&gt;&lt;contributors&gt;&lt;authors&gt;&lt;author&gt;Bernstein, C. N.&lt;/author&gt;&lt;author&gt;Leslie, W. D. &lt;/author&gt;&lt;/authors&gt;&lt;/contributors&gt;&lt;titles&gt;&lt;title&gt;The pathophysiology of bone disease in gastrointestinal disease.&lt;/title&gt;&lt;secondary-title&gt;European Journal Gastroenterology and Hepatology&lt;/secondary-title&gt;&lt;/titles&gt;&lt;periodical&gt;&lt;full-title&gt;European Journal Gastroenterology and Hepatology&lt;/full-title&gt;&lt;/periodical&gt;&lt;pages&gt;857-64&lt;/pages&gt;&lt;volume&gt;15(8)&lt;/volume&gt;&lt;dates&gt;&lt;year&gt;2003&lt;/year&gt;&lt;/dates&gt;&lt;urls&gt;&lt;/urls&gt;&lt;/record&gt;&lt;/Cite&gt;&lt;Cite&gt;&lt;Author&gt;Moss&lt;/Author&gt;&lt;Year&gt;2012&lt;/Year&gt;&lt;RecNum&gt;150&lt;/RecNum&gt;&lt;record&gt;&lt;rec-number&gt;150&lt;/rec-number&gt;&lt;foreign-keys&gt;&lt;key app="EN" db-id="ae9rewfrpdttrheppfxxv0p4950wpd25r09x" timestamp="1520657947"&gt;150&lt;/key&gt;&lt;key app="ENWeb" db-id=""&gt;0&lt;/key&gt;&lt;/foreign-keys&gt;&lt;ref-type name="Journal Article"&gt;17&lt;/ref-type&gt;&lt;contributors&gt;&lt;authors&gt;&lt;author&gt;Moss, C.&lt;/author&gt;&lt;author&gt;Dhillo, W. S.&lt;/author&gt;&lt;author&gt;Frost, G.&lt;/author&gt;&lt;author&gt;Hickson, M.&lt;/author&gt;&lt;/authors&gt;&lt;/contributors&gt;&lt;titles&gt;&lt;title&gt;Gastrointestinal hormones: the regulation of appetite and the anorexia of ageing&lt;/title&gt;&lt;secondary-title&gt;Journal of Human Nutrition and Dietetics&lt;/secondary-title&gt;&lt;/titles&gt;&lt;periodical&gt;&lt;full-title&gt;Journal of Human Nutrition and Dietetics&lt;/full-title&gt;&lt;/periodical&gt;&lt;pages&gt;3-15&lt;/pages&gt;&lt;volume&gt;25&lt;/volume&gt;&lt;number&gt;1&lt;/number&gt;&lt;keywords&gt;&lt;keyword&gt;Appetite&lt;/keyword&gt;&lt;keyword&gt;Elderly&lt;/keyword&gt;&lt;keyword&gt;Gut Hormones&lt;/keyword&gt;&lt;keyword&gt;Malnutrition&lt;/keyword&gt;&lt;/keywords&gt;&lt;dates&gt;&lt;year&gt;2012&lt;/year&gt;&lt;/dates&gt;&lt;pub-location&gt;Oxford, UK&lt;/pub-location&gt;&lt;isbn&gt;0952-3871&lt;/isbn&gt;&lt;urls&gt;&lt;/urls&gt;&lt;electronic-resource-num&gt;10.1111/j.1365-277X.2011.01211.x&lt;/electronic-resource-num&gt;&lt;/record&gt;&lt;/Cite&gt;&lt;/EndNote&gt;</w:instrText>
      </w:r>
      <w:r>
        <w:rPr>
          <w:rFonts w:ascii="Arial" w:hAnsi="Arial" w:cs="Lucida Grande"/>
          <w:szCs w:val="26"/>
        </w:rPr>
        <w:fldChar w:fldCharType="separate"/>
      </w:r>
      <w:r>
        <w:rPr>
          <w:rFonts w:ascii="Arial" w:hAnsi="Arial" w:cs="Lucida Grande"/>
          <w:noProof/>
          <w:szCs w:val="26"/>
        </w:rPr>
        <w:t>(Bernstein and Leslie, 2003, Moss et al., 2012)</w:t>
      </w:r>
      <w:r>
        <w:rPr>
          <w:rFonts w:ascii="Arial" w:hAnsi="Arial" w:cs="Lucida Grande"/>
          <w:szCs w:val="26"/>
        </w:rPr>
        <w:fldChar w:fldCharType="end"/>
      </w:r>
      <w:r>
        <w:rPr>
          <w:rFonts w:ascii="Arial" w:hAnsi="Arial" w:cs="Lucida Grande"/>
          <w:szCs w:val="26"/>
        </w:rPr>
        <w:t xml:space="preserve">. </w:t>
      </w:r>
      <w:r>
        <w:rPr>
          <w:rFonts w:ascii="Arial" w:hAnsi="Arial" w:cs="Arial"/>
        </w:rPr>
        <w:t>These suggest that sufficient intake of n</w:t>
      </w:r>
      <w:r w:rsidRPr="00B841B5">
        <w:rPr>
          <w:rFonts w:ascii="Arial" w:hAnsi="Arial" w:cs="Arial"/>
        </w:rPr>
        <w:t>utrient</w:t>
      </w:r>
      <w:r>
        <w:rPr>
          <w:rFonts w:ascii="Arial" w:hAnsi="Arial" w:cs="Arial"/>
        </w:rPr>
        <w:t xml:space="preserve">s and normal GI </w:t>
      </w:r>
      <w:proofErr w:type="gramStart"/>
      <w:r>
        <w:rPr>
          <w:rFonts w:ascii="Arial" w:hAnsi="Arial" w:cs="Arial"/>
        </w:rPr>
        <w:t>function are</w:t>
      </w:r>
      <w:proofErr w:type="gramEnd"/>
      <w:r>
        <w:rPr>
          <w:rFonts w:ascii="Arial" w:hAnsi="Arial" w:cs="Arial"/>
        </w:rPr>
        <w:t xml:space="preserve"> essential for the skeletal health. Bone appears to exert reciprocal influences on endocrine system and energy metabolism through various mechanisms and feedback loops </w:t>
      </w:r>
      <w:r>
        <w:rPr>
          <w:rFonts w:ascii="Arial" w:hAnsi="Arial" w:cs="Arial"/>
        </w:rPr>
        <w:fldChar w:fldCharType="begin">
          <w:fldData xml:space="preserve">PEVuZE5vdGU+PENpdGU+PEF1dGhvcj5GZXJyb248L0F1dGhvcj48WWVhcj4yMDA4PC9ZZWFyPjxS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</w:fldData>
        </w:fldChar>
      </w:r>
      <w:r w:rsidR="00651EFF">
        <w:rPr>
          <w:rFonts w:ascii="Arial" w:hAnsi="Arial" w:cs="Arial"/>
        </w:rPr>
        <w:instrText xml:space="preserve"> ADDIN EN.CITE </w:instrText>
      </w:r>
      <w:r w:rsidR="00651EFF">
        <w:rPr>
          <w:rFonts w:ascii="Arial" w:hAnsi="Arial" w:cs="Arial"/>
        </w:rPr>
        <w:fldChar w:fldCharType="begin">
          <w:fldData xml:space="preserve">PEVuZE5vdGU+PENpdGU+PEF1dGhvcj5GZXJyb248L0F1dGhvcj48WWVhcj4yMDA4PC9ZZWFyPjxS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</w:fldData>
        </w:fldChar>
      </w:r>
      <w:r w:rsidR="00651EFF">
        <w:rPr>
          <w:rFonts w:ascii="Arial" w:hAnsi="Arial" w:cs="Arial"/>
        </w:rPr>
        <w:instrText xml:space="preserve"> ADDIN EN.CITE.DATA </w:instrText>
      </w:r>
      <w:r w:rsidR="00651EFF">
        <w:rPr>
          <w:rFonts w:ascii="Arial" w:hAnsi="Arial" w:cs="Arial"/>
        </w:rPr>
      </w:r>
      <w:r w:rsidR="00651EFF">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(Ferron et al., 2008, Hinoi et al., 2009)</w:t>
      </w:r>
      <w:r>
        <w:rPr>
          <w:rFonts w:ascii="Arial" w:hAnsi="Arial" w:cs="Arial"/>
        </w:rPr>
        <w:fldChar w:fldCharType="end"/>
      </w:r>
      <w:r>
        <w:rPr>
          <w:rFonts w:ascii="Arial" w:hAnsi="Arial" w:cs="Arial"/>
        </w:rPr>
        <w:t xml:space="preserve">. </w:t>
      </w:r>
    </w:p>
    <w:p w14:paraId="61D7029E" w14:textId="77777777" w:rsidR="007B76C3" w:rsidRDefault="007B76C3" w:rsidP="007B76C3">
      <w:pPr>
        <w:spacing w:line="360" w:lineRule="auto"/>
        <w:jc w:val="both"/>
        <w:rPr>
          <w:rFonts w:ascii="Arial" w:hAnsi="Arial" w:cs="Calibri"/>
          <w:bCs/>
          <w:color w:val="000000"/>
        </w:rPr>
      </w:pPr>
    </w:p>
    <w:p w14:paraId="108C47D6" w14:textId="77777777" w:rsidR="007B76C3" w:rsidRDefault="007B76C3" w:rsidP="007B76C3">
      <w:pPr>
        <w:spacing w:line="480" w:lineRule="auto"/>
        <w:jc w:val="both"/>
        <w:rPr>
          <w:rFonts w:ascii="Arial" w:hAnsi="Arial"/>
        </w:rPr>
      </w:pPr>
      <w:r>
        <w:rPr>
          <w:rFonts w:ascii="Arial" w:hAnsi="Arial" w:cs="Arial"/>
        </w:rPr>
        <w:t xml:space="preserve">Previous studies have shown that </w:t>
      </w:r>
      <w:r w:rsidRPr="001E60DB">
        <w:rPr>
          <w:rFonts w:ascii="Arial" w:hAnsi="Arial" w:cs="Arial"/>
          <w:b/>
        </w:rPr>
        <w:t>ghrelin</w:t>
      </w:r>
      <w:r>
        <w:rPr>
          <w:rFonts w:ascii="Arial" w:hAnsi="Arial" w:cs="Arial"/>
        </w:rPr>
        <w:t xml:space="preserve"> may have anabolic effects on bone and directly regulates bone formation. It stimulates osteoblast proliferation and differentiation in humans and rodents and </w:t>
      </w:r>
      <w:r w:rsidRPr="00C67F0B">
        <w:rPr>
          <w:rFonts w:ascii="Arial" w:hAnsi="Arial"/>
        </w:rPr>
        <w:t xml:space="preserve">inhibits osteoblastic apoptosis </w:t>
      </w:r>
      <w:r w:rsidRPr="00C67F0B">
        <w:rPr>
          <w:rFonts w:ascii="Arial" w:hAnsi="Arial"/>
          <w:i/>
        </w:rPr>
        <w:t>in vitro</w:t>
      </w:r>
      <w:r>
        <w:rPr>
          <w:rFonts w:ascii="Arial" w:hAnsi="Arial"/>
          <w:i/>
        </w:rPr>
        <w:t xml:space="preserve"> </w:t>
      </w:r>
      <w:r w:rsidRPr="00DB1F4D">
        <w:rPr>
          <w:rFonts w:ascii="Arial" w:hAnsi="Arial"/>
        </w:rPr>
        <w:fldChar w:fldCharType="begin">
          <w:fldData xml:space="preserve">PEVuZE5vdGU+PENpdGU+PEF1dGhvcj5GdWt1c2hpbWE8L0F1dGhvcj48WWVhcj4yMDA1PC9ZZWFy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</w:fldData>
        </w:fldChar>
      </w:r>
      <w:r w:rsidR="0000415D">
        <w:rPr>
          <w:rFonts w:ascii="Arial" w:hAnsi="Arial"/>
        </w:rPr>
        <w:instrText xml:space="preserve"> ADDIN EN.CITE </w:instrText>
      </w:r>
      <w:r w:rsidR="0000415D">
        <w:rPr>
          <w:rFonts w:ascii="Arial" w:hAnsi="Arial"/>
        </w:rPr>
        <w:fldChar w:fldCharType="begin">
          <w:fldData xml:space="preserve">PEVuZE5vdGU+PENpdGU+PEF1dGhvcj5GdWt1c2hpbWE8L0F1dGhvcj48WWVhcj4yMDA1PC9ZZWFy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Pr="00DB1F4D">
        <w:rPr>
          <w:rFonts w:ascii="Arial" w:hAnsi="Arial"/>
        </w:rPr>
      </w:r>
      <w:r w:rsidRPr="00DB1F4D">
        <w:rPr>
          <w:rFonts w:ascii="Arial" w:hAnsi="Arial"/>
        </w:rPr>
        <w:fldChar w:fldCharType="separate"/>
      </w:r>
      <w:r>
        <w:rPr>
          <w:rFonts w:ascii="Arial" w:hAnsi="Arial"/>
          <w:noProof/>
        </w:rPr>
        <w:t>(Fukushima et al., 2005, Kim et al., 2005, Maccarinelli et al., 2005, Sibilia et al., 2005, Delhanty et al., 2006)</w:t>
      </w:r>
      <w:r w:rsidRPr="00DB1F4D">
        <w:rPr>
          <w:rFonts w:ascii="Arial" w:hAnsi="Arial"/>
        </w:rPr>
        <w:fldChar w:fldCharType="end"/>
      </w:r>
      <w:r w:rsidR="006B6D0E">
        <w:rPr>
          <w:rFonts w:ascii="Arial" w:hAnsi="Arial"/>
        </w:rPr>
        <w:t xml:space="preserve">. </w:t>
      </w:r>
      <w:r>
        <w:rPr>
          <w:rFonts w:ascii="Arial" w:hAnsi="Arial"/>
        </w:rPr>
        <w:t xml:space="preserve">Administration of ghrelin was shown to reduce the sympathetic tone and increase food intake in rats indicating that ghrelin may centrally stimulate bone formation and decrease bone resorption </w:t>
      </w:r>
      <w:r w:rsidR="00AE2D6D">
        <w:rPr>
          <w:rFonts w:ascii="Arial" w:hAnsi="Arial"/>
        </w:rPr>
        <w:fldChar w:fldCharType="begin"/>
      </w:r>
      <w:r w:rsidR="00A108A1">
        <w:rPr>
          <w:rFonts w:ascii="Arial" w:hAnsi="Arial"/>
        </w:rPr>
        <w:instrText xml:space="preserve"> ADDIN EN.CITE &lt;EndNote&gt;&lt;Cite&gt;&lt;Author&gt;Yasuda&lt;/Author&gt;&lt;Year&gt;2003&lt;/Year&gt;&lt;RecNum&gt;396&lt;/RecNum&gt;&lt;DisplayText&gt;(Yasuda et al., 2003)&lt;/DisplayText&gt;&lt;record&gt;&lt;rec-number&gt;396&lt;/rec-number&gt;&lt;foreign-keys&gt;&lt;key app="EN" db-id="ae9rewfrpdttrheppfxxv0p4950wpd25r09x" timestamp="1520658302"&gt;396&lt;/key&gt;&lt;/foreign-keys&gt;&lt;ref-type name="Journal Article"&gt;17&lt;/ref-type&gt;&lt;contributors&gt;&lt;authors&gt;&lt;author&gt;Yasuda, Tohru&lt;/author&gt;&lt;author&gt;Masaki, Takayuki&lt;/author&gt;&lt;author&gt;Kakuma, Tetsuya&lt;/author&gt;&lt;author&gt;Yoshimatsu, Hironobu&lt;/author&gt;&lt;/authors&gt;&lt;/contributors&gt;&lt;titles&gt;&lt;title&gt;Centrally administered ghrelin suppresses sympathetic nerve activity in brown adipose tissue of rats&lt;/title&gt;&lt;secondary-title&gt;Neuroscience Letters&lt;/secondary-title&gt;&lt;/titles&gt;&lt;periodical&gt;&lt;full-title&gt;Neuroscience Letters&lt;/full-title&gt;&lt;/periodical&gt;&lt;pages&gt;75-78&lt;/pages&gt;&lt;volume&gt;349&lt;/volume&gt;&lt;number&gt;2&lt;/number&gt;&lt;keywords&gt;&lt;keyword&gt;Ghrelin&lt;/keyword&gt;&lt;keyword&gt;Brown Adipose Tissue&lt;/keyword&gt;&lt;keyword&gt;Sympathetic Nerve Activity&lt;/keyword&gt;&lt;/keywords&gt;&lt;dates&gt;&lt;year&gt;2003&lt;/year&gt;&lt;/dates&gt;&lt;isbn&gt;0304-3940&lt;/isbn&gt;&lt;urls&gt;&lt;/urls&gt;&lt;electronic-resource-num&gt;10.1016/S0304-3940(03)00789-4&lt;/electronic-resource-num&gt;&lt;/record&gt;&lt;/Cite&gt;&lt;/EndNote&gt;</w:instrText>
      </w:r>
      <w:r w:rsidR="00AE2D6D">
        <w:rPr>
          <w:rFonts w:ascii="Arial" w:hAnsi="Arial"/>
        </w:rPr>
        <w:fldChar w:fldCharType="separate"/>
      </w:r>
      <w:r w:rsidR="00AE2D6D">
        <w:rPr>
          <w:rFonts w:ascii="Arial" w:hAnsi="Arial"/>
          <w:noProof/>
        </w:rPr>
        <w:t>(Yasuda et al., 2003)</w:t>
      </w:r>
      <w:r w:rsidR="00AE2D6D">
        <w:rPr>
          <w:rFonts w:ascii="Arial" w:hAnsi="Arial"/>
        </w:rPr>
        <w:fldChar w:fldCharType="end"/>
      </w:r>
      <w:r w:rsidR="00AE2D6D">
        <w:rPr>
          <w:rFonts w:ascii="Arial" w:hAnsi="Arial"/>
        </w:rPr>
        <w:t>.</w:t>
      </w:r>
      <w:r>
        <w:rPr>
          <w:rFonts w:ascii="Arial" w:hAnsi="Arial"/>
        </w:rPr>
        <w:t xml:space="preserve"> In addition to</w:t>
      </w:r>
      <w:r w:rsidRPr="0054310C">
        <w:rPr>
          <w:rFonts w:ascii="Arial" w:hAnsi="Arial"/>
        </w:rPr>
        <w:t xml:space="preserve"> the control of osteoclastogenesis and bone metabolism, ghrelin </w:t>
      </w:r>
      <w:r>
        <w:rPr>
          <w:rFonts w:ascii="Arial" w:hAnsi="Arial"/>
        </w:rPr>
        <w:t xml:space="preserve">also </w:t>
      </w:r>
      <w:r w:rsidRPr="0054310C">
        <w:rPr>
          <w:rFonts w:ascii="Arial" w:hAnsi="Arial"/>
        </w:rPr>
        <w:t xml:space="preserve">interacts with </w:t>
      </w:r>
      <w:r>
        <w:rPr>
          <w:rFonts w:ascii="Arial" w:hAnsi="Arial"/>
        </w:rPr>
        <w:t xml:space="preserve">leptin at </w:t>
      </w:r>
      <w:r w:rsidRPr="0054310C">
        <w:rPr>
          <w:rFonts w:ascii="Arial" w:hAnsi="Arial"/>
        </w:rPr>
        <w:t>neuropeptide Y/agouti-related protein</w:t>
      </w:r>
      <w:r>
        <w:rPr>
          <w:rFonts w:ascii="Arial" w:hAnsi="Arial"/>
        </w:rPr>
        <w:t xml:space="preserve"> (NPY/AgRP)</w:t>
      </w:r>
      <w:r w:rsidRPr="0054310C">
        <w:rPr>
          <w:rFonts w:ascii="Arial" w:hAnsi="Arial"/>
        </w:rPr>
        <w:t xml:space="preserve"> neurones of </w:t>
      </w:r>
      <w:r>
        <w:rPr>
          <w:rFonts w:ascii="Arial" w:hAnsi="Arial"/>
        </w:rPr>
        <w:t xml:space="preserve">the hypothalamic </w:t>
      </w:r>
      <w:r w:rsidRPr="0054310C">
        <w:rPr>
          <w:rFonts w:ascii="Arial" w:hAnsi="Arial"/>
        </w:rPr>
        <w:t>arcuate nucleus, where receptors of both hormones are expressed</w:t>
      </w:r>
      <w:r>
        <w:rPr>
          <w:rFonts w:ascii="Arial" w:hAnsi="Arial"/>
        </w:rPr>
        <w:t xml:space="preserve"> </w:t>
      </w:r>
      <w:r>
        <w:rPr>
          <w:rFonts w:ascii="Arial" w:hAnsi="Arial"/>
        </w:rPr>
        <w:fldChar w:fldCharType="begin"/>
      </w:r>
      <w:r w:rsidR="0000415D">
        <w:rPr>
          <w:rFonts w:ascii="Arial" w:hAnsi="Arial"/>
        </w:rPr>
        <w:instrText xml:space="preserve"> ADDIN EN.CITE &lt;EndNote&gt;&lt;Cite&gt;&lt;Author&gt;Nogueiras&lt;/Author&gt;&lt;Year&gt;2008&lt;/Year&gt;&lt;RecNum&gt;214&lt;/RecNum&gt;&lt;DisplayText&gt;(Nogueiras et al., 2008)&lt;/DisplayText&gt;&lt;record&gt;&lt;rec-number&gt;214&lt;/rec-number&gt;&lt;foreign-keys&gt;&lt;key app="EN" db-id="ae9rewfrpdttrheppfxxv0p4950wpd25r09x" timestamp="1520658192"&gt;214&lt;/key&gt;&lt;key app="ENWeb" db-id=""&gt;0&lt;/key&gt;&lt;/foreign-keys&gt;&lt;ref-type name="Journal Article"&gt;17&lt;/ref-type&gt;&lt;contributors&gt;&lt;authors&gt;&lt;author&gt;Nogueiras, Ruben&lt;/author&gt;&lt;author&gt;Tschöp, Matthias H.&lt;/author&gt;&lt;author&gt;Zigman, Jeffrey M.&lt;/author&gt;&lt;/authors&gt;&lt;/contributors&gt;&lt;titles&gt;&lt;title&gt;Central nervous system regulation of energy metabolism: Ghrelin versus leptin&lt;/title&gt;&lt;secondary-title&gt;Annals of the New York Academy of Sciences&lt;/secondary-title&gt;&lt;/titles&gt;&lt;periodical&gt;&lt;full-title&gt;Annals of the New York Academy of Sciences&lt;/full-title&gt;&lt;/periodical&gt;&lt;pages&gt;14-19&lt;/pages&gt;&lt;volume&gt;1126&lt;/volume&gt;&lt;keywords&gt;&lt;keyword&gt;Central Nervous System&lt;/keyword&gt;&lt;keyword&gt;Energy Balance Equation&lt;/keyword&gt;&lt;keyword&gt;Energy Partitioning&lt;/keyword&gt;&lt;keyword&gt;Ghrelin&lt;/keyword&gt;&lt;keyword&gt;Leptin&lt;/keyword&gt;&lt;keyword&gt;Melanocortin&lt;/keyword&gt;&lt;/keywords&gt;&lt;dates&gt;&lt;year&gt;2008&lt;/year&gt;&lt;/dates&gt;&lt;isbn&gt;00778923&lt;/isbn&gt;&lt;urls&gt;&lt;/urls&gt;&lt;electronic-resource-num&gt;10.1196/annals.1433.054&lt;/electronic-resource-num&gt;&lt;/record&gt;&lt;/Cite&gt;&lt;/EndNote&gt;</w:instrText>
      </w:r>
      <w:r>
        <w:rPr>
          <w:rFonts w:ascii="Arial" w:hAnsi="Arial"/>
        </w:rPr>
        <w:fldChar w:fldCharType="separate"/>
      </w:r>
      <w:r>
        <w:rPr>
          <w:rFonts w:ascii="Arial" w:hAnsi="Arial"/>
          <w:noProof/>
        </w:rPr>
        <w:t>(Nogueiras et al., 2008)</w:t>
      </w:r>
      <w:r>
        <w:rPr>
          <w:rFonts w:ascii="Arial" w:hAnsi="Arial"/>
        </w:rPr>
        <w:fldChar w:fldCharType="end"/>
      </w:r>
      <w:r>
        <w:rPr>
          <w:rFonts w:ascii="Arial" w:hAnsi="Arial"/>
        </w:rPr>
        <w:t xml:space="preserve">. </w:t>
      </w:r>
      <w:r w:rsidRPr="0054310C">
        <w:rPr>
          <w:rFonts w:ascii="Arial" w:hAnsi="Arial"/>
        </w:rPr>
        <w:t xml:space="preserve">Most importantly, these interactions and their effects on bone </w:t>
      </w:r>
      <w:r>
        <w:rPr>
          <w:rFonts w:ascii="Arial" w:hAnsi="Arial"/>
        </w:rPr>
        <w:t xml:space="preserve">and energy </w:t>
      </w:r>
      <w:r w:rsidRPr="0054310C">
        <w:rPr>
          <w:rFonts w:ascii="Arial" w:hAnsi="Arial"/>
        </w:rPr>
        <w:t xml:space="preserve">metabolism are affected by age </w:t>
      </w:r>
      <w:r>
        <w:rPr>
          <w:rFonts w:ascii="Arial" w:hAnsi="Arial"/>
        </w:rPr>
        <w:fldChar w:fldCharType="begin"/>
      </w:r>
      <w:r w:rsidR="0000415D">
        <w:rPr>
          <w:rFonts w:ascii="Arial" w:hAnsi="Arial"/>
        </w:rPr>
        <w:instrText xml:space="preserve"> ADDIN EN.CITE &lt;EndNote&gt;&lt;Cite&gt;&lt;Author&gt;van der Velde&lt;/Author&gt;&lt;Year&gt;2012&lt;/Year&gt;&lt;RecNum&gt;156&lt;/RecNum&gt;&lt;DisplayText&gt;(Van der Velde et al., 2012)&lt;/DisplayText&gt;&lt;record&gt;&lt;rec-number&gt;156&lt;/rec-number&gt;&lt;foreign-keys&gt;&lt;key app="EN" db-id="ae9rewfrpdttrheppfxxv0p4950wpd25r09x" timestamp="1520657961"&gt;156&lt;/key&gt;&lt;/foreign-keys&gt;&lt;ref-type name="Journal Article"&gt;17&lt;/ref-type&gt;&lt;contributors&gt;&lt;authors&gt;&lt;author&gt;Van der Velde, Martijn&lt;/author&gt;&lt;author&gt;Van der Eerden, Bram C. J.&lt;/author&gt;&lt;author&gt;Sun, Yuxiang&lt;/author&gt;&lt;author&gt;Almering, Julia M. M.&lt;/author&gt;&lt;author&gt;Van der Lely, Aart-Jan&lt;/author&gt;&lt;author&gt;Delhanty, Patric J. D.&lt;/author&gt;&lt;author&gt;Smith, Roy G.&lt;/author&gt;&lt;author&gt;Van Leeuwen, Johannes P. T. M.&lt;/author&gt;&lt;/authors&gt;&lt;/contributors&gt;&lt;titles&gt;&lt;title&gt;An Age-Dependent Interaction with Leptin Unmasks Ghrelin&amp;apos;s Bone-Protective Effects&lt;/title&gt;&lt;secondary-title&gt;Endocrinology&lt;/secondary-title&gt;&lt;/titles&gt;&lt;periodical&gt;&lt;full-title&gt;Endocrinology&lt;/full-title&gt;&lt;/periodical&gt;&lt;pages&gt;3593-3602&lt;/pages&gt;&lt;volume&gt;153&lt;/volume&gt;&lt;number&gt;8&lt;/number&gt;&lt;dates&gt;&lt;year&gt;2012&lt;/year&gt;&lt;pub-dates&gt;&lt;date&gt;Aug&lt;/date&gt;&lt;/pub-dates&gt;&lt;/dates&gt;&lt;isbn&gt;0013-7227&lt;/isbn&gt;&lt;accession-num&gt;WOS:000306652400008&lt;/accession-num&gt;&lt;urls&gt;&lt;related-urls&gt;&lt;url&gt;&amp;lt;Go to ISI&amp;gt;://WOS:000306652400008&lt;/url&gt;&lt;/related-urls&gt;&lt;/urls&gt;&lt;electronic-resource-num&gt;10.1210/en.2012-1277&lt;/electronic-resource-num&gt;&lt;/record&gt;&lt;/Cite&gt;&lt;/EndNote&gt;</w:instrText>
      </w:r>
      <w:r>
        <w:rPr>
          <w:rFonts w:ascii="Arial" w:hAnsi="Arial"/>
        </w:rPr>
        <w:fldChar w:fldCharType="separate"/>
      </w:r>
      <w:r w:rsidR="0000415D">
        <w:rPr>
          <w:rFonts w:ascii="Arial" w:hAnsi="Arial"/>
          <w:noProof/>
        </w:rPr>
        <w:t>(Van der Velde et al., 2012)</w:t>
      </w:r>
      <w:r>
        <w:rPr>
          <w:rFonts w:ascii="Arial" w:hAnsi="Arial"/>
        </w:rPr>
        <w:fldChar w:fldCharType="end"/>
      </w:r>
      <w:r>
        <w:rPr>
          <w:rFonts w:ascii="Arial" w:hAnsi="Arial"/>
        </w:rPr>
        <w:t>.</w:t>
      </w:r>
    </w:p>
    <w:p w14:paraId="70AC8773" w14:textId="77777777" w:rsidR="007B76C3" w:rsidRPr="00A61F77" w:rsidRDefault="007B76C3" w:rsidP="007B76C3">
      <w:pPr>
        <w:spacing w:line="480" w:lineRule="auto"/>
        <w:jc w:val="both"/>
        <w:rPr>
          <w:rFonts w:ascii="Arial" w:hAnsi="Arial"/>
        </w:rPr>
      </w:pPr>
    </w:p>
    <w:p w14:paraId="25D53526" w14:textId="77777777" w:rsidR="007B76C3" w:rsidRDefault="007B76C3" w:rsidP="007B76C3">
      <w:pPr>
        <w:spacing w:line="480" w:lineRule="auto"/>
        <w:jc w:val="both"/>
        <w:rPr>
          <w:rFonts w:ascii="Arial" w:hAnsi="Arial" w:cs="Calibri"/>
          <w:bCs/>
          <w:color w:val="000000"/>
        </w:rPr>
      </w:pPr>
      <w:r>
        <w:rPr>
          <w:rFonts w:ascii="Arial" w:hAnsi="Arial"/>
        </w:rPr>
        <w:t>Adipose</w:t>
      </w:r>
      <w:r w:rsidRPr="00FF701C">
        <w:rPr>
          <w:rFonts w:ascii="Arial" w:hAnsi="Arial"/>
        </w:rPr>
        <w:t xml:space="preserve"> derived hormone</w:t>
      </w:r>
      <w:r>
        <w:rPr>
          <w:rFonts w:ascii="Arial" w:hAnsi="Arial"/>
          <w:b/>
        </w:rPr>
        <w:t xml:space="preserve"> leptin </w:t>
      </w:r>
      <w:r w:rsidRPr="008B1CC9">
        <w:rPr>
          <w:rFonts w:ascii="Arial" w:hAnsi="Arial"/>
        </w:rPr>
        <w:t>plays</w:t>
      </w:r>
      <w:r>
        <w:rPr>
          <w:rFonts w:ascii="Arial" w:hAnsi="Arial"/>
        </w:rPr>
        <w:t xml:space="preserve"> an</w:t>
      </w:r>
      <w:r w:rsidRPr="008B1CC9">
        <w:rPr>
          <w:rFonts w:ascii="Arial" w:hAnsi="Arial"/>
        </w:rPr>
        <w:t xml:space="preserve"> </w:t>
      </w:r>
      <w:r>
        <w:rPr>
          <w:rFonts w:ascii="Arial" w:hAnsi="Arial"/>
        </w:rPr>
        <w:t xml:space="preserve">important role in central and peripheral regulation of bone homeostasis </w:t>
      </w:r>
      <w:r>
        <w:rPr>
          <w:rFonts w:ascii="Arial" w:hAnsi="Arial"/>
        </w:rPr>
        <w:fldChar w:fldCharType="begin"/>
      </w:r>
      <w:r w:rsidR="00A108A1">
        <w:rPr>
          <w:rFonts w:ascii="Arial" w:hAnsi="Arial"/>
        </w:rPr>
        <w:instrText xml:space="preserve"> ADDIN EN.CITE &lt;EndNote&gt;&lt;Cite&gt;&lt;Author&gt;Turner&lt;/Author&gt;&lt;Year&gt;2013&lt;/Year&gt;&lt;RecNum&gt;165&lt;/RecNum&gt;&lt;DisplayText&gt;(Turner et al., 2013)&lt;/DisplayText&gt;&lt;record&gt;&lt;rec-number&gt;165&lt;/rec-number&gt;&lt;foreign-keys&gt;&lt;key app="EN" db-id="ae9rewfrpdttrheppfxxv0p4950wpd25r09x" timestamp="1520657987"&gt;165&lt;/key&gt;&lt;key app="ENWeb" db-id=""&gt;0&lt;/key&gt;&lt;/foreign-keys&gt;&lt;ref-type name="Journal Article"&gt;17&lt;/ref-type&gt;&lt;contributors&gt;&lt;authors&gt;&lt;author&gt;Turner, Russell T.&lt;/author&gt;&lt;author&gt;Philbrick, Kenneth A.&lt;/author&gt;&lt;author&gt;Lindenmaier, Laurence B.&lt;/author&gt;&lt;author&gt;Iwaniec, Urszula T.&lt;/author&gt;&lt;author&gt;Kalra, Satya P.&lt;/author&gt;&lt;author&gt;Boghossian, Stephane&lt;/author&gt;&lt;author&gt;Wong, Carmen P.&lt;/author&gt;&lt;/authors&gt;&lt;/contributors&gt;&lt;titles&gt;&lt;title&gt;Peripheral leptin regulates bone formation&lt;/title&gt;&lt;secondary-title&gt;Journal of Bone and Mineral Research&lt;/secondary-title&gt;&lt;/titles&gt;&lt;periodical&gt;&lt;full-title&gt;Journal of Bone and Mineral Research&lt;/full-title&gt;&lt;/periodical&gt;&lt;pages&gt;22-34&lt;/pages&gt;&lt;volume&gt;28&lt;/volume&gt;&lt;number&gt;1&lt;/number&gt;&lt;keywords&gt;&lt;keyword&gt;Db/Db&lt;/keyword&gt;&lt;keyword&gt;Hypothalamus&lt;/keyword&gt;&lt;keyword&gt;Ob/Ob&lt;/keyword&gt;&lt;keyword&gt;Skeleton&lt;/keyword&gt;&lt;/keywords&gt;&lt;dates&gt;&lt;year&gt;2013&lt;/year&gt;&lt;/dates&gt;&lt;isbn&gt;08840431&lt;/isbn&gt;&lt;urls&gt;&lt;/urls&gt;&lt;electronic-resource-num&gt;10.1002/jbmr.1734&lt;/electronic-resource-num&gt;&lt;/record&gt;&lt;/Cite&gt;&lt;/EndNote&gt;</w:instrText>
      </w:r>
      <w:r>
        <w:rPr>
          <w:rFonts w:ascii="Arial" w:hAnsi="Arial"/>
        </w:rPr>
        <w:fldChar w:fldCharType="separate"/>
      </w:r>
      <w:r>
        <w:rPr>
          <w:rFonts w:ascii="Arial" w:hAnsi="Arial"/>
          <w:noProof/>
        </w:rPr>
        <w:t>(Turner et al., 2013)</w:t>
      </w:r>
      <w:r>
        <w:rPr>
          <w:rFonts w:ascii="Arial" w:hAnsi="Arial"/>
        </w:rPr>
        <w:fldChar w:fldCharType="end"/>
      </w:r>
      <w:r>
        <w:rPr>
          <w:rFonts w:ascii="Arial" w:hAnsi="Arial"/>
        </w:rPr>
        <w:t>. Leptin stimulates periosteal bone</w:t>
      </w:r>
      <w:r w:rsidR="00AE2D6D">
        <w:rPr>
          <w:rFonts w:ascii="Arial" w:hAnsi="Arial"/>
        </w:rPr>
        <w:t xml:space="preserve"> </w:t>
      </w:r>
      <w:r>
        <w:rPr>
          <w:rFonts w:ascii="Arial" w:hAnsi="Arial"/>
        </w:rPr>
        <w:lastRenderedPageBreak/>
        <w:t xml:space="preserve">formation and increases bone mass through its direct anabolic effects on osteoblasts and through CNS including stimulation of </w:t>
      </w:r>
      <w:r w:rsidRPr="00A5144B">
        <w:rPr>
          <w:rFonts w:ascii="Arial" w:hAnsi="Arial" w:cs="Calibri"/>
          <w:bCs/>
          <w:color w:val="000000"/>
        </w:rPr>
        <w:t>GH-IGF axis</w:t>
      </w:r>
      <w:r>
        <w:rPr>
          <w:rFonts w:ascii="Arial" w:hAnsi="Arial" w:cs="Calibri"/>
          <w:bCs/>
          <w:color w:val="000000"/>
        </w:rPr>
        <w:t xml:space="preserve"> and suppression of NPY, an inhibitor of </w:t>
      </w:r>
      <w:r w:rsidRPr="00FC3BEE">
        <w:rPr>
          <w:rFonts w:ascii="Arial" w:hAnsi="Arial" w:cs="Calibri"/>
          <w:bCs/>
          <w:color w:val="000000"/>
        </w:rPr>
        <w:t>bone formation</w:t>
      </w:r>
      <w:r>
        <w:rPr>
          <w:rFonts w:ascii="Arial" w:hAnsi="Arial" w:cs="Calibri"/>
          <w:bCs/>
          <w:color w:val="000000"/>
        </w:rPr>
        <w:t xml:space="preserve"> </w:t>
      </w:r>
      <w:r>
        <w:rPr>
          <w:rFonts w:ascii="Arial" w:hAnsi="Arial" w:cs="Calibri"/>
          <w:bCs/>
          <w:color w:val="000000"/>
        </w:rPr>
        <w:fldChar w:fldCharType="begin">
          <w:fldData xml:space="preserve">PEVuZE5vdGU+PENpdGU+PEF1dGhvcj5XZWx0PC9BdXRob3I+PFllYXI+MjAwNDwvWWVhcj48UmVj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PEVuZE5vdGU+PENpdGU+PEF1dGhvcj5XZWx0PC9BdXRob3I+PFllYXI+MjAwNDwvWWVhcj48UmVj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sidR="00B73FBB">
        <w:rPr>
          <w:rFonts w:ascii="Arial" w:hAnsi="Arial" w:cs="Calibri"/>
          <w:bCs/>
          <w:noProof/>
          <w:color w:val="000000"/>
        </w:rPr>
        <w:t>(Welt et al., 2004, Hamrick et al., 2008b)</w:t>
      </w:r>
      <w:r>
        <w:rPr>
          <w:rFonts w:ascii="Arial" w:hAnsi="Arial" w:cs="Calibri"/>
          <w:bCs/>
          <w:color w:val="000000"/>
        </w:rPr>
        <w:fldChar w:fldCharType="end"/>
      </w:r>
      <w:r>
        <w:rPr>
          <w:rFonts w:ascii="Arial" w:hAnsi="Arial" w:cs="Calibri"/>
          <w:bCs/>
          <w:color w:val="000000"/>
        </w:rPr>
        <w:t xml:space="preserve">. Leptin also acts through central neuroendocrine pathway by stimulating neuropeptide CART </w:t>
      </w:r>
      <w:r w:rsidRPr="00904CDF">
        <w:rPr>
          <w:rFonts w:ascii="Arial" w:hAnsi="Arial" w:cs="Calibri"/>
          <w:bCs/>
          <w:color w:val="000000"/>
        </w:rPr>
        <w:t>(cocaine and amphetamine regulated transcript) expression</w:t>
      </w:r>
      <w:r>
        <w:rPr>
          <w:rFonts w:ascii="Arial" w:hAnsi="Arial" w:cs="Calibri"/>
          <w:bCs/>
          <w:color w:val="000000"/>
        </w:rPr>
        <w:t xml:space="preserve"> </w:t>
      </w:r>
      <w:r>
        <w:rPr>
          <w:rFonts w:ascii="Arial" w:hAnsi="Arial" w:cs="Calibri"/>
          <w:bCs/>
          <w:color w:val="000000"/>
        </w:rPr>
        <w:fldChar w:fldCharType="begin"/>
      </w:r>
      <w:r>
        <w:rPr>
          <w:rFonts w:ascii="Arial" w:hAnsi="Arial" w:cs="Calibri"/>
          <w:bCs/>
          <w:color w:val="000000"/>
        </w:rPr>
        <w:instrText xml:space="preserve"> ADDIN EN.CITE &lt;EndNote&gt;&lt;Cite&gt;&lt;Author&gt;Elefteriou&lt;/Author&gt;&lt;Year&gt;2005&lt;/Year&gt;&lt;RecNum&gt;233&lt;/RecNum&gt;&lt;DisplayText&gt;(Elefteriou et al., 2005)&lt;/DisplayText&gt;&lt;record&gt;&lt;rec-number&gt;233&lt;/rec-number&gt;&lt;foreign-keys&gt;&lt;key app="EN" db-id="wpsvwwtdrfvxshef2e5prez9td52f02rxz5p" timestamp="1420438618"&gt;233&lt;/key&gt;&lt;/foreign-keys&gt;&lt;ref-type name="Journal Article"&gt;17&lt;/ref-type&gt;&lt;contributors&gt;&lt;authors&gt;&lt;author&gt;Elefteriou, Florent&lt;/author&gt;&lt;author&gt;Ahn, Jong Deok&lt;/author&gt;&lt;author&gt;Takeda, Shu&lt;/author&gt;&lt;author&gt;Starbuck, Michael&lt;/author&gt;&lt;author&gt;Yang, Xiangli&lt;/author&gt;&lt;author&gt;Liu, Xiuyun&lt;/author&gt;&lt;author&gt;Karsenty, Gerard&lt;/author&gt;&lt;author&gt;Kondo, Hisataka&lt;/author&gt;&lt;author&gt;Noda, Masaki&lt;/author&gt;&lt;author&gt;Richards, William G.&lt;/author&gt;&lt;author&gt;Bannon, Tony W.&lt;/author&gt;&lt;author&gt;Clement, Karine&lt;/author&gt;&lt;author&gt;Valsse, Christian&lt;/author&gt;&lt;/authors&gt;&lt;/contributors&gt;&lt;titles&gt;&lt;title&gt;Leptin regulation of bone resorption by the sympathetic nervous system and CART&lt;/title&gt;&lt;secondary-title&gt;Nature&lt;/secondary-title&gt;&lt;/titles&gt;&lt;periodical&gt;&lt;full-title&gt;Nature&lt;/full-title&gt;&lt;/periodical&gt;&lt;pages&gt;514-520&lt;/pages&gt;&lt;volume&gt;434&lt;/volume&gt;&lt;number&gt;7032&lt;/number&gt;&lt;dates&gt;&lt;year&gt;2005&lt;/year&gt;&lt;/dates&gt;&lt;isbn&gt;00280836&lt;/isbn&gt;&lt;urls&gt;&lt;/urls&gt;&lt;electronic-resource-num&gt;10.1038/nature03398&lt;/electronic-resource-num&gt;&lt;/record&gt;&lt;/Cite&gt;&lt;/EndNote&gt;</w:instrText>
      </w:r>
      <w:r>
        <w:rPr>
          <w:rFonts w:ascii="Arial" w:hAnsi="Arial" w:cs="Calibri"/>
          <w:bCs/>
          <w:color w:val="000000"/>
        </w:rPr>
        <w:fldChar w:fldCharType="separate"/>
      </w:r>
      <w:r>
        <w:rPr>
          <w:rFonts w:ascii="Arial" w:hAnsi="Arial" w:cs="Calibri"/>
          <w:bCs/>
          <w:noProof/>
          <w:color w:val="000000"/>
        </w:rPr>
        <w:t>(Elefteriou et al., 2005)</w:t>
      </w:r>
      <w:r>
        <w:rPr>
          <w:rFonts w:ascii="Arial" w:hAnsi="Arial" w:cs="Calibri"/>
          <w:bCs/>
          <w:color w:val="000000"/>
        </w:rPr>
        <w:fldChar w:fldCharType="end"/>
      </w:r>
      <w:r>
        <w:rPr>
          <w:rFonts w:ascii="Arial" w:hAnsi="Arial" w:cs="Calibri"/>
          <w:bCs/>
          <w:color w:val="000000"/>
        </w:rPr>
        <w:t xml:space="preserve">. </w:t>
      </w:r>
      <w:r>
        <w:rPr>
          <w:rFonts w:ascii="Arial" w:hAnsi="Arial"/>
        </w:rPr>
        <w:t xml:space="preserve">Since leptin is produced by adipocytes it is present in bone marrow and, therefore, directly acts within bone microenvironment having direct effects on bone cells, which according </w:t>
      </w:r>
      <w:r w:rsidR="00480B8C">
        <w:rPr>
          <w:rFonts w:ascii="Arial" w:hAnsi="Arial"/>
        </w:rPr>
        <w:t xml:space="preserve">to </w:t>
      </w:r>
      <w:r>
        <w:rPr>
          <w:rFonts w:ascii="Arial" w:hAnsi="Arial"/>
        </w:rPr>
        <w:t>numerous studies express leptin receptors</w:t>
      </w:r>
      <w:r w:rsidR="00453BCC" w:rsidRPr="00453BCC">
        <w:rPr>
          <w:rFonts w:ascii="Arial" w:hAnsi="Arial" w:cs="Calibri"/>
          <w:bCs/>
          <w:color w:val="000000"/>
        </w:rPr>
        <w:t xml:space="preserve"> </w:t>
      </w:r>
      <w:r w:rsidR="00453BCC">
        <w:rPr>
          <w:rFonts w:ascii="Arial" w:hAnsi="Arial" w:cs="Calibri"/>
          <w:bCs/>
          <w:color w:val="000000"/>
        </w:rPr>
        <w:t>(Lepr)</w:t>
      </w:r>
      <w:r>
        <w:rPr>
          <w:rFonts w:ascii="Arial" w:hAnsi="Arial"/>
        </w:rPr>
        <w:t xml:space="preserve"> </w:t>
      </w:r>
      <w:r>
        <w:rPr>
          <w:rFonts w:ascii="Arial" w:hAnsi="Arial" w:cs="Calibri"/>
          <w:bCs/>
          <w:color w:val="000000"/>
        </w:rPr>
        <w:fldChar w:fldCharType="begin">
          <w:fldData xml:space="preserve">PEVuZE5vdGU+PENpdGU+PEF1dGhvcj5Jd2Ftb3RvPC9BdXRob3I+PFllYXI+MjAwNDwvWWVhcj48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PEVuZE5vdGU+PENpdGU+PEF1dGhvcj5Jd2Ftb3RvPC9BdXRob3I+PFllYXI+MjAwNDwvWWVhcj48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(Iwamoto et al., 2004, Hess et al., 2005, Burguera et al., 2006, Scheller et al., 2010)</w:t>
      </w:r>
      <w:r>
        <w:rPr>
          <w:rFonts w:ascii="Arial" w:hAnsi="Arial" w:cs="Calibri"/>
          <w:bCs/>
          <w:color w:val="000000"/>
        </w:rPr>
        <w:fldChar w:fldCharType="end"/>
      </w:r>
      <w:r>
        <w:rPr>
          <w:rFonts w:ascii="Arial" w:hAnsi="Arial" w:cs="Calibri"/>
          <w:bCs/>
          <w:color w:val="000000"/>
        </w:rPr>
        <w:t xml:space="preserve">. </w:t>
      </w:r>
    </w:p>
    <w:p w14:paraId="7F64BBB5" w14:textId="77777777" w:rsidR="007B76C3" w:rsidRDefault="007B76C3" w:rsidP="007B76C3">
      <w:pPr>
        <w:spacing w:line="480" w:lineRule="auto"/>
        <w:jc w:val="both"/>
        <w:rPr>
          <w:rFonts w:ascii="Arial" w:hAnsi="Arial" w:cs="Calibri"/>
          <w:bCs/>
          <w:color w:val="000000"/>
        </w:rPr>
      </w:pPr>
    </w:p>
    <w:p w14:paraId="568204D7" w14:textId="77777777" w:rsidR="007B76C3" w:rsidRDefault="007B76C3" w:rsidP="007B76C3">
      <w:pPr>
        <w:spacing w:line="480" w:lineRule="auto"/>
        <w:jc w:val="both"/>
        <w:rPr>
          <w:rFonts w:ascii="Arial" w:hAnsi="Arial" w:cs="Calibri"/>
          <w:bCs/>
          <w:color w:val="000000"/>
        </w:rPr>
      </w:pPr>
      <w:r>
        <w:rPr>
          <w:rFonts w:ascii="Arial" w:hAnsi="Arial" w:cs="Calibri"/>
          <w:bCs/>
          <w:color w:val="000000"/>
        </w:rPr>
        <w:t>L</w:t>
      </w:r>
      <w:r w:rsidRPr="00904CDF">
        <w:rPr>
          <w:rFonts w:ascii="Arial" w:hAnsi="Arial" w:cs="Calibri"/>
          <w:bCs/>
          <w:color w:val="000000"/>
        </w:rPr>
        <w:t xml:space="preserve">eptin antiosteogenic function is mediated by the sympathetic nervous system (SNS) acting through </w:t>
      </w:r>
      <w:r>
        <w:rPr>
          <w:rFonts w:ascii="Arial" w:hAnsi="Arial" w:cs="Arial"/>
          <w:bCs/>
          <w:color w:val="000000"/>
        </w:rPr>
        <w:t>β</w:t>
      </w:r>
      <w:r w:rsidRPr="00904CDF">
        <w:rPr>
          <w:rFonts w:ascii="Arial" w:hAnsi="Arial" w:cs="Calibri"/>
          <w:bCs/>
          <w:color w:val="000000"/>
        </w:rPr>
        <w:t xml:space="preserve">2 adrenergic receptors </w:t>
      </w:r>
      <w:r>
        <w:rPr>
          <w:rFonts w:ascii="Arial" w:hAnsi="Arial" w:cs="Calibri"/>
          <w:bCs/>
          <w:color w:val="000000"/>
        </w:rPr>
        <w:t xml:space="preserve">expressed on </w:t>
      </w:r>
      <w:r w:rsidRPr="00EB5D36">
        <w:rPr>
          <w:rFonts w:ascii="Arial" w:hAnsi="Arial" w:cs="Calibri"/>
          <w:bCs/>
          <w:color w:val="000000"/>
        </w:rPr>
        <w:t>osteoblasts</w:t>
      </w:r>
      <w:r>
        <w:rPr>
          <w:rFonts w:ascii="Arial" w:hAnsi="Arial" w:cs="Calibri"/>
          <w:bCs/>
          <w:color w:val="000000"/>
        </w:rPr>
        <w:t xml:space="preserve">. Leptin indirectly increases bone resorption and inhibits bone formation ultimately reducing the bone mass </w:t>
      </w:r>
      <w:r>
        <w:rPr>
          <w:rFonts w:ascii="Arial" w:hAnsi="Arial" w:cs="Calibri"/>
          <w:bCs/>
          <w:color w:val="000000"/>
        </w:rPr>
        <w:fldChar w:fldCharType="begin">
          <w:fldData xml:space="preserve">PEVuZE5vdGU+PENpdGU+PEF1dGhvcj5FbGVmdGVyaW91PC9BdXRob3I+PFllYXI+MjAwNTwvWWVh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</w:fldData>
        </w:fldChar>
      </w:r>
      <w:r w:rsidR="00651EFF">
        <w:rPr>
          <w:rFonts w:ascii="Arial" w:hAnsi="Arial" w:cs="Calibri"/>
          <w:bCs/>
          <w:color w:val="000000"/>
        </w:rPr>
        <w:instrText xml:space="preserve"> ADDIN EN.CITE </w:instrText>
      </w:r>
      <w:r w:rsidR="00651EFF">
        <w:rPr>
          <w:rFonts w:ascii="Arial" w:hAnsi="Arial" w:cs="Calibri"/>
          <w:bCs/>
          <w:color w:val="000000"/>
        </w:rPr>
        <w:fldChar w:fldCharType="begin">
          <w:fldData xml:space="preserve">PEVuZE5vdGU+PENpdGU+PEF1dGhvcj5FbGVmdGVyaW91PC9BdXRob3I+PFllYXI+MjAwNTwvWWVh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</w:fldData>
        </w:fldChar>
      </w:r>
      <w:r w:rsidR="00651EFF">
        <w:rPr>
          <w:rFonts w:ascii="Arial" w:hAnsi="Arial" w:cs="Calibri"/>
          <w:bCs/>
          <w:color w:val="000000"/>
        </w:rPr>
        <w:instrText xml:space="preserve"> ADDIN EN.CITE.DATA </w:instrText>
      </w:r>
      <w:r w:rsidR="00651EFF">
        <w:rPr>
          <w:rFonts w:ascii="Arial" w:hAnsi="Arial" w:cs="Calibri"/>
          <w:bCs/>
          <w:color w:val="000000"/>
        </w:rPr>
      </w:r>
      <w:r w:rsidR="00651EFF">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sidR="00B73FBB">
        <w:rPr>
          <w:rFonts w:ascii="Arial" w:hAnsi="Arial" w:cs="Calibri"/>
          <w:bCs/>
          <w:noProof/>
          <w:color w:val="000000"/>
        </w:rPr>
        <w:t>(Elefteriou et al., 2005, Hamrick et al., 2008b, Yadav et al., 2009)</w:t>
      </w:r>
      <w:r>
        <w:rPr>
          <w:rFonts w:ascii="Arial" w:hAnsi="Arial" w:cs="Calibri"/>
          <w:bCs/>
          <w:color w:val="000000"/>
        </w:rPr>
        <w:fldChar w:fldCharType="end"/>
      </w:r>
      <w:r w:rsidR="00AE2D6D">
        <w:rPr>
          <w:rFonts w:ascii="Arial" w:hAnsi="Arial" w:cs="Calibri"/>
          <w:bCs/>
          <w:color w:val="000000"/>
        </w:rPr>
        <w:t xml:space="preserve">. A study by Kapur et al. </w:t>
      </w:r>
      <w:r>
        <w:rPr>
          <w:rFonts w:ascii="Arial" w:hAnsi="Arial" w:cs="Calibri"/>
          <w:bCs/>
          <w:color w:val="000000"/>
        </w:rPr>
        <w:t xml:space="preserve">revealed the role of leptin </w:t>
      </w:r>
      <w:r w:rsidR="00AE2D6D">
        <w:rPr>
          <w:rFonts w:ascii="Arial" w:hAnsi="Arial" w:cs="Calibri"/>
          <w:bCs/>
          <w:color w:val="000000"/>
        </w:rPr>
        <w:t>signalling</w:t>
      </w:r>
      <w:r>
        <w:rPr>
          <w:rFonts w:ascii="Arial" w:hAnsi="Arial" w:cs="Calibri"/>
          <w:bCs/>
          <w:color w:val="000000"/>
        </w:rPr>
        <w:t xml:space="preserve"> in direct negative regulation of bone’s adaptive response to mechanical loading </w:t>
      </w:r>
      <w:r w:rsidRPr="00293B5E">
        <w:rPr>
          <w:rFonts w:ascii="Arial" w:hAnsi="Arial" w:cs="Calibri"/>
          <w:bCs/>
          <w:i/>
          <w:color w:val="000000"/>
        </w:rPr>
        <w:t>in vivo</w:t>
      </w:r>
      <w:r>
        <w:rPr>
          <w:rFonts w:ascii="Arial" w:hAnsi="Arial" w:cs="Calibri"/>
          <w:bCs/>
          <w:color w:val="000000"/>
        </w:rPr>
        <w:t xml:space="preserve"> and osteoblastic cells to the fluid shear stress </w:t>
      </w:r>
      <w:r w:rsidRPr="00293B5E">
        <w:rPr>
          <w:rFonts w:ascii="Arial" w:hAnsi="Arial" w:cs="Calibri"/>
          <w:bCs/>
          <w:i/>
          <w:color w:val="000000"/>
        </w:rPr>
        <w:t>in vitro</w:t>
      </w:r>
      <w:r>
        <w:rPr>
          <w:rFonts w:ascii="Arial" w:hAnsi="Arial" w:cs="Calibri"/>
          <w:bCs/>
          <w:color w:val="000000"/>
        </w:rPr>
        <w:t xml:space="preserve">. In mouse osteoblasts </w:t>
      </w:r>
      <w:r w:rsidRPr="00F62822">
        <w:rPr>
          <w:rFonts w:ascii="Arial" w:hAnsi="Arial" w:cs="Calibri"/>
          <w:bCs/>
          <w:i/>
          <w:color w:val="000000"/>
        </w:rPr>
        <w:t>in vitro</w:t>
      </w:r>
      <w:r>
        <w:rPr>
          <w:rFonts w:ascii="Arial" w:hAnsi="Arial" w:cs="Calibri"/>
          <w:bCs/>
          <w:color w:val="000000"/>
        </w:rPr>
        <w:t xml:space="preserve"> mechanical stimuli of fluid flow exerted anabolic effects in part through suppression of Lepr signalling </w:t>
      </w:r>
      <w:r w:rsidR="00AE2D6D">
        <w:rPr>
          <w:rFonts w:ascii="Arial" w:hAnsi="Arial" w:cs="Calibri"/>
          <w:bCs/>
          <w:color w:val="000000"/>
        </w:rPr>
        <w:fldChar w:fldCharType="begin"/>
      </w:r>
      <w:r w:rsidR="00A108A1">
        <w:rPr>
          <w:rFonts w:ascii="Arial" w:hAnsi="Arial" w:cs="Calibri"/>
          <w:bCs/>
          <w:color w:val="000000"/>
        </w:rPr>
        <w:instrText xml:space="preserve"> ADDIN EN.CITE &lt;EndNote&gt;&lt;Cite&gt;&lt;Author&gt;Kapur&lt;/Author&gt;&lt;Year&gt;2010&lt;/Year&gt;&lt;RecNum&gt;397&lt;/RecNum&gt;&lt;DisplayText&gt;(Kapur et al., 2010)&lt;/DisplayText&gt;&lt;record&gt;&lt;rec-number&gt;397&lt;/rec-number&gt;&lt;foreign-keys&gt;&lt;key app="EN" db-id="ae9rewfrpdttrheppfxxv0p4950wpd25r09x" timestamp="1520658302"&gt;397&lt;/key&gt;&lt;/foreign-keys&gt;&lt;ref-type name="Journal Article"&gt;17&lt;/ref-type&gt;&lt;contributors&gt;&lt;authors&gt;&lt;author&gt;Kapur, Sonia&lt;/author&gt;&lt;author&gt;Amoui, Mehran&lt;/author&gt;&lt;author&gt;Kesavan, Chandrasekhar&lt;/author&gt;&lt;author&gt;Wang, Xiaoguang&lt;/author&gt;&lt;author&gt;Mohan, Subburaman&lt;/author&gt;&lt;author&gt;Baylink, David&lt;/author&gt;&lt;author&gt;Lau, K. Hwilliam&lt;/author&gt;&lt;/authors&gt;&lt;secondary-authors&gt;&lt;author&gt;Kapur, Sonia&lt;/author&gt;&lt;/secondary-authors&gt;&lt;/contributors&gt;&lt;titles&gt;&lt;title&gt;Leptin Receptor (Lepr) Is a Negative Modulator of Bone Mechanosensitivity and Genetic Variations in Lepr May Contribute to the Differential Osteogenic Response to Mechanical Stimulation in the C57BL/6J and C3H/HeJ Pair of Mouse Strains&lt;/title&gt;&lt;secondary-title&gt;Journal of Biological Chemistry&lt;/secondary-title&gt;&lt;/titles&gt;&lt;periodical&gt;&lt;full-title&gt;Journal of Biological Chemistry&lt;/full-title&gt;&lt;/periodical&gt;&lt;pages&gt;37607-37618&lt;/pages&gt;&lt;volume&gt;285&lt;/volume&gt;&lt;number&gt;48&lt;/number&gt;&lt;keywords&gt;&lt;keyword&gt;Bone&lt;/keyword&gt;&lt;keyword&gt;Extracellular Signal-Regulated Kinase&lt;/keyword&gt;&lt;keyword&gt;Osteoblasts&lt;/keyword&gt;&lt;keyword&gt;Phosphorylation&lt;/keyword&gt;&lt;keyword&gt;Single-Nucleotide Polymorphism&lt;/keyword&gt;&lt;keyword&gt;Stat3 Protein&lt;/keyword&gt;&lt;keyword&gt;Loading&lt;/keyword&gt;&lt;keyword&gt;Janus Kinase 2&lt;/keyword&gt;&lt;keyword&gt;Genetic Diversity&lt;/keyword&gt;&lt;keyword&gt;Leptin Receptors&lt;/keyword&gt;&lt;keyword&gt;Osteogenesis&lt;/keyword&gt;&lt;keyword&gt;Mechanical Stimuli&lt;/keyword&gt;&lt;keyword&gt;Genetics&lt;/keyword&gt;&lt;keyword&gt;Mammals&lt;/keyword&gt;&lt;/keywords&gt;&lt;dates&gt;&lt;year&gt;2010&lt;/year&gt;&lt;/dates&gt;&lt;isbn&gt;0021-9258&lt;/isbn&gt;&lt;urls&gt;&lt;/urls&gt;&lt;electronic-resource-num&gt;10.1074/jbc.M110.169714&lt;/electronic-resource-num&gt;&lt;/record&gt;&lt;/Cite&gt;&lt;/EndNote&gt;</w:instrText>
      </w:r>
      <w:r w:rsidR="00AE2D6D">
        <w:rPr>
          <w:rFonts w:ascii="Arial" w:hAnsi="Arial" w:cs="Calibri"/>
          <w:bCs/>
          <w:color w:val="000000"/>
        </w:rPr>
        <w:fldChar w:fldCharType="separate"/>
      </w:r>
      <w:r w:rsidR="00AE2D6D">
        <w:rPr>
          <w:rFonts w:ascii="Arial" w:hAnsi="Arial" w:cs="Calibri"/>
          <w:bCs/>
          <w:noProof/>
          <w:color w:val="000000"/>
        </w:rPr>
        <w:t>(Kapur et al., 2010)</w:t>
      </w:r>
      <w:r w:rsidR="00AE2D6D">
        <w:rPr>
          <w:rFonts w:ascii="Arial" w:hAnsi="Arial" w:cs="Calibri"/>
          <w:bCs/>
          <w:color w:val="000000"/>
        </w:rPr>
        <w:fldChar w:fldCharType="end"/>
      </w:r>
      <w:r w:rsidR="00AE2D6D">
        <w:rPr>
          <w:rFonts w:ascii="Arial" w:hAnsi="Arial" w:cs="Calibri"/>
          <w:bCs/>
          <w:color w:val="000000"/>
        </w:rPr>
        <w:t>.</w:t>
      </w:r>
      <w:r>
        <w:rPr>
          <w:rFonts w:ascii="Arial" w:hAnsi="Arial" w:cs="Calibri"/>
          <w:bCs/>
          <w:color w:val="000000"/>
        </w:rPr>
        <w:t xml:space="preserve"> In a series of studies Karsenty et al. have shown that genetically obese leptin-deficient (</w:t>
      </w:r>
      <w:r>
        <w:rPr>
          <w:rFonts w:ascii="Arial" w:hAnsi="Arial" w:cs="Calibri"/>
          <w:bCs/>
          <w:i/>
          <w:color w:val="000000"/>
        </w:rPr>
        <w:t>ob/o</w:t>
      </w:r>
      <w:r w:rsidRPr="00613E13">
        <w:rPr>
          <w:rFonts w:ascii="Arial" w:hAnsi="Arial" w:cs="Calibri"/>
          <w:bCs/>
          <w:i/>
          <w:color w:val="000000"/>
        </w:rPr>
        <w:t>b</w:t>
      </w:r>
      <w:r>
        <w:rPr>
          <w:rFonts w:ascii="Arial" w:hAnsi="Arial" w:cs="Calibri"/>
          <w:bCs/>
          <w:color w:val="000000"/>
        </w:rPr>
        <w:t>) or functional leptin receptor-deficient (</w:t>
      </w:r>
      <w:r w:rsidRPr="00613E13">
        <w:rPr>
          <w:rFonts w:ascii="Arial" w:hAnsi="Arial" w:cs="Calibri"/>
          <w:bCs/>
          <w:i/>
          <w:color w:val="000000"/>
        </w:rPr>
        <w:t>db/db</w:t>
      </w:r>
      <w:r>
        <w:rPr>
          <w:rFonts w:ascii="Arial" w:hAnsi="Arial" w:cs="Calibri"/>
          <w:bCs/>
          <w:color w:val="000000"/>
        </w:rPr>
        <w:t xml:space="preserve">) mice exhibit high bone mass suggesting anabolic effects of leptin on </w:t>
      </w:r>
      <w:r w:rsidR="00BE4241">
        <w:rPr>
          <w:rFonts w:ascii="Arial" w:hAnsi="Arial" w:cs="Calibri"/>
          <w:bCs/>
          <w:color w:val="000000"/>
        </w:rPr>
        <w:t xml:space="preserve">the </w:t>
      </w:r>
      <w:r>
        <w:rPr>
          <w:rFonts w:ascii="Arial" w:hAnsi="Arial" w:cs="Calibri"/>
          <w:bCs/>
          <w:color w:val="000000"/>
        </w:rPr>
        <w:t xml:space="preserve">skeleton </w:t>
      </w:r>
      <w:r>
        <w:rPr>
          <w:rFonts w:ascii="Arial" w:hAnsi="Arial" w:cs="Calibri"/>
          <w:bCs/>
          <w:color w:val="000000"/>
        </w:rPr>
        <w:fldChar w:fldCharType="begin">
          <w:fldData xml:space="preserve">PEVuZE5vdGU+PENpdGU+PEF1dGhvcj5EdWN5PC9BdXRob3I+PFllYXI+MjAwMDwvWWVhcj48UmVj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PEVuZE5vdGU+PENpdGU+PEF1dGhvcj5EdWN5PC9BdXRob3I+PFllYXI+MjAwMDwvWWVhcj48UmVj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(Ducy et al., 2000, Karsenty et al., 2009)</w:t>
      </w:r>
      <w:r>
        <w:rPr>
          <w:rFonts w:ascii="Arial" w:hAnsi="Arial" w:cs="Calibri"/>
          <w:bCs/>
          <w:color w:val="000000"/>
        </w:rPr>
        <w:fldChar w:fldCharType="end"/>
      </w:r>
      <w:r>
        <w:rPr>
          <w:rFonts w:ascii="Arial" w:hAnsi="Arial" w:cs="Calibri"/>
          <w:bCs/>
          <w:color w:val="000000"/>
        </w:rPr>
        <w:t>.</w:t>
      </w:r>
    </w:p>
    <w:p w14:paraId="55009022" w14:textId="77777777" w:rsidR="007B76C3" w:rsidRDefault="007B76C3" w:rsidP="007B76C3">
      <w:pPr>
        <w:spacing w:line="360" w:lineRule="auto"/>
        <w:jc w:val="both"/>
        <w:rPr>
          <w:rFonts w:ascii="Arial" w:hAnsi="Arial" w:cs="Arial"/>
          <w:b/>
          <w:color w:val="244061" w:themeColor="accent1" w:themeShade="80"/>
        </w:rPr>
      </w:pPr>
    </w:p>
    <w:p w14:paraId="11A65500" w14:textId="77777777" w:rsidR="007B76C3" w:rsidRPr="00FC23BF" w:rsidRDefault="007B76C3" w:rsidP="007B76C3">
      <w:pPr>
        <w:tabs>
          <w:tab w:val="left" w:pos="1985"/>
          <w:tab w:val="left" w:pos="3119"/>
        </w:tabs>
        <w:autoSpaceDE w:val="0"/>
        <w:autoSpaceDN w:val="0"/>
        <w:adjustRightInd w:val="0"/>
        <w:spacing w:line="480" w:lineRule="auto"/>
        <w:jc w:val="both"/>
        <w:rPr>
          <w:rFonts w:ascii="Arial" w:hAnsi="Arial" w:cs="Calibri"/>
          <w:bCs/>
          <w:color w:val="000000"/>
        </w:rPr>
      </w:pPr>
      <w:r w:rsidRPr="00222CB8">
        <w:rPr>
          <w:rFonts w:ascii="Arial" w:hAnsi="Arial" w:cs="Calibri"/>
          <w:b/>
          <w:bCs/>
          <w:color w:val="000000"/>
        </w:rPr>
        <w:t xml:space="preserve">Insulin </w:t>
      </w:r>
      <w:r>
        <w:rPr>
          <w:rFonts w:ascii="Arial" w:hAnsi="Arial" w:cs="Calibri"/>
          <w:bCs/>
          <w:color w:val="000000"/>
        </w:rPr>
        <w:t>increases</w:t>
      </w:r>
      <w:r w:rsidRPr="006C0185">
        <w:rPr>
          <w:rFonts w:ascii="Arial" w:hAnsi="Arial" w:cs="Calibri"/>
          <w:bCs/>
          <w:color w:val="000000"/>
        </w:rPr>
        <w:t xml:space="preserve"> bone formation and </w:t>
      </w:r>
      <w:r>
        <w:rPr>
          <w:rFonts w:ascii="Arial" w:hAnsi="Arial" w:cs="Calibri"/>
          <w:bCs/>
          <w:color w:val="000000"/>
        </w:rPr>
        <w:t xml:space="preserve">decreases bone resorption </w:t>
      </w:r>
      <w:r w:rsidRPr="00937710">
        <w:rPr>
          <w:rFonts w:ascii="Arial" w:hAnsi="Arial" w:cs="Calibri"/>
          <w:bCs/>
          <w:i/>
          <w:color w:val="000000"/>
        </w:rPr>
        <w:t>in vivo</w:t>
      </w:r>
      <w:r w:rsidRPr="00937710">
        <w:rPr>
          <w:rFonts w:ascii="Arial" w:hAnsi="Arial" w:cs="Calibri"/>
          <w:bCs/>
          <w:color w:val="000000"/>
        </w:rPr>
        <w:t xml:space="preserve"> and </w:t>
      </w:r>
      <w:r w:rsidRPr="00937710">
        <w:rPr>
          <w:rFonts w:ascii="Arial" w:hAnsi="Arial" w:cs="Calibri"/>
          <w:bCs/>
          <w:i/>
          <w:color w:val="000000"/>
        </w:rPr>
        <w:t xml:space="preserve">in vitro </w:t>
      </w:r>
      <w:r w:rsidRPr="00937710">
        <w:rPr>
          <w:rFonts w:ascii="Arial" w:hAnsi="Arial" w:cs="Calibri"/>
          <w:bCs/>
          <w:color w:val="000000"/>
        </w:rPr>
        <w:t>since in</w:t>
      </w:r>
      <w:r>
        <w:rPr>
          <w:rFonts w:ascii="Arial" w:hAnsi="Arial" w:cs="Calibri"/>
          <w:bCs/>
          <w:color w:val="000000"/>
        </w:rPr>
        <w:t>sulin receptors are expressed on</w:t>
      </w:r>
      <w:r w:rsidRPr="00937710">
        <w:rPr>
          <w:rFonts w:ascii="Arial" w:hAnsi="Arial" w:cs="Calibri"/>
          <w:bCs/>
          <w:color w:val="000000"/>
        </w:rPr>
        <w:t xml:space="preserve"> both osteoblasts and osteoclasts</w:t>
      </w:r>
      <w:r w:rsidR="00A37493">
        <w:rPr>
          <w:rFonts w:ascii="Arial" w:hAnsi="Arial" w:cs="Calibri"/>
          <w:bCs/>
          <w:color w:val="000000"/>
        </w:rPr>
        <w:t xml:space="preserve"> </w:t>
      </w:r>
      <w:r w:rsidR="0000415D">
        <w:rPr>
          <w:rFonts w:ascii="Arial" w:hAnsi="Arial" w:cs="Calibri"/>
          <w:bCs/>
          <w:color w:val="000000"/>
        </w:rPr>
        <w:fldChar w:fldCharType="begin">
          <w:fldData xml:space="preserve">PEVuZE5vdGU+PENpdGU+PEF1dGhvcj5QdW48L0F1dGhvcj48WWVhcj4xOTg5PC9ZZWFyPjxSZWNO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PEVuZE5vdGU+PENpdGU+PEF1dGhvcj5QdW48L0F1dGhvcj48WWVhcj4xOTg5PC9ZZWFyPjxSZWNO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sidR="0000415D">
        <w:rPr>
          <w:rFonts w:ascii="Arial" w:hAnsi="Arial" w:cs="Calibri"/>
          <w:bCs/>
          <w:color w:val="000000"/>
        </w:rPr>
      </w:r>
      <w:r w:rsidR="0000415D">
        <w:rPr>
          <w:rFonts w:ascii="Arial" w:hAnsi="Arial" w:cs="Calibri"/>
          <w:bCs/>
          <w:color w:val="000000"/>
        </w:rPr>
        <w:fldChar w:fldCharType="separate"/>
      </w:r>
      <w:r w:rsidR="0000415D">
        <w:rPr>
          <w:rFonts w:ascii="Arial" w:hAnsi="Arial" w:cs="Calibri"/>
          <w:bCs/>
          <w:noProof/>
          <w:color w:val="000000"/>
        </w:rPr>
        <w:t>(Pun et al., 1989, Cornish et al., 1996, Thomas et al., 1998, Bjarnason et al., 2002)</w:t>
      </w:r>
      <w:r w:rsidR="0000415D">
        <w:rPr>
          <w:rFonts w:ascii="Arial" w:hAnsi="Arial" w:cs="Calibri"/>
          <w:bCs/>
          <w:color w:val="000000"/>
        </w:rPr>
        <w:fldChar w:fldCharType="end"/>
      </w:r>
      <w:r w:rsidR="00A37493">
        <w:rPr>
          <w:rFonts w:ascii="Arial" w:hAnsi="Arial" w:cs="Calibri"/>
          <w:bCs/>
          <w:color w:val="000000"/>
        </w:rPr>
        <w:t>.</w:t>
      </w:r>
      <w:r w:rsidR="0073070A">
        <w:rPr>
          <w:rFonts w:ascii="Arial" w:hAnsi="Arial" w:cs="Calibri"/>
          <w:bCs/>
          <w:color w:val="000000"/>
        </w:rPr>
        <w:t xml:space="preserve"> </w:t>
      </w:r>
      <w:r>
        <w:rPr>
          <w:rFonts w:ascii="Arial" w:hAnsi="Arial" w:cs="Calibri"/>
          <w:bCs/>
          <w:color w:val="000000"/>
        </w:rPr>
        <w:t>Insulin also bind</w:t>
      </w:r>
      <w:r w:rsidR="00AE2D6D">
        <w:rPr>
          <w:rFonts w:ascii="Arial" w:hAnsi="Arial" w:cs="Calibri"/>
          <w:bCs/>
          <w:color w:val="000000"/>
        </w:rPr>
        <w:t>s</w:t>
      </w:r>
      <w:r>
        <w:rPr>
          <w:rFonts w:ascii="Arial" w:hAnsi="Arial" w:cs="Calibri"/>
          <w:bCs/>
          <w:color w:val="000000"/>
        </w:rPr>
        <w:t xml:space="preserve"> and activate</w:t>
      </w:r>
      <w:r w:rsidR="00AE2D6D">
        <w:rPr>
          <w:rFonts w:ascii="Arial" w:hAnsi="Arial" w:cs="Calibri"/>
          <w:bCs/>
          <w:color w:val="000000"/>
        </w:rPr>
        <w:t>s</w:t>
      </w:r>
      <w:r>
        <w:rPr>
          <w:rFonts w:ascii="Arial" w:hAnsi="Arial" w:cs="Calibri"/>
          <w:bCs/>
          <w:color w:val="000000"/>
        </w:rPr>
        <w:t xml:space="preserve"> </w:t>
      </w:r>
      <w:r w:rsidRPr="005A3D26">
        <w:rPr>
          <w:rFonts w:ascii="Arial" w:hAnsi="Arial" w:cs="Arial"/>
          <w:color w:val="000000"/>
        </w:rPr>
        <w:t>IGF-1 receptors expressed on osteoblasts</w:t>
      </w:r>
      <w:r>
        <w:rPr>
          <w:rFonts w:ascii="Arial" w:hAnsi="Arial" w:cs="Arial"/>
          <w:color w:val="000000"/>
        </w:rPr>
        <w:t xml:space="preserve">. However, chemical inhibition of </w:t>
      </w:r>
      <w:r w:rsidRPr="005A3D26">
        <w:rPr>
          <w:rFonts w:ascii="Arial" w:hAnsi="Arial" w:cs="Arial"/>
          <w:color w:val="000000"/>
        </w:rPr>
        <w:t>IGF-1 r</w:t>
      </w:r>
      <w:r>
        <w:rPr>
          <w:rFonts w:ascii="Arial" w:hAnsi="Arial" w:cs="Arial"/>
          <w:color w:val="000000"/>
        </w:rPr>
        <w:t xml:space="preserve">eceptor </w:t>
      </w:r>
      <w:r w:rsidR="00C97369">
        <w:rPr>
          <w:rFonts w:ascii="Arial" w:hAnsi="Arial" w:cs="Arial"/>
          <w:color w:val="000000"/>
        </w:rPr>
        <w:t>signalling</w:t>
      </w:r>
      <w:r>
        <w:rPr>
          <w:rFonts w:ascii="Arial" w:hAnsi="Arial" w:cs="Arial"/>
          <w:color w:val="000000"/>
        </w:rPr>
        <w:t xml:space="preserve"> did not change osteoblast sensitivity to insulin suggesting that insulin </w:t>
      </w:r>
      <w:r>
        <w:rPr>
          <w:rFonts w:ascii="Arial" w:hAnsi="Arial" w:cs="Arial"/>
          <w:color w:val="000000"/>
        </w:rPr>
        <w:lastRenderedPageBreak/>
        <w:t>independently acts through its cognate receptor</w:t>
      </w:r>
      <w:r w:rsidRPr="00882763">
        <w:rPr>
          <w:rFonts w:ascii="Arial" w:hAnsi="Arial" w:cs="Arial"/>
          <w:color w:val="000000"/>
        </w:rPr>
        <w:t xml:space="preserve"> </w:t>
      </w:r>
      <w:r>
        <w:rPr>
          <w:rFonts w:ascii="Arial" w:hAnsi="Arial" w:cs="Arial"/>
          <w:color w:val="000000"/>
        </w:rPr>
        <w:fldChar w:fldCharType="begin"/>
      </w:r>
      <w:r w:rsidR="00651EFF">
        <w:rPr>
          <w:rFonts w:ascii="Arial" w:hAnsi="Arial" w:cs="Arial"/>
          <w:color w:val="000000"/>
        </w:rPr>
        <w:instrText xml:space="preserve"> ADDIN EN.CITE &lt;EndNote&gt;&lt;Cite&gt;&lt;Author&gt;Fulzele&lt;/Author&gt;&lt;Year&gt;2007&lt;/Year&gt;&lt;RecNum&gt;168&lt;/RecNum&gt;&lt;DisplayText&gt;(Fulzele et al., 2007)&lt;/DisplayText&gt;&lt;record&gt;&lt;rec-number&gt;168&lt;/rec-number&gt;&lt;foreign-keys&gt;&lt;key app="EN" db-id="ae9rewfrpdttrheppfxxv0p4950wpd25r09x" timestamp="1520658007"&gt;168&lt;/key&gt;&lt;key app="ENWeb" db-id=""&gt;0&lt;/key&gt;&lt;/foreign-keys&gt;&lt;ref-type name="Journal Article"&gt;17&lt;/ref-type&gt;&lt;contributors&gt;&lt;authors&gt;&lt;author&gt;Fulzele, K.&lt;/author&gt;&lt;author&gt;Digirolamo, Dj&lt;/author&gt;&lt;author&gt;Liu, Z.&lt;/author&gt;&lt;author&gt;Xu, J.&lt;/author&gt;&lt;author&gt;Messina, Jl&lt;/author&gt;&lt;author&gt;Clemens, Tl&lt;/author&gt;&lt;/authors&gt;&lt;/contributors&gt;&lt;titles&gt;&lt;title&gt;Disruption of the insulin- like growth factor type 1 receptor in Osteoblasts enhances insulin signaling and action&lt;/title&gt;&lt;secondary-title&gt;The Journal of Biological Chemistry&lt;/secondary-title&gt;&lt;/titles&gt;&lt;periodical&gt;&lt;full-title&gt;The Journal of biological chemistry&lt;/full-title&gt;&lt;/periodical&gt;&lt;pages&gt;25649-25658&lt;/pages&gt;&lt;volume&gt;282&lt;/volume&gt;&lt;number&gt;35&lt;/number&gt;&lt;dates&gt;&lt;year&gt;2007&lt;/year&gt;&lt;/dates&gt;&lt;isbn&gt;0021-9258&lt;/isbn&gt;&lt;urls&gt;&lt;/urls&gt;&lt;electronic-resource-num&gt;10.1074/jbc.M700651200&lt;/electronic-resource-num&gt;&lt;/record&gt;&lt;/Cite&gt;&lt;/EndNote&gt;</w:instrText>
      </w:r>
      <w:r>
        <w:rPr>
          <w:rFonts w:ascii="Arial" w:hAnsi="Arial" w:cs="Arial"/>
          <w:color w:val="000000"/>
        </w:rPr>
        <w:fldChar w:fldCharType="separate"/>
      </w:r>
      <w:r>
        <w:rPr>
          <w:rFonts w:ascii="Arial" w:hAnsi="Arial" w:cs="Arial"/>
          <w:noProof/>
          <w:color w:val="000000"/>
        </w:rPr>
        <w:t>(Fulzele et al., 2007)</w:t>
      </w:r>
      <w:r>
        <w:rPr>
          <w:rFonts w:ascii="Arial" w:hAnsi="Arial" w:cs="Arial"/>
          <w:color w:val="000000"/>
        </w:rPr>
        <w:fldChar w:fldCharType="end"/>
      </w:r>
      <w:r w:rsidRPr="00882763">
        <w:rPr>
          <w:rFonts w:ascii="Arial" w:hAnsi="Arial" w:cs="Arial"/>
          <w:color w:val="000000"/>
        </w:rPr>
        <w:t>.</w:t>
      </w:r>
      <w:r>
        <w:rPr>
          <w:rFonts w:ascii="Arial" w:hAnsi="Arial" w:cs="Calibri"/>
          <w:bCs/>
          <w:color w:val="000000"/>
        </w:rPr>
        <w:t xml:space="preserve"> When insulin receptors in osteoblasts are activated by insulin, osteoblast collagen production is increased</w:t>
      </w:r>
      <w:r w:rsidR="002977A9">
        <w:rPr>
          <w:rFonts w:ascii="Arial" w:hAnsi="Arial" w:cs="Calibri"/>
          <w:bCs/>
          <w:color w:val="000000"/>
        </w:rPr>
        <w:t xml:space="preserve"> </w:t>
      </w:r>
      <w:r w:rsidR="002977A9">
        <w:rPr>
          <w:rFonts w:ascii="Arial" w:hAnsi="Arial" w:cs="Calibri"/>
          <w:bCs/>
          <w:color w:val="000000"/>
        </w:rPr>
        <w:fldChar w:fldCharType="begin"/>
      </w:r>
      <w:r w:rsidR="00A108A1">
        <w:rPr>
          <w:rFonts w:ascii="Arial" w:hAnsi="Arial" w:cs="Calibri"/>
          <w:bCs/>
          <w:color w:val="000000"/>
        </w:rPr>
        <w:instrText xml:space="preserve"> ADDIN EN.CITE &lt;EndNote&gt;&lt;Cite&gt;&lt;Author&gt;Kream&lt;/Author&gt;&lt;Year&gt;1985&lt;/Year&gt;&lt;RecNum&gt;398&lt;/RecNum&gt;&lt;DisplayText&gt;(Kream et al., 1985, Pun et al., 1989)&lt;/DisplayText&gt;&lt;record&gt;&lt;rec-number&gt;398&lt;/rec-number&gt;&lt;foreign-keys&gt;&lt;key app="EN" db-id="ae9rewfrpdttrheppfxxv0p4950wpd25r09x" timestamp="1520658302"&gt;398&lt;/key&gt;&lt;/foreign-keys&gt;&lt;ref-type name="Journal Article"&gt;17&lt;/ref-type&gt;&lt;contributors&gt;&lt;authors&gt;&lt;author&gt;Kream, Barbara E.&lt;/author&gt;&lt;author&gt;Smith, M. D.&lt;/author&gt;&lt;author&gt;Canalis, E.&lt;/author&gt;&lt;author&gt;Raisz, L. G.&lt;/author&gt;&lt;/authors&gt;&lt;/contributors&gt;&lt;titles&gt;&lt;title&gt;Characterization of the Effect of Insulin on Collagen Synthesis in Fetal Rat Bone&lt;/title&gt;&lt;secondary-title&gt;Endocrinology.&lt;/secondary-title&gt;&lt;/titles&gt;&lt;periodical&gt;&lt;full-title&gt;Endocrinology.&lt;/full-title&gt;&lt;/periodical&gt;&lt;pages&gt;296-302&lt;/pages&gt;&lt;volume&gt;116&lt;/volume&gt;&lt;number&gt;1&lt;/number&gt;&lt;dates&gt;&lt;year&gt;1985&lt;/year&gt;&lt;/dates&gt;&lt;isbn&gt;0013-7227&lt;/isbn&gt;&lt;urls&gt;&lt;/urls&gt;&lt;electronic-resource-num&gt;10.1210/endo-116-1-296&amp;#xD;info:doi/10.1210/endo-116-1-296&lt;/electronic-resource-num&gt;&lt;/record&gt;&lt;/Cite&gt;&lt;Cite&gt;&lt;Author&gt;Pun&lt;/Author&gt;&lt;Year&gt;1989&lt;/Year&gt;&lt;RecNum&gt;399&lt;/RecNum&gt;&lt;record&gt;&lt;rec-number&gt;399&lt;/rec-number&gt;&lt;foreign-keys&gt;&lt;key app="EN" db-id="ae9rewfrpdttrheppfxxv0p4950wpd25r09x" timestamp="1520658302"&gt;399&lt;/key&gt;&lt;/foreign-keys&gt;&lt;ref-type name="Journal Article"&gt;17&lt;/ref-type&gt;&lt;contributors&gt;&lt;authors&gt;&lt;author&gt;Pun, K. K., &lt;/author&gt;&lt;author&gt;Lau, P., &lt;/author&gt;&lt;author&gt;Ho, P. W. M.&lt;/author&gt;&lt;/authors&gt;&lt;/contributors&gt;&lt;titles&gt;&lt;title&gt;The characterization, regulation, and function of insulin receptors on osteoblast-like clonal osteosarcoma cell line.&lt;/title&gt;&lt;secondary-title&gt;Journal of Bone and Mineral Research&lt;/secondary-title&gt;&lt;/titles&gt;&lt;periodical&gt;&lt;full-title&gt;Journal of Bone and Mineral Research&lt;/full-title&gt;&lt;/periodical&gt;&lt;pages&gt;853-862&lt;/pages&gt;&lt;volume&gt;4&lt;/volume&gt;&lt;number&gt;6&lt;/number&gt;&lt;dates&gt;&lt;year&gt;1989&lt;/year&gt;&lt;/dates&gt;&lt;urls&gt;&lt;/urls&gt;&lt;/record&gt;&lt;/Cite&gt;&lt;/EndNote&gt;</w:instrText>
      </w:r>
      <w:r w:rsidR="002977A9">
        <w:rPr>
          <w:rFonts w:ascii="Arial" w:hAnsi="Arial" w:cs="Calibri"/>
          <w:bCs/>
          <w:color w:val="000000"/>
        </w:rPr>
        <w:fldChar w:fldCharType="separate"/>
      </w:r>
      <w:r w:rsidR="002B3229">
        <w:rPr>
          <w:rFonts w:ascii="Arial" w:hAnsi="Arial" w:cs="Calibri"/>
          <w:bCs/>
          <w:noProof/>
          <w:color w:val="000000"/>
        </w:rPr>
        <w:t>(Kream et al., 1985, Pun et al., 1989)</w:t>
      </w:r>
      <w:r w:rsidR="002977A9">
        <w:rPr>
          <w:rFonts w:ascii="Arial" w:hAnsi="Arial" w:cs="Calibri"/>
          <w:bCs/>
          <w:color w:val="000000"/>
        </w:rPr>
        <w:fldChar w:fldCharType="end"/>
      </w:r>
      <w:r w:rsidR="00CD7600">
        <w:rPr>
          <w:rFonts w:ascii="Arial" w:hAnsi="Arial" w:cs="Calibri"/>
          <w:bCs/>
          <w:color w:val="000000"/>
        </w:rPr>
        <w:t xml:space="preserve">. </w:t>
      </w:r>
      <w:r>
        <w:rPr>
          <w:rFonts w:ascii="Arial" w:hAnsi="Arial" w:cs="Calibri"/>
          <w:bCs/>
          <w:color w:val="000000"/>
        </w:rPr>
        <w:t xml:space="preserve">More recent studies revealed that mice lacking insulin receptors had low number of osteoblasts, decreased osteocalcin levels and bone formation </w:t>
      </w:r>
      <w:r w:rsidR="00BD1D2D">
        <w:rPr>
          <w:rFonts w:ascii="Arial" w:hAnsi="Arial" w:cs="Calibri"/>
          <w:bCs/>
          <w:color w:val="000000"/>
        </w:rPr>
        <w:fldChar w:fldCharType="begin"/>
      </w:r>
      <w:r w:rsidR="00A108A1">
        <w:rPr>
          <w:rFonts w:ascii="Arial" w:hAnsi="Arial" w:cs="Calibri"/>
          <w:bCs/>
          <w:color w:val="000000"/>
        </w:rPr>
        <w:instrText xml:space="preserve"> ADDIN EN.CITE &lt;EndNote&gt;&lt;Cite&gt;&lt;Author&gt;Fulzele&lt;/Author&gt;&lt;Year&gt;2010&lt;/Year&gt;&lt;RecNum&gt;400&lt;/RecNum&gt;&lt;DisplayText&gt;(Fulzele et al., 2010)&lt;/DisplayText&gt;&lt;record&gt;&lt;rec-number&gt;400&lt;/rec-number&gt;&lt;foreign-keys&gt;&lt;key app="EN" db-id="ae9rewfrpdttrheppfxxv0p4950wpd25r09x" timestamp="1520658302"&gt;400&lt;/key&gt;&lt;/foreign-keys&gt;&lt;ref-type name="Journal Article"&gt;17&lt;/ref-type&gt;&lt;contributors&gt;&lt;authors&gt;&lt;author&gt;Fulzele, Keertik&lt;/author&gt;&lt;author&gt;Riddle, Ryan C.&lt;/author&gt;&lt;author&gt;Digirolamo, Douglas J.&lt;/author&gt;&lt;author&gt;Cao, Xuemei&lt;/author&gt;&lt;author&gt;Wan, Chao&lt;/author&gt;&lt;author&gt;Chen, Dongquan&lt;/author&gt;&lt;author&gt;Faugere, Marie-Claude&lt;/author&gt;&lt;author&gt;Aja, Susan&lt;/author&gt;&lt;author&gt;Hussain, Mehboob A.&lt;/author&gt;&lt;author&gt;Brüning, Jens C.&lt;/author&gt;&lt;author&gt;Clemens, Thomas L.&lt;/author&gt;&lt;/authors&gt;&lt;/contributors&gt;&lt;titles&gt;&lt;title&gt;Insulin Receptor Signaling in Osteoblasts Regulates Postnatal Bone Acquisition and Body Composition&lt;/title&gt;&lt;secondary-title&gt;Cell&lt;/secondary-title&gt;&lt;/titles&gt;&lt;periodical&gt;&lt;full-title&gt;Cell&lt;/full-title&gt;&lt;/periodical&gt;&lt;pages&gt;309-319&lt;/pages&gt;&lt;volume&gt;142&lt;/volume&gt;&lt;number&gt;2&lt;/number&gt;&lt;keywords&gt;&lt;keyword&gt;Humdisease&lt;/keyword&gt;&lt;keyword&gt;Signaling&lt;/keyword&gt;&lt;/keywords&gt;&lt;dates&gt;&lt;year&gt;2010&lt;/year&gt;&lt;/dates&gt;&lt;isbn&gt;0092-8674&lt;/isbn&gt;&lt;urls&gt;&lt;/urls&gt;&lt;electronic-resource-num&gt;10.1016/j.cell.2010.06.002&lt;/electronic-resource-num&gt;&lt;/record&gt;&lt;/Cite&gt;&lt;/EndNote&gt;</w:instrText>
      </w:r>
      <w:r w:rsidR="00BD1D2D">
        <w:rPr>
          <w:rFonts w:ascii="Arial" w:hAnsi="Arial" w:cs="Calibri"/>
          <w:bCs/>
          <w:color w:val="000000"/>
        </w:rPr>
        <w:fldChar w:fldCharType="separate"/>
      </w:r>
      <w:r w:rsidR="00BD1D2D">
        <w:rPr>
          <w:rFonts w:ascii="Arial" w:hAnsi="Arial" w:cs="Calibri"/>
          <w:bCs/>
          <w:noProof/>
          <w:color w:val="000000"/>
        </w:rPr>
        <w:t>(Fulzele et al., 2010)</w:t>
      </w:r>
      <w:r w:rsidR="00BD1D2D">
        <w:rPr>
          <w:rFonts w:ascii="Arial" w:hAnsi="Arial" w:cs="Calibri"/>
          <w:bCs/>
          <w:color w:val="000000"/>
        </w:rPr>
        <w:fldChar w:fldCharType="end"/>
      </w:r>
      <w:r w:rsidR="00BD1D2D">
        <w:rPr>
          <w:rFonts w:ascii="Arial" w:hAnsi="Arial" w:cs="Calibri"/>
          <w:bCs/>
          <w:color w:val="000000"/>
        </w:rPr>
        <w:t>.</w:t>
      </w:r>
      <w:r>
        <w:rPr>
          <w:rFonts w:ascii="Arial" w:hAnsi="Arial" w:cs="Calibri"/>
          <w:bCs/>
          <w:color w:val="000000"/>
        </w:rPr>
        <w:t xml:space="preserve"> It was shown that systemic insulin deficiency during type 1 diabetes was associated with low bone mass due to reduced osteoblast function and survival and subsequent bone formation </w:t>
      </w:r>
      <w:r w:rsidR="0055204B">
        <w:rPr>
          <w:rFonts w:ascii="Arial" w:hAnsi="Arial" w:cs="Calibri"/>
          <w:bCs/>
          <w:color w:val="000000"/>
        </w:rPr>
        <w:fldChar w:fldCharType="begin"/>
      </w:r>
      <w:r w:rsidR="00A108A1">
        <w:rPr>
          <w:rFonts w:ascii="Arial" w:hAnsi="Arial" w:cs="Calibri"/>
          <w:bCs/>
          <w:color w:val="000000"/>
        </w:rPr>
        <w:instrText xml:space="preserve"> ADDIN EN.CITE &lt;EndNote&gt;&lt;Cite&gt;&lt;Author&gt;Kalaitzoglou&lt;/Author&gt;&lt;Year&gt;2016&lt;/Year&gt;&lt;RecNum&gt;401&lt;/RecNum&gt;&lt;DisplayText&gt;(Kalaitzoglou et al., 2016)&lt;/DisplayText&gt;&lt;record&gt;&lt;rec-number&gt;401&lt;/rec-number&gt;&lt;foreign-keys&gt;&lt;key app="EN" db-id="ae9rewfrpdttrheppfxxv0p4950wpd25r09x" timestamp="1520658302"&gt;401&lt;/key&gt;&lt;/foreign-keys&gt;&lt;ref-type name="Journal Article"&gt;17&lt;/ref-type&gt;&lt;contributors&gt;&lt;authors&gt;&lt;author&gt;Kalaitzoglou, Evangelia&lt;/author&gt;&lt;author&gt;Popescu, Iuliana&lt;/author&gt;&lt;author&gt;Bunn, R.&lt;/author&gt;&lt;author&gt;Fowlkes, John&lt;/author&gt;&lt;author&gt;Thrailkill, Kathryn&lt;/author&gt;&lt;/authors&gt;&lt;/contributors&gt;&lt;titles&gt;&lt;title&gt;Effects of Type 1 Diabetes on Osteoblasts, Osteocytes, and Osteoclasts&lt;/title&gt;&lt;secondary-title&gt;Current Osteoporosis Reports&lt;/secondary-title&gt;&lt;/titles&gt;&lt;periodical&gt;&lt;full-title&gt;Current Osteoporosis Reports&lt;/full-title&gt;&lt;/periodical&gt;&lt;pages&gt;310-319&lt;/pages&gt;&lt;volume&gt;14&lt;/volume&gt;&lt;number&gt;6&lt;/number&gt;&lt;keywords&gt;&lt;keyword&gt;Type 1 diabetes&lt;/keyword&gt;&lt;keyword&gt;Bone cells&lt;/keyword&gt;&lt;keyword&gt;Osteoblasts&lt;/keyword&gt;&lt;keyword&gt;Osteocytes&lt;/keyword&gt;&lt;keyword&gt;Osteoclasts&lt;/keyword&gt;&lt;/keywords&gt;&lt;dates&gt;&lt;year&gt;2016&lt;/year&gt;&lt;/dates&gt;&lt;pub-location&gt;New York&lt;/pub-location&gt;&lt;isbn&gt;1544-1873&lt;/isbn&gt;&lt;urls&gt;&lt;/urls&gt;&lt;electronic-resource-num&gt;10.1007/s11914-016-0329-9&lt;/electronic-resource-num&gt;&lt;/record&gt;&lt;/Cite&gt;&lt;/EndNote&gt;</w:instrText>
      </w:r>
      <w:r w:rsidR="0055204B">
        <w:rPr>
          <w:rFonts w:ascii="Arial" w:hAnsi="Arial" w:cs="Calibri"/>
          <w:bCs/>
          <w:color w:val="000000"/>
        </w:rPr>
        <w:fldChar w:fldCharType="separate"/>
      </w:r>
      <w:r w:rsidR="0055204B">
        <w:rPr>
          <w:rFonts w:ascii="Arial" w:hAnsi="Arial" w:cs="Calibri"/>
          <w:bCs/>
          <w:noProof/>
          <w:color w:val="000000"/>
        </w:rPr>
        <w:t>(Kalaitzoglou et al., 2016)</w:t>
      </w:r>
      <w:r w:rsidR="0055204B">
        <w:rPr>
          <w:rFonts w:ascii="Arial" w:hAnsi="Arial" w:cs="Calibri"/>
          <w:bCs/>
          <w:color w:val="000000"/>
        </w:rPr>
        <w:fldChar w:fldCharType="end"/>
      </w:r>
      <w:r w:rsidR="002977A9">
        <w:rPr>
          <w:rFonts w:ascii="Arial" w:hAnsi="Arial" w:cs="Calibri"/>
          <w:bCs/>
          <w:color w:val="000000"/>
        </w:rPr>
        <w:t>.</w:t>
      </w:r>
      <w:r>
        <w:rPr>
          <w:rFonts w:ascii="Arial" w:hAnsi="Arial" w:cs="Calibri"/>
          <w:bCs/>
          <w:color w:val="000000"/>
        </w:rPr>
        <w:t xml:space="preserve"> </w:t>
      </w:r>
      <w:r w:rsidRPr="00E402F6">
        <w:rPr>
          <w:rFonts w:ascii="Arial" w:hAnsi="Arial" w:cs="Arial"/>
          <w:color w:val="000000"/>
        </w:rPr>
        <w:t>Amylin</w:t>
      </w:r>
      <w:r>
        <w:rPr>
          <w:rFonts w:ascii="Arial" w:hAnsi="Arial" w:cs="Arial"/>
          <w:color w:val="000000"/>
        </w:rPr>
        <w:t>,</w:t>
      </w:r>
      <w:r w:rsidRPr="00C52C9A">
        <w:rPr>
          <w:rFonts w:ascii="Arial" w:hAnsi="Arial" w:cs="Arial"/>
          <w:color w:val="000000"/>
        </w:rPr>
        <w:t xml:space="preserve"> </w:t>
      </w:r>
      <w:r>
        <w:rPr>
          <w:rFonts w:ascii="Arial" w:hAnsi="Arial" w:cs="Arial"/>
          <w:color w:val="000000"/>
        </w:rPr>
        <w:t xml:space="preserve">a polypeptide hormone </w:t>
      </w:r>
      <w:r w:rsidRPr="00C52C9A">
        <w:rPr>
          <w:rFonts w:ascii="Arial" w:hAnsi="Arial" w:cs="Arial"/>
          <w:color w:val="000000"/>
        </w:rPr>
        <w:t>co-secreted with insulin</w:t>
      </w:r>
      <w:r>
        <w:rPr>
          <w:rFonts w:ascii="Arial" w:hAnsi="Arial" w:cs="Arial"/>
          <w:color w:val="000000"/>
        </w:rPr>
        <w:t>, also exerts</w:t>
      </w:r>
      <w:r w:rsidRPr="00F90862">
        <w:rPr>
          <w:rFonts w:ascii="Arial" w:hAnsi="Arial" w:cs="Arial"/>
          <w:color w:val="000000"/>
        </w:rPr>
        <w:t xml:space="preserve"> anabolic effects on bone </w:t>
      </w:r>
      <w:r>
        <w:rPr>
          <w:rFonts w:ascii="Arial" w:hAnsi="Arial" w:cs="Arial"/>
          <w:color w:val="000000"/>
        </w:rPr>
        <w:t xml:space="preserve">through co-activation of its specific receptor composed of the calcitonin receptor dimerised with RAMPs and IGF1 receptor </w:t>
      </w:r>
      <w:r>
        <w:rPr>
          <w:rFonts w:ascii="Arial" w:hAnsi="Arial" w:cs="Arial"/>
          <w:bCs/>
          <w:color w:val="000000"/>
        </w:rPr>
        <w:fldChar w:fldCharType="begin">
          <w:fldData xml:space="preserve">PEVuZE5vdGU+PENpdGU+PEF1dGhvcj5Db3JuaXNoPC9BdXRob3I+PFllYXI+MjAwNDwvWWVhcj48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</w:fldData>
        </w:fldChar>
      </w:r>
      <w:r w:rsidR="00651EFF">
        <w:rPr>
          <w:rFonts w:ascii="Arial" w:hAnsi="Arial" w:cs="Arial"/>
          <w:bCs/>
          <w:color w:val="000000"/>
        </w:rPr>
        <w:instrText xml:space="preserve"> ADDIN EN.CITE </w:instrText>
      </w:r>
      <w:r w:rsidR="00651EFF">
        <w:rPr>
          <w:rFonts w:ascii="Arial" w:hAnsi="Arial" w:cs="Arial"/>
          <w:bCs/>
          <w:color w:val="000000"/>
        </w:rPr>
        <w:fldChar w:fldCharType="begin">
          <w:fldData xml:space="preserve">PEVuZE5vdGU+PENpdGU+PEF1dGhvcj5Db3JuaXNoPC9BdXRob3I+PFllYXI+MjAwNDwvWWVhcj48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</w:fldData>
        </w:fldChar>
      </w:r>
      <w:r w:rsidR="00651EFF">
        <w:rPr>
          <w:rFonts w:ascii="Arial" w:hAnsi="Arial" w:cs="Arial"/>
          <w:bCs/>
          <w:color w:val="000000"/>
        </w:rPr>
        <w:instrText xml:space="preserve"> ADDIN EN.CITE.DATA </w:instrText>
      </w:r>
      <w:r w:rsidR="00651EFF">
        <w:rPr>
          <w:rFonts w:ascii="Arial" w:hAnsi="Arial" w:cs="Arial"/>
          <w:bCs/>
          <w:color w:val="000000"/>
        </w:rPr>
      </w:r>
      <w:r w:rsidR="00651EFF">
        <w:rPr>
          <w:rFonts w:ascii="Arial" w:hAnsi="Arial" w:cs="Arial"/>
          <w:bCs/>
          <w:color w:val="000000"/>
        </w:rPr>
        <w:fldChar w:fldCharType="end"/>
      </w:r>
      <w:r>
        <w:rPr>
          <w:rFonts w:ascii="Arial" w:hAnsi="Arial" w:cs="Arial"/>
          <w:bCs/>
          <w:color w:val="000000"/>
        </w:rPr>
      </w:r>
      <w:r>
        <w:rPr>
          <w:rFonts w:ascii="Arial" w:hAnsi="Arial" w:cs="Arial"/>
          <w:bCs/>
          <w:color w:val="000000"/>
        </w:rPr>
        <w:fldChar w:fldCharType="separate"/>
      </w:r>
      <w:r>
        <w:rPr>
          <w:rFonts w:ascii="Arial" w:hAnsi="Arial" w:cs="Arial"/>
          <w:bCs/>
          <w:noProof/>
          <w:color w:val="000000"/>
        </w:rPr>
        <w:t>(Cornish et al., 2004, Naot and Cornish, 2008)</w:t>
      </w:r>
      <w:r>
        <w:rPr>
          <w:rFonts w:ascii="Arial" w:hAnsi="Arial" w:cs="Arial"/>
          <w:bCs/>
          <w:color w:val="000000"/>
        </w:rPr>
        <w:fldChar w:fldCharType="end"/>
      </w:r>
      <w:r>
        <w:rPr>
          <w:rFonts w:ascii="Arial" w:hAnsi="Arial" w:cs="Calibri"/>
          <w:bCs/>
          <w:color w:val="000000"/>
        </w:rPr>
        <w:t>.</w:t>
      </w:r>
      <w:r>
        <w:rPr>
          <w:rFonts w:ascii="Arial" w:hAnsi="Arial" w:cs="Arial"/>
          <w:b/>
          <w:color w:val="244061" w:themeColor="accent1" w:themeShade="80"/>
        </w:rPr>
        <w:t xml:space="preserve"> </w:t>
      </w:r>
      <w:r>
        <w:rPr>
          <w:rFonts w:ascii="Arial" w:hAnsi="Arial" w:cs="Calibri"/>
          <w:bCs/>
          <w:color w:val="000000"/>
        </w:rPr>
        <w:t xml:space="preserve">It has been shown that amylin stimulates osteoblast proliferation and differentiation and inhibits osteoclast differentiation </w:t>
      </w:r>
      <w:r w:rsidRPr="00F81566">
        <w:rPr>
          <w:rFonts w:ascii="Arial" w:hAnsi="Arial" w:cs="Calibri"/>
          <w:bCs/>
          <w:i/>
          <w:color w:val="000000"/>
        </w:rPr>
        <w:t>in vitro</w:t>
      </w:r>
      <w:r w:rsidRPr="00F81566">
        <w:rPr>
          <w:rFonts w:ascii="Arial" w:hAnsi="Arial" w:cs="Calibri"/>
          <w:bCs/>
          <w:color w:val="000000"/>
        </w:rPr>
        <w:t xml:space="preserve"> </w:t>
      </w:r>
      <w:r>
        <w:rPr>
          <w:rFonts w:ascii="Arial" w:hAnsi="Arial" w:cs="Arial"/>
          <w:bCs/>
          <w:color w:val="000000"/>
        </w:rPr>
        <w:fldChar w:fldCharType="begin">
          <w:fldData xml:space="preserve">PEVuZE5vdGU+PENpdGU+PEF1dGhvcj5BbGFtPC9BdXRob3I+PFllYXI+MTk5MzwvWWVhcj48UmVj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</w:fldData>
        </w:fldChar>
      </w:r>
      <w:r w:rsidR="00B97465">
        <w:rPr>
          <w:rFonts w:ascii="Arial" w:hAnsi="Arial" w:cs="Arial"/>
          <w:bCs/>
          <w:color w:val="000000"/>
        </w:rPr>
        <w:instrText xml:space="preserve"> ADDIN EN.CITE </w:instrText>
      </w:r>
      <w:r w:rsidR="00B97465">
        <w:rPr>
          <w:rFonts w:ascii="Arial" w:hAnsi="Arial" w:cs="Arial"/>
          <w:bCs/>
          <w:color w:val="000000"/>
        </w:rPr>
        <w:fldChar w:fldCharType="begin">
          <w:fldData xml:space="preserve">PEVuZE5vdGU+PENpdGU+PEF1dGhvcj5BbGFtPC9BdXRob3I+PFllYXI+MTk5MzwvWWVhcj48UmVj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</w:fldData>
        </w:fldChar>
      </w:r>
      <w:r w:rsidR="00B97465">
        <w:rPr>
          <w:rFonts w:ascii="Arial" w:hAnsi="Arial" w:cs="Arial"/>
          <w:bCs/>
          <w:color w:val="000000"/>
        </w:rPr>
        <w:instrText xml:space="preserve"> ADDIN EN.CITE.DATA </w:instrText>
      </w:r>
      <w:r w:rsidR="00B97465">
        <w:rPr>
          <w:rFonts w:ascii="Arial" w:hAnsi="Arial" w:cs="Arial"/>
          <w:bCs/>
          <w:color w:val="000000"/>
        </w:rPr>
      </w:r>
      <w:r w:rsidR="00B97465">
        <w:rPr>
          <w:rFonts w:ascii="Arial" w:hAnsi="Arial" w:cs="Arial"/>
          <w:bCs/>
          <w:color w:val="000000"/>
        </w:rPr>
        <w:fldChar w:fldCharType="end"/>
      </w:r>
      <w:r>
        <w:rPr>
          <w:rFonts w:ascii="Arial" w:hAnsi="Arial" w:cs="Arial"/>
          <w:bCs/>
          <w:color w:val="000000"/>
        </w:rPr>
      </w:r>
      <w:r>
        <w:rPr>
          <w:rFonts w:ascii="Arial" w:hAnsi="Arial" w:cs="Arial"/>
          <w:bCs/>
          <w:color w:val="000000"/>
        </w:rPr>
        <w:fldChar w:fldCharType="separate"/>
      </w:r>
      <w:r>
        <w:rPr>
          <w:rFonts w:ascii="Arial" w:hAnsi="Arial" w:cs="Arial"/>
          <w:bCs/>
          <w:noProof/>
          <w:color w:val="000000"/>
        </w:rPr>
        <w:t>(Alam et al., 1993, Cornish et al., 1998, Cornish et al., 1999)</w:t>
      </w:r>
      <w:r>
        <w:rPr>
          <w:rFonts w:ascii="Arial" w:hAnsi="Arial" w:cs="Arial"/>
          <w:bCs/>
          <w:color w:val="000000"/>
        </w:rPr>
        <w:fldChar w:fldCharType="end"/>
      </w:r>
      <w:r>
        <w:rPr>
          <w:rFonts w:ascii="Arial" w:hAnsi="Arial" w:cs="Arial"/>
          <w:bCs/>
          <w:color w:val="000000"/>
        </w:rPr>
        <w:t xml:space="preserve">. Concentrations of amylin in plasma are lower in patients with osteoporosis compared with the healthy controls suggesting that amylin deficiency in these patients may contribute to the development of osteoporosis and provides suitable target for developing </w:t>
      </w:r>
      <w:r w:rsidRPr="0079373C">
        <w:rPr>
          <w:rFonts w:ascii="Arial" w:hAnsi="Arial" w:cs="Arial"/>
          <w:bCs/>
          <w:color w:val="000000"/>
        </w:rPr>
        <w:t>pharmacological treatments</w:t>
      </w:r>
      <w:r>
        <w:rPr>
          <w:rFonts w:ascii="Arial" w:hAnsi="Arial" w:cs="Arial"/>
          <w:bCs/>
          <w:color w:val="000000"/>
        </w:rPr>
        <w:t xml:space="preserve"> </w:t>
      </w:r>
      <w:r>
        <w:rPr>
          <w:rFonts w:ascii="Arial" w:hAnsi="Arial" w:cs="Arial"/>
          <w:bCs/>
          <w:color w:val="000000"/>
        </w:rPr>
        <w:fldChar w:fldCharType="begin"/>
      </w:r>
      <w:r w:rsidR="00B97465">
        <w:rPr>
          <w:rFonts w:ascii="Arial" w:hAnsi="Arial" w:cs="Arial"/>
          <w:bCs/>
          <w:color w:val="000000"/>
        </w:rPr>
        <w:instrText xml:space="preserve"> ADDIN EN.CITE &lt;EndNote&gt;&lt;Cite&gt;&lt;Author&gt;Bronsky&lt;/Author&gt;&lt;Year&gt;2004&lt;/Year&gt;&lt;RecNum&gt;172&lt;/RecNum&gt;&lt;DisplayText&gt;(Bronsky and Prusa, 2004)&lt;/DisplayText&gt;&lt;record&gt;&lt;rec-number&gt;172&lt;/rec-number&gt;&lt;foreign-keys&gt;&lt;key app="EN" db-id="ae9rewfrpdttrheppfxxv0p4950wpd25r09x" timestamp="1520658021"&gt;172&lt;/key&gt;&lt;key app="ENWeb" db-id=""&gt;0&lt;/key&gt;&lt;/foreign-keys&gt;&lt;ref-type name="Journal Article"&gt;17&lt;/ref-type&gt;&lt;contributors&gt;&lt;authors&gt;&lt;author&gt;Bronsky, J.&lt;/author&gt;&lt;author&gt;Prusa, R.&lt;/author&gt;&lt;/authors&gt;&lt;/contributors&gt;&lt;titles&gt;&lt;title&gt;Amylin fasting plasma levels are decreased in patients with osteoporosis&lt;/title&gt;&lt;secondary-title&gt;Osteoporosis Internationall&lt;/secondary-title&gt;&lt;/titles&gt;&lt;periodical&gt;&lt;full-title&gt;Osteoporosis Internationall&lt;/full-title&gt;&lt;/periodical&gt;&lt;pages&gt;243-247&lt;/pages&gt;&lt;volume&gt;15&lt;/volume&gt;&lt;number&gt;3&lt;/number&gt;&lt;dates&gt;&lt;year&gt;2004&lt;/year&gt;&lt;/dates&gt;&lt;isbn&gt;0937-941X&lt;/isbn&gt;&lt;urls&gt;&lt;/urls&gt;&lt;electronic-resource-num&gt;10.1007/s00198-003-1538-5&lt;/electronic-resource-num&gt;&lt;/record&gt;&lt;/Cite&gt;&lt;/EndNote&gt;</w:instrText>
      </w:r>
      <w:r>
        <w:rPr>
          <w:rFonts w:ascii="Arial" w:hAnsi="Arial" w:cs="Arial"/>
          <w:bCs/>
          <w:color w:val="000000"/>
        </w:rPr>
        <w:fldChar w:fldCharType="separate"/>
      </w:r>
      <w:r>
        <w:rPr>
          <w:rFonts w:ascii="Arial" w:hAnsi="Arial" w:cs="Arial"/>
          <w:bCs/>
          <w:noProof/>
          <w:color w:val="000000"/>
        </w:rPr>
        <w:t>(Bronsky and Prusa, 2004)</w:t>
      </w:r>
      <w:r>
        <w:rPr>
          <w:rFonts w:ascii="Arial" w:hAnsi="Arial" w:cs="Arial"/>
          <w:bCs/>
          <w:color w:val="000000"/>
        </w:rPr>
        <w:fldChar w:fldCharType="end"/>
      </w:r>
      <w:r w:rsidRPr="00882763">
        <w:rPr>
          <w:rFonts w:ascii="Arial" w:hAnsi="Arial" w:cs="Arial"/>
          <w:bCs/>
          <w:color w:val="000000"/>
        </w:rPr>
        <w:t xml:space="preserve">. </w:t>
      </w:r>
    </w:p>
    <w:p w14:paraId="3517A303" w14:textId="77777777" w:rsidR="007B76C3" w:rsidRPr="0051288D" w:rsidRDefault="007B76C3" w:rsidP="007B76C3">
      <w:pPr>
        <w:autoSpaceDE w:val="0"/>
        <w:autoSpaceDN w:val="0"/>
        <w:adjustRightInd w:val="0"/>
        <w:spacing w:line="360" w:lineRule="auto"/>
        <w:jc w:val="both"/>
        <w:rPr>
          <w:rFonts w:ascii="Arial" w:hAnsi="Arial" w:cs="Calibri"/>
          <w:bCs/>
          <w:color w:val="000000"/>
        </w:rPr>
      </w:pPr>
    </w:p>
    <w:p w14:paraId="66D584E7" w14:textId="77777777" w:rsidR="007B76C3" w:rsidRDefault="007B76C3" w:rsidP="007B76C3">
      <w:pPr>
        <w:spacing w:line="480" w:lineRule="auto"/>
        <w:jc w:val="both"/>
        <w:rPr>
          <w:rFonts w:ascii="Arial" w:hAnsi="Arial" w:cs="Calibri"/>
          <w:bCs/>
          <w:color w:val="000000"/>
        </w:rPr>
      </w:pPr>
      <w:r>
        <w:rPr>
          <w:rFonts w:ascii="Arial" w:hAnsi="Arial" w:cs="Calibri"/>
          <w:bCs/>
          <w:color w:val="000000"/>
        </w:rPr>
        <w:t xml:space="preserve">The role of </w:t>
      </w:r>
      <w:r w:rsidRPr="009954EA">
        <w:rPr>
          <w:rFonts w:ascii="Arial" w:hAnsi="Arial" w:cs="Calibri"/>
          <w:b/>
          <w:bCs/>
          <w:color w:val="000000"/>
        </w:rPr>
        <w:t>GIP</w:t>
      </w:r>
      <w:r>
        <w:rPr>
          <w:rFonts w:ascii="Arial" w:hAnsi="Arial" w:cs="Calibri"/>
          <w:bCs/>
          <w:color w:val="000000"/>
        </w:rPr>
        <w:t xml:space="preserve"> in regulation of bone remodelling was studied using genetically modified mouse models. It is shown that GIP receptors are expressed on osteoblasts, and GIP increases osteoblast number, collagen type I expression and </w:t>
      </w:r>
      <w:r w:rsidRPr="00AC1D95">
        <w:rPr>
          <w:rFonts w:ascii="Arial" w:hAnsi="Arial" w:cs="Calibri"/>
          <w:bCs/>
          <w:color w:val="000000"/>
        </w:rPr>
        <w:t>alkaline phosphatase (ALP) activity</w:t>
      </w:r>
      <w:r>
        <w:rPr>
          <w:rFonts w:ascii="Arial" w:hAnsi="Arial" w:cs="Calibri"/>
          <w:bCs/>
          <w:color w:val="000000"/>
        </w:rPr>
        <w:t xml:space="preserve"> in osteosarcoma cell lines</w:t>
      </w:r>
      <w:r w:rsidRPr="00E50D82">
        <w:rPr>
          <w:rFonts w:ascii="Arial" w:hAnsi="Arial" w:cs="Calibri"/>
          <w:bCs/>
          <w:color w:val="000000"/>
        </w:rPr>
        <w:t xml:space="preserve"> </w:t>
      </w:r>
      <w:r>
        <w:rPr>
          <w:rFonts w:ascii="Arial" w:hAnsi="Arial" w:cs="Calibri"/>
          <w:bCs/>
          <w:color w:val="000000"/>
        </w:rPr>
        <w:fldChar w:fldCharType="begin">
          <w:fldData xml:space="preserve">PEVuZE5vdGU+PENpdGU+PEF1dGhvcj5Cb2xsYWc8L0F1dGhvcj48WWVhcj4yMDAwPC9ZZWFyPjxS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==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PEVuZE5vdGU+PENpdGU+PEF1dGhvcj5Cb2xsYWc8L0F1dGhvcj48WWVhcj4yMDAwPC9ZZWFyPjxS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==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(Bollag et al., 2000, Zhong et al., 2007)</w:t>
      </w:r>
      <w:r>
        <w:rPr>
          <w:rFonts w:ascii="Arial" w:hAnsi="Arial" w:cs="Calibri"/>
          <w:bCs/>
          <w:color w:val="000000"/>
        </w:rPr>
        <w:fldChar w:fldCharType="end"/>
      </w:r>
      <w:r>
        <w:rPr>
          <w:rFonts w:ascii="Arial" w:hAnsi="Arial" w:cs="Calibri"/>
          <w:bCs/>
          <w:color w:val="000000"/>
        </w:rPr>
        <w:t xml:space="preserve">. GIP receptor knockout mice have reduced bone formation, low bone mass, smaller bone size and alterations in trabecular microarchitecture </w:t>
      </w:r>
      <w:r>
        <w:rPr>
          <w:rFonts w:ascii="Arial" w:hAnsi="Arial" w:cs="Calibri"/>
          <w:bCs/>
          <w:color w:val="000000"/>
        </w:rPr>
        <w:fldChar w:fldCharType="begin">
          <w:fldData xml:space="preserve">PEVuZE5vdGU+PENpdGU+PEF1dGhvcj5YaWU8L0F1dGhvcj48WWVhcj4yMDA1PC9ZZWFyPjxSZWNO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</w:fldData>
        </w:fldChar>
      </w:r>
      <w:r w:rsidR="00B32AAB">
        <w:rPr>
          <w:rFonts w:ascii="Arial" w:hAnsi="Arial" w:cs="Calibri"/>
          <w:bCs/>
          <w:color w:val="000000"/>
        </w:rPr>
        <w:instrText xml:space="preserve"> ADDIN EN.CITE </w:instrText>
      </w:r>
      <w:r w:rsidR="00B32AAB">
        <w:rPr>
          <w:rFonts w:ascii="Arial" w:hAnsi="Arial" w:cs="Calibri"/>
          <w:bCs/>
          <w:color w:val="000000"/>
        </w:rPr>
        <w:fldChar w:fldCharType="begin">
          <w:fldData xml:space="preserve">PEVuZE5vdGU+PENpdGU+PEF1dGhvcj5YaWU8L0F1dGhvcj48WWVhcj4yMDA1PC9ZZWFyPjxSZWNO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</w:fldData>
        </w:fldChar>
      </w:r>
      <w:r w:rsidR="00B32AAB">
        <w:rPr>
          <w:rFonts w:ascii="Arial" w:hAnsi="Arial" w:cs="Calibri"/>
          <w:bCs/>
          <w:color w:val="000000"/>
        </w:rPr>
        <w:instrText xml:space="preserve"> ADDIN EN.CITE.DATA </w:instrText>
      </w:r>
      <w:r w:rsidR="00B32AAB">
        <w:rPr>
          <w:rFonts w:ascii="Arial" w:hAnsi="Arial" w:cs="Calibri"/>
          <w:bCs/>
          <w:color w:val="000000"/>
        </w:rPr>
      </w:r>
      <w:r w:rsidR="00B32AAB">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sidR="00B32AAB">
        <w:rPr>
          <w:rFonts w:ascii="Arial" w:hAnsi="Arial" w:cs="Calibri"/>
          <w:bCs/>
          <w:noProof/>
          <w:color w:val="000000"/>
        </w:rPr>
        <w:t xml:space="preserve">(Xie et al., 2005a, Tsukiyama </w:t>
      </w:r>
      <w:r w:rsidR="00E021AD">
        <w:rPr>
          <w:rFonts w:ascii="Arial" w:hAnsi="Arial" w:cs="Calibri"/>
          <w:bCs/>
          <w:noProof/>
          <w:color w:val="000000"/>
        </w:rPr>
        <w:t>et al., 2006</w:t>
      </w:r>
      <w:r w:rsidR="00B32AAB">
        <w:rPr>
          <w:rFonts w:ascii="Arial" w:hAnsi="Arial" w:cs="Calibri"/>
          <w:bCs/>
          <w:noProof/>
          <w:color w:val="000000"/>
        </w:rPr>
        <w:t>)</w:t>
      </w:r>
      <w:r>
        <w:rPr>
          <w:rFonts w:ascii="Arial" w:hAnsi="Arial" w:cs="Calibri"/>
          <w:bCs/>
          <w:color w:val="000000"/>
        </w:rPr>
        <w:fldChar w:fldCharType="end"/>
      </w:r>
      <w:r>
        <w:rPr>
          <w:rFonts w:ascii="Arial" w:hAnsi="Arial" w:cs="Calibri"/>
          <w:bCs/>
          <w:color w:val="000000"/>
        </w:rPr>
        <w:t xml:space="preserve">. Transgenic mice overexpressing GIP have increased bone mass and BMD due to increased bone formation and reduced bone resorption, and, more importantly, reduced bone loss with ageing </w:t>
      </w:r>
      <w:r>
        <w:rPr>
          <w:rFonts w:ascii="Arial" w:hAnsi="Arial" w:cs="Calibri"/>
          <w:bCs/>
          <w:color w:val="000000"/>
        </w:rPr>
        <w:fldChar w:fldCharType="begin">
          <w:fldData xml:space="preserve">PEVuZE5vdGU+PENpdGU+PEF1dGhvcj5YaWU8L0F1dGhvcj48WWVhcj4yMDA0PC9ZZWFyPjxSZWNO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PEVuZE5vdGU+PENpdGU+PEF1dGhvcj5YaWU8L0F1dGhvcj48WWVhcj4yMDA0PC9ZZWFyPjxSZWNO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(Xie et al., 2004, Xie et al., 2007, Ding et al., 2008)</w:t>
      </w:r>
      <w:r>
        <w:rPr>
          <w:rFonts w:ascii="Arial" w:hAnsi="Arial" w:cs="Calibri"/>
          <w:bCs/>
          <w:color w:val="000000"/>
        </w:rPr>
        <w:fldChar w:fldCharType="end"/>
      </w:r>
      <w:r>
        <w:rPr>
          <w:rFonts w:ascii="Arial" w:hAnsi="Arial" w:cs="Calibri"/>
          <w:bCs/>
          <w:color w:val="000000"/>
        </w:rPr>
        <w:t xml:space="preserve">. Furthermore, administration of GIP was shown to increase bone density in ovariectomised rats, which </w:t>
      </w:r>
      <w:r>
        <w:rPr>
          <w:rFonts w:ascii="Arial" w:hAnsi="Arial" w:cs="Calibri"/>
          <w:bCs/>
          <w:color w:val="000000"/>
        </w:rPr>
        <w:lastRenderedPageBreak/>
        <w:t>may have counteracted bone resorption characteristic of oestrogen depletion confirming osteoprotective effects of GIP</w:t>
      </w:r>
      <w:r w:rsidR="002C6EE2">
        <w:rPr>
          <w:rFonts w:ascii="Arial" w:hAnsi="Arial" w:cs="Calibri"/>
          <w:bCs/>
          <w:color w:val="000000"/>
        </w:rPr>
        <w:t xml:space="preserve"> </w:t>
      </w:r>
      <w:r w:rsidR="002C6EE2">
        <w:rPr>
          <w:rFonts w:ascii="Arial" w:hAnsi="Arial" w:cs="Calibri"/>
          <w:bCs/>
          <w:color w:val="000000"/>
        </w:rPr>
        <w:fldChar w:fldCharType="begin"/>
      </w:r>
      <w:r w:rsidR="00A108A1">
        <w:rPr>
          <w:rFonts w:ascii="Arial" w:hAnsi="Arial" w:cs="Calibri"/>
          <w:bCs/>
          <w:color w:val="000000"/>
        </w:rPr>
        <w:instrText xml:space="preserve"> ADDIN EN.CITE &lt;EndNote&gt;&lt;Cite&gt;&lt;Author&gt;Bollag&lt;/Author&gt;&lt;Year&gt;2001&lt;/Year&gt;&lt;RecNum&gt;402&lt;/RecNum&gt;&lt;DisplayText&gt;(Bollag et al., 2001)&lt;/DisplayText&gt;&lt;record&gt;&lt;rec-number&gt;402&lt;/rec-number&gt;&lt;foreign-keys&gt;&lt;key app="EN" db-id="ae9rewfrpdttrheppfxxv0p4950wpd25r09x" timestamp="1520658302"&gt;402&lt;/key&gt;&lt;/foreign-keys&gt;&lt;ref-type name="Journal Article"&gt;17&lt;/ref-type&gt;&lt;contributors&gt;&lt;authors&gt;&lt;author&gt;Bollag, R. J.&lt;/author&gt;&lt;author&gt;Zhong, Q.&lt;/author&gt;&lt;author&gt;Ding, K. H.&lt;/author&gt;&lt;author&gt;Phillips, P.&lt;/author&gt;&lt;author&gt;Zhong, L.&lt;/author&gt;&lt;author&gt;Qin, F.&lt;/author&gt;&lt;author&gt;Cranford, J.&lt;/author&gt;&lt;author&gt;Mulloy, A. L.&lt;/author&gt;&lt;author&gt;Cameron, R.&lt;/author&gt;&lt;author&gt;Isales, C. M.&lt;/author&gt;&lt;/authors&gt;&lt;/contributors&gt;&lt;titles&gt;&lt;title&gt;Glucose- dependent insulinotropic peptide is an integrative hormone with osteotropic effects&lt;/title&gt;&lt;secondary-title&gt;Molecular and Cellular Endocrinology&lt;/secondary-title&gt;&lt;/titles&gt;&lt;periodical&gt;&lt;full-title&gt;Molecular and Cellular Endocrinology&lt;/full-title&gt;&lt;/periodical&gt;&lt;pages&gt;35-41&lt;/pages&gt;&lt;volume&gt;177&lt;/volume&gt;&lt;number&gt;1&lt;/number&gt;&lt;keywords&gt;&lt;keyword&gt;Gip Receptor&lt;/keyword&gt;&lt;keyword&gt;Bone&lt;/keyword&gt;&lt;keyword&gt;Bone Mineral Density&lt;/keyword&gt;&lt;keyword&gt;Osteoporosis&lt;/keyword&gt;&lt;/keywords&gt;&lt;dates&gt;&lt;year&gt;2001&lt;/year&gt;&lt;/dates&gt;&lt;isbn&gt;0303-7207&lt;/isbn&gt;&lt;urls&gt;&lt;/urls&gt;&lt;electronic-resource-num&gt;10.1016/S0303-7207(01)00405-1&lt;/electronic-resource-num&gt;&lt;/record&gt;&lt;/Cite&gt;&lt;/EndNote&gt;</w:instrText>
      </w:r>
      <w:r w:rsidR="002C6EE2">
        <w:rPr>
          <w:rFonts w:ascii="Arial" w:hAnsi="Arial" w:cs="Calibri"/>
          <w:bCs/>
          <w:color w:val="000000"/>
        </w:rPr>
        <w:fldChar w:fldCharType="separate"/>
      </w:r>
      <w:r w:rsidR="002C6EE2">
        <w:rPr>
          <w:rFonts w:ascii="Arial" w:hAnsi="Arial" w:cs="Calibri"/>
          <w:bCs/>
          <w:noProof/>
          <w:color w:val="000000"/>
        </w:rPr>
        <w:t>(Bollag et al., 2001)</w:t>
      </w:r>
      <w:r w:rsidR="002C6EE2">
        <w:rPr>
          <w:rFonts w:ascii="Arial" w:hAnsi="Arial" w:cs="Calibri"/>
          <w:bCs/>
          <w:color w:val="000000"/>
        </w:rPr>
        <w:fldChar w:fldCharType="end"/>
      </w:r>
      <w:r w:rsidR="002C6EE2">
        <w:rPr>
          <w:rFonts w:ascii="Arial" w:hAnsi="Arial" w:cs="Calibri"/>
          <w:bCs/>
          <w:color w:val="000000"/>
        </w:rPr>
        <w:t>.</w:t>
      </w:r>
    </w:p>
    <w:p w14:paraId="28587174" w14:textId="77777777" w:rsidR="007B76C3" w:rsidRDefault="007B76C3" w:rsidP="007B76C3">
      <w:pPr>
        <w:autoSpaceDE w:val="0"/>
        <w:autoSpaceDN w:val="0"/>
        <w:adjustRightInd w:val="0"/>
        <w:spacing w:line="360" w:lineRule="auto"/>
        <w:jc w:val="both"/>
        <w:rPr>
          <w:rFonts w:ascii="Arial" w:hAnsi="Arial" w:cs="Calibri"/>
          <w:b/>
          <w:bCs/>
          <w:color w:val="000000"/>
        </w:rPr>
      </w:pPr>
    </w:p>
    <w:p w14:paraId="64053951" w14:textId="77777777" w:rsidR="007B76C3" w:rsidRDefault="007B76C3" w:rsidP="007B76C3">
      <w:pPr>
        <w:autoSpaceDE w:val="0"/>
        <w:autoSpaceDN w:val="0"/>
        <w:adjustRightInd w:val="0"/>
        <w:spacing w:line="480" w:lineRule="auto"/>
        <w:jc w:val="both"/>
        <w:rPr>
          <w:rFonts w:ascii="Arial" w:hAnsi="Arial" w:cs="Calibri"/>
          <w:bCs/>
          <w:color w:val="000000"/>
        </w:rPr>
      </w:pPr>
      <w:r w:rsidRPr="001E0AC7">
        <w:rPr>
          <w:rFonts w:ascii="Arial" w:hAnsi="Arial"/>
        </w:rPr>
        <w:t>Previous studies have shown that</w:t>
      </w:r>
      <w:r>
        <w:rPr>
          <w:rFonts w:ascii="Arial" w:hAnsi="Arial"/>
          <w:b/>
        </w:rPr>
        <w:t xml:space="preserve"> </w:t>
      </w:r>
      <w:r w:rsidRPr="003D15E5">
        <w:rPr>
          <w:rFonts w:ascii="Arial" w:hAnsi="Arial"/>
          <w:b/>
        </w:rPr>
        <w:t>GLP1</w:t>
      </w:r>
      <w:r>
        <w:rPr>
          <w:rFonts w:ascii="Arial" w:hAnsi="Arial"/>
          <w:b/>
        </w:rPr>
        <w:t xml:space="preserve"> </w:t>
      </w:r>
      <w:r>
        <w:rPr>
          <w:rFonts w:ascii="Arial" w:hAnsi="Arial"/>
        </w:rPr>
        <w:t xml:space="preserve">regulates bone remodelling mainly by decreasing bone </w:t>
      </w:r>
      <w:r w:rsidRPr="001E0AC7">
        <w:rPr>
          <w:rFonts w:ascii="Arial" w:hAnsi="Arial"/>
        </w:rPr>
        <w:t xml:space="preserve">resorption </w:t>
      </w:r>
      <w:r>
        <w:rPr>
          <w:rFonts w:ascii="Arial" w:hAnsi="Arial" w:cs="Calibri"/>
          <w:bCs/>
          <w:color w:val="000000"/>
        </w:rPr>
        <w:fldChar w:fldCharType="begin">
          <w:fldData xml:space="preserve">PEVuZE5vdGU+PENpdGU+PEF1dGhvcj5ZYW1hZGE8L0F1dGhvcj48WWVhcj4yMDA4PC9ZZWFyPjxS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PEVuZE5vdGU+PENpdGU+PEF1dGhvcj5ZYW1hZGE8L0F1dGhvcj48WWVhcj4yMDA4PC9ZZWFyPjxS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(Yamada et al., 2008, Nuche-Berenguer et al., 2009)</w:t>
      </w:r>
      <w:r>
        <w:rPr>
          <w:rFonts w:ascii="Arial" w:hAnsi="Arial" w:cs="Calibri"/>
          <w:bCs/>
          <w:color w:val="000000"/>
        </w:rPr>
        <w:fldChar w:fldCharType="end"/>
      </w:r>
      <w:r>
        <w:rPr>
          <w:rFonts w:ascii="Arial" w:hAnsi="Arial" w:cs="Calibri"/>
          <w:bCs/>
          <w:color w:val="000000"/>
        </w:rPr>
        <w:t xml:space="preserve">. GLP1 receptors have been found in murine and human osteoblastic cell lines indicating GLP1 may directly and functionally interact with osteoblastic cells through its receptor </w:t>
      </w:r>
      <w:r>
        <w:rPr>
          <w:rFonts w:ascii="Arial" w:hAnsi="Arial" w:cs="Calibri"/>
          <w:bCs/>
          <w:color w:val="000000"/>
        </w:rPr>
        <w:fldChar w:fldCharType="begin">
          <w:fldData xml:space="preserve">PEVuZE5vdGU+PENpdGU+PEF1dGhvcj5OdWNoZS0gQmVyZW5ndWVyPC9BdXRob3I+PFllYXI+MjAx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PEVuZE5vdGU+PENpdGU+PEF1dGhvcj5OdWNoZS0gQmVyZW5ndWVyPC9BdXRob3I+PFllYXI+MjAx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Pr>
          <w:rFonts w:ascii="Arial" w:hAnsi="Arial" w:cs="Calibri"/>
          <w:bCs/>
          <w:color w:val="000000"/>
        </w:rPr>
      </w:r>
      <w:r>
        <w:rPr>
          <w:rFonts w:ascii="Arial" w:hAnsi="Arial" w:cs="Calibri"/>
          <w:bCs/>
          <w:color w:val="000000"/>
        </w:rPr>
        <w:fldChar w:fldCharType="separate"/>
      </w:r>
      <w:r>
        <w:rPr>
          <w:rFonts w:ascii="Arial" w:hAnsi="Arial" w:cs="Calibri"/>
          <w:bCs/>
          <w:noProof/>
          <w:color w:val="000000"/>
        </w:rPr>
        <w:t>(Nuche- Berenguer et al., 2010, Pacheco- Pantoja et al., 2011)</w:t>
      </w:r>
      <w:r>
        <w:rPr>
          <w:rFonts w:ascii="Arial" w:hAnsi="Arial" w:cs="Calibri"/>
          <w:bCs/>
          <w:color w:val="000000"/>
        </w:rPr>
        <w:fldChar w:fldCharType="end"/>
      </w:r>
      <w:r>
        <w:rPr>
          <w:rFonts w:ascii="Arial" w:hAnsi="Arial" w:cs="Calibri"/>
          <w:bCs/>
          <w:color w:val="000000"/>
        </w:rPr>
        <w:t xml:space="preserve">. GLP1 receptor knockout mice had bone fragility, increased osteoclast number and ultimate bone resorption activity, which was </w:t>
      </w:r>
      <w:r>
        <w:rPr>
          <w:rFonts w:ascii="Arial" w:hAnsi="Arial" w:cs="Calibri"/>
          <w:bCs/>
          <w:noProof/>
          <w:color w:val="000000"/>
        </w:rPr>
        <w:t>assessed by increased urinary concentration of bone resorption marker urinar</w:t>
      </w:r>
      <w:r w:rsidR="00C24490">
        <w:rPr>
          <w:rFonts w:ascii="Arial" w:hAnsi="Arial" w:cs="Calibri"/>
          <w:bCs/>
          <w:noProof/>
          <w:color w:val="000000"/>
        </w:rPr>
        <w:t xml:space="preserve">y </w:t>
      </w:r>
      <w:r>
        <w:rPr>
          <w:rFonts w:ascii="Arial" w:hAnsi="Arial" w:cs="Calibri"/>
          <w:bCs/>
          <w:noProof/>
          <w:color w:val="000000"/>
        </w:rPr>
        <w:t xml:space="preserve">deoxypyridinoline </w:t>
      </w:r>
      <w:r w:rsidR="00C37355">
        <w:rPr>
          <w:rFonts w:ascii="Arial" w:hAnsi="Arial" w:cs="Calibri"/>
          <w:bCs/>
          <w:noProof/>
          <w:color w:val="000000"/>
        </w:rPr>
        <w:fldChar w:fldCharType="begin"/>
      </w:r>
      <w:r w:rsidR="00A108A1">
        <w:rPr>
          <w:rFonts w:ascii="Arial" w:hAnsi="Arial" w:cs="Calibri"/>
          <w:bCs/>
          <w:noProof/>
          <w:color w:val="000000"/>
        </w:rPr>
        <w:instrText xml:space="preserve"> ADDIN EN.CITE &lt;EndNote&gt;&lt;Cite&gt;&lt;Author&gt;Yamada&lt;/Author&gt;&lt;Year&gt;2008&lt;/Year&gt;&lt;RecNum&gt;178&lt;/RecNum&gt;&lt;DisplayText&gt;(Yamada et al., 2008)&lt;/DisplayText&gt;&lt;record&gt;&lt;rec-number&gt;178&lt;/rec-number&gt;&lt;foreign-keys&gt;&lt;key app="EN" db-id="ae9rewfrpdttrheppfxxv0p4950wpd25r09x" timestamp="1520658033"&gt;178&lt;/key&gt;&lt;/foreign-keys&gt;&lt;ref-type name="Journal Article"&gt;17&lt;/ref-type&gt;&lt;contributors&gt;&lt;authors&gt;&lt;author&gt;Yamada, Chizumi&lt;/author&gt;&lt;author&gt;Yamada, Yuichiro&lt;/author&gt;&lt;author&gt;Tsukiyama, Katsushi&lt;/author&gt;&lt;author&gt;Yamada, Kotaro&lt;/author&gt;&lt;author&gt;Udagawa, Nobuyuki&lt;/author&gt;&lt;author&gt;Takahashi, Naoyuki&lt;/author&gt;&lt;author&gt;Tanaka, Kiyoshi&lt;/author&gt;&lt;author&gt;Drucker, Daniel J.&lt;/author&gt;&lt;author&gt;Seino, Yutaka&lt;/author&gt;&lt;author&gt;Inagaki, Nobuya&lt;/author&gt;&lt;/authors&gt;&lt;/contributors&gt;&lt;titles&gt;&lt;title&gt;The murine glucagon-like peptide-1 receptor is essential for control of bone resorption&lt;/title&gt;&lt;secondary-title&gt;Endocrinology&lt;/secondary-title&gt;&lt;/titles&gt;&lt;periodical&gt;&lt;full-title&gt;Endocrinology&lt;/full-title&gt;&lt;/periodical&gt;&lt;pages&gt;574-579&lt;/pages&gt;&lt;volume&gt;149&lt;/volume&gt;&lt;number&gt;2&lt;/number&gt;&lt;dates&gt;&lt;year&gt;2008&lt;/year&gt;&lt;pub-dates&gt;&lt;date&gt;Feb&lt;/date&gt;&lt;/pub-dates&gt;&lt;/dates&gt;&lt;isbn&gt;0013-7227&lt;/isbn&gt;&lt;accession-num&gt;WOS:000252506800019&lt;/accession-num&gt;&lt;urls&gt;&lt;related-urls&gt;&lt;url&gt;&amp;lt;Go to ISI&amp;gt;://WOS:000252506800019&lt;/url&gt;&lt;/related-urls&gt;&lt;/urls&gt;&lt;electronic-resource-num&gt;10.1210/en.2007-1292&lt;/electronic-resource-num&gt;&lt;/record&gt;&lt;/Cite&gt;&lt;/EndNote&gt;</w:instrText>
      </w:r>
      <w:r w:rsidR="00C37355">
        <w:rPr>
          <w:rFonts w:ascii="Arial" w:hAnsi="Arial" w:cs="Calibri"/>
          <w:bCs/>
          <w:noProof/>
          <w:color w:val="000000"/>
        </w:rPr>
        <w:fldChar w:fldCharType="separate"/>
      </w:r>
      <w:r w:rsidR="00C37355">
        <w:rPr>
          <w:rFonts w:ascii="Arial" w:hAnsi="Arial" w:cs="Calibri"/>
          <w:bCs/>
          <w:noProof/>
          <w:color w:val="000000"/>
        </w:rPr>
        <w:t>(Yamada et al., 2008)</w:t>
      </w:r>
      <w:r w:rsidR="00C37355">
        <w:rPr>
          <w:rFonts w:ascii="Arial" w:hAnsi="Arial" w:cs="Calibri"/>
          <w:bCs/>
          <w:noProof/>
          <w:color w:val="000000"/>
        </w:rPr>
        <w:fldChar w:fldCharType="end"/>
      </w:r>
      <w:r w:rsidR="00C37355">
        <w:rPr>
          <w:rFonts w:ascii="Arial" w:hAnsi="Arial" w:cs="Calibri"/>
          <w:bCs/>
          <w:color w:val="000000"/>
        </w:rPr>
        <w:t>.</w:t>
      </w:r>
      <w:r>
        <w:rPr>
          <w:rFonts w:ascii="Arial" w:hAnsi="Arial" w:cs="Calibri"/>
          <w:bCs/>
          <w:color w:val="000000"/>
        </w:rPr>
        <w:t xml:space="preserve"> A number of studies have shown apparent relationship between </w:t>
      </w:r>
      <w:r w:rsidRPr="00E402F6">
        <w:rPr>
          <w:rFonts w:ascii="Arial" w:hAnsi="Arial" w:cs="Calibri"/>
          <w:bCs/>
          <w:color w:val="000000"/>
        </w:rPr>
        <w:t>GLP2</w:t>
      </w:r>
      <w:r>
        <w:rPr>
          <w:rFonts w:ascii="Arial" w:hAnsi="Arial" w:cs="Calibri"/>
          <w:bCs/>
          <w:color w:val="000000"/>
        </w:rPr>
        <w:t xml:space="preserve">, </w:t>
      </w:r>
      <w:r>
        <w:rPr>
          <w:rFonts w:ascii="Arial" w:hAnsi="Arial" w:cs="Arial"/>
          <w:color w:val="000000" w:themeColor="text1"/>
        </w:rPr>
        <w:t xml:space="preserve">which is </w:t>
      </w:r>
      <w:r>
        <w:rPr>
          <w:rFonts w:ascii="Arial" w:hAnsi="Arial"/>
        </w:rPr>
        <w:t>co-</w:t>
      </w:r>
      <w:r w:rsidRPr="0036693B">
        <w:rPr>
          <w:rFonts w:ascii="Arial" w:hAnsi="Arial"/>
        </w:rPr>
        <w:t>secreted</w:t>
      </w:r>
      <w:r w:rsidRPr="003C2380">
        <w:rPr>
          <w:rFonts w:ascii="Arial" w:hAnsi="Arial" w:cs="Calibri"/>
          <w:bCs/>
          <w:color w:val="000000"/>
        </w:rPr>
        <w:t xml:space="preserve"> </w:t>
      </w:r>
      <w:r>
        <w:rPr>
          <w:rFonts w:ascii="Arial" w:hAnsi="Arial" w:cs="Calibri"/>
          <w:bCs/>
          <w:color w:val="000000"/>
        </w:rPr>
        <w:t xml:space="preserve">with GLP1 from the intestinal L cells, and bone metabolism. GLP2 receptors are expressed on osteoclasts, and GLP2 decreases bone resorption both </w:t>
      </w:r>
      <w:r w:rsidRPr="00A153D8">
        <w:rPr>
          <w:rFonts w:ascii="Arial" w:hAnsi="Arial" w:cs="Calibri"/>
          <w:bCs/>
          <w:i/>
          <w:color w:val="000000"/>
        </w:rPr>
        <w:t>in vivo</w:t>
      </w:r>
      <w:r>
        <w:rPr>
          <w:rFonts w:ascii="Arial" w:hAnsi="Arial" w:cs="Calibri"/>
          <w:bCs/>
          <w:color w:val="000000"/>
        </w:rPr>
        <w:t xml:space="preserve"> and </w:t>
      </w:r>
      <w:r w:rsidRPr="00A153D8">
        <w:rPr>
          <w:rFonts w:ascii="Arial" w:hAnsi="Arial" w:cs="Calibri"/>
          <w:bCs/>
          <w:i/>
          <w:color w:val="000000"/>
        </w:rPr>
        <w:t>in vitro</w:t>
      </w:r>
      <w:r>
        <w:rPr>
          <w:rFonts w:ascii="Arial" w:hAnsi="Arial" w:cs="Calibri"/>
          <w:bCs/>
          <w:color w:val="000000"/>
        </w:rPr>
        <w:t xml:space="preserve"> </w:t>
      </w:r>
      <w:r>
        <w:rPr>
          <w:rFonts w:ascii="Arial" w:hAnsi="Arial" w:cs="Calibri"/>
          <w:bCs/>
          <w:color w:val="000000"/>
        </w:rPr>
        <w:fldChar w:fldCharType="begin"/>
      </w:r>
      <w:r w:rsidR="00A108A1">
        <w:rPr>
          <w:rFonts w:ascii="Arial" w:hAnsi="Arial" w:cs="Calibri"/>
          <w:bCs/>
          <w:color w:val="000000"/>
        </w:rPr>
        <w:instrText xml:space="preserve"> ADDIN EN.CITE &lt;EndNote&gt;&lt;Cite&gt;&lt;Author&gt;Henriksen&lt;/Author&gt;&lt;Year&gt;2003&lt;/Year&gt;&lt;RecNum&gt;181&lt;/RecNum&gt;&lt;DisplayText&gt;(Henriksen et al., 2003a, Karsdal et al., 2004)&lt;/DisplayText&gt;&lt;record&gt;&lt;rec-number&gt;181&lt;/rec-number&gt;&lt;foreign-keys&gt;&lt;key app="EN" db-id="ae9rewfrpdttrheppfxxv0p4950wpd25r09x" timestamp="1520658038"&gt;181&lt;/key&gt;&lt;key app="ENWeb" db-id=""&gt;0&lt;/key&gt;&lt;/foreign-keys&gt;&lt;ref-type name="Journal Article"&gt;17&lt;/ref-type&gt;&lt;contributors&gt;&lt;authors&gt;&lt;author&gt;Henriksen, Db&lt;/author&gt;&lt;author&gt;Alexandersen, P.&lt;/author&gt;&lt;author&gt;Andersen, Tl&lt;/author&gt;&lt;author&gt;Byrjalsen, L.&lt;/author&gt;&lt;author&gt;Henriksen, Eg&lt;/author&gt;&lt;author&gt;Hartmann, B.&lt;/author&gt;&lt;author&gt;Christiansen, C.&lt;/author&gt;&lt;author&gt;Holst, Jj&lt;/author&gt;&lt;/authors&gt;&lt;/contributors&gt;&lt;titles&gt;&lt;title&gt;GLP- 2 is a key player in the regulation of bone turnover: New prophylaxis?&lt;/title&gt;&lt;secondary-title&gt;Journal Of Bone And Mineral Research&lt;/secondary-title&gt;&lt;/titles&gt;&lt;periodical&gt;&lt;full-title&gt;Journal of Bone and Mineral Research&lt;/full-title&gt;&lt;/periodical&gt;&lt;pages&gt;S54-S54&lt;/pages&gt;&lt;volume&gt;18&lt;/volume&gt;&lt;dates&gt;&lt;year&gt;2003&lt;/year&gt;&lt;/dates&gt;&lt;isbn&gt;0884-0431&lt;/isbn&gt;&lt;urls&gt;&lt;/urls&gt;&lt;/record&gt;&lt;/Cite&gt;&lt;Cite&gt;&lt;Author&gt;Karsdal&lt;/Author&gt;&lt;Year&gt;2004&lt;/Year&gt;&lt;RecNum&gt;182&lt;/RecNum&gt;&lt;record&gt;&lt;rec-number&gt;182&lt;/rec-number&gt;&lt;foreign-keys&gt;&lt;key app="EN" db-id="ae9rewfrpdttrheppfxxv0p4950wpd25r09x" timestamp="1520658041"&gt;182&lt;/key&gt;&lt;/foreign-keys&gt;&lt;ref-type name="Journal Article"&gt;17&lt;/ref-type&gt;&lt;contributors&gt;&lt;authors&gt;&lt;author&gt;Karsdal, M. A.&lt;/author&gt;&lt;author&gt;Holst, Jj&lt;/author&gt;&lt;author&gt;Henriksen, D.&lt;/author&gt;&lt;/authors&gt;&lt;/contributors&gt;&lt;titles&gt;&lt;title&gt;GLP- 2 reduces bone resorption in vitro via the osteoclast GLP- 2 receptor&lt;/title&gt;&lt;secondary-title&gt;Journal Of Bone And Mineral Research&lt;/secondary-title&gt;&lt;/titles&gt;&lt;periodical&gt;&lt;full-title&gt;Journal of Bone and Mineral Research&lt;/full-title&gt;&lt;/periodical&gt;&lt;pages&gt;S416-S416&lt;/pages&gt;&lt;volume&gt;19&lt;/volume&gt;&lt;dates&gt;&lt;year&gt;2004&lt;/year&gt;&lt;/dates&gt;&lt;isbn&gt;0884-0431&lt;/isbn&gt;&lt;urls&gt;&lt;/urls&gt;&lt;/record&gt;&lt;/Cite&gt;&lt;/EndNote&gt;</w:instrText>
      </w:r>
      <w:r>
        <w:rPr>
          <w:rFonts w:ascii="Arial" w:hAnsi="Arial" w:cs="Calibri"/>
          <w:bCs/>
          <w:color w:val="000000"/>
        </w:rPr>
        <w:fldChar w:fldCharType="separate"/>
      </w:r>
      <w:r w:rsidR="006961A1">
        <w:rPr>
          <w:rFonts w:ascii="Arial" w:hAnsi="Arial" w:cs="Calibri"/>
          <w:bCs/>
          <w:noProof/>
          <w:color w:val="000000"/>
        </w:rPr>
        <w:t>(Henriksen et al., 2003a, Karsdal et al., 2004)</w:t>
      </w:r>
      <w:r>
        <w:rPr>
          <w:rFonts w:ascii="Arial" w:hAnsi="Arial" w:cs="Calibri"/>
          <w:bCs/>
          <w:color w:val="000000"/>
        </w:rPr>
        <w:fldChar w:fldCharType="end"/>
      </w:r>
      <w:r>
        <w:rPr>
          <w:rFonts w:ascii="Arial" w:hAnsi="Arial" w:cs="Calibri"/>
          <w:bCs/>
          <w:color w:val="000000"/>
        </w:rPr>
        <w:t xml:space="preserve">. A study on patients with small bowel and colon resections showed that subcutaneous low dose of GLP2 treatment had positive effects on </w:t>
      </w:r>
      <w:r w:rsidRPr="00A153D8">
        <w:rPr>
          <w:rFonts w:ascii="Arial" w:hAnsi="Arial" w:cs="Calibri"/>
          <w:bCs/>
          <w:color w:val="000000"/>
        </w:rPr>
        <w:t xml:space="preserve">BMD </w:t>
      </w:r>
      <w:r>
        <w:rPr>
          <w:rFonts w:ascii="Arial" w:hAnsi="Arial" w:cs="Calibri"/>
          <w:bCs/>
          <w:color w:val="000000"/>
        </w:rPr>
        <w:t xml:space="preserve">and caused decrease in bone resorption markers, </w:t>
      </w:r>
      <w:r w:rsidRPr="00A153D8">
        <w:rPr>
          <w:rFonts w:ascii="Arial" w:hAnsi="Arial" w:cs="Calibri"/>
          <w:bCs/>
          <w:color w:val="000000"/>
        </w:rPr>
        <w:t>but no ch</w:t>
      </w:r>
      <w:r>
        <w:rPr>
          <w:rFonts w:ascii="Arial" w:hAnsi="Arial" w:cs="Calibri"/>
          <w:bCs/>
          <w:color w:val="000000"/>
        </w:rPr>
        <w:t xml:space="preserve">ange in bone formation </w:t>
      </w:r>
      <w:r w:rsidRPr="00897966">
        <w:rPr>
          <w:rFonts w:ascii="Arial" w:hAnsi="Arial" w:cs="Calibri"/>
          <w:bCs/>
          <w:color w:val="000000"/>
        </w:rPr>
        <w:t>markers</w:t>
      </w:r>
      <w:r w:rsidRPr="00B0763F">
        <w:rPr>
          <w:rFonts w:ascii="Arial" w:hAnsi="Arial" w:cs="Calibri"/>
          <w:bCs/>
          <w:color w:val="000000"/>
        </w:rPr>
        <w:t xml:space="preserve"> </w:t>
      </w:r>
      <w:r>
        <w:rPr>
          <w:rFonts w:ascii="Arial" w:hAnsi="Arial" w:cs="Calibri"/>
          <w:bCs/>
          <w:color w:val="000000"/>
        </w:rPr>
        <w:fldChar w:fldCharType="begin"/>
      </w:r>
      <w:r w:rsidR="00A108A1">
        <w:rPr>
          <w:rFonts w:ascii="Arial" w:hAnsi="Arial" w:cs="Calibri"/>
          <w:bCs/>
          <w:color w:val="000000"/>
        </w:rPr>
        <w:instrText xml:space="preserve"> ADDIN EN.CITE &lt;EndNote&gt;&lt;Cite&gt;&lt;Author&gt;Haderslev&lt;/Author&gt;&lt;Year&gt;2002&lt;/Year&gt;&lt;RecNum&gt;183&lt;/RecNum&gt;&lt;DisplayText&gt;(Haderslev et al., 2002)&lt;/DisplayText&gt;&lt;record&gt;&lt;rec-number&gt;183&lt;/rec-number&gt;&lt;foreign-keys&gt;&lt;key app="EN" db-id="ae9rewfrpdttrheppfxxv0p4950wpd25r09x" timestamp="1520658041"&gt;183&lt;/key&gt;&lt;/foreign-keys&gt;&lt;ref-type name="Journal Article"&gt;17&lt;/ref-type&gt;&lt;contributors&gt;&lt;authors&gt;&lt;author&gt;Haderslev, K. V.&lt;/author&gt;&lt;author&gt;Jeppesen, P. B.&lt;/author&gt;&lt;author&gt;Hartmann, B.&lt;/author&gt;&lt;author&gt;Thulesen, J.&lt;/author&gt;&lt;author&gt;Sorensen, H. A.&lt;/author&gt;&lt;author&gt;Graff, J.&lt;/author&gt;&lt;author&gt;Hansen, B. S.&lt;/author&gt;&lt;author&gt;Tofteng, F.&lt;/author&gt;&lt;author&gt;Poulsen, S. S.&lt;/author&gt;&lt;author&gt;Madsen, J. L.&lt;/author&gt;&lt;author&gt;Holst, J. J.&lt;/author&gt;&lt;author&gt;Staun, N.&lt;/author&gt;&lt;author&gt;Mortensen, P. B.&lt;/author&gt;&lt;/authors&gt;&lt;/contributors&gt;&lt;titles&gt;&lt;title&gt;Short-term administration of glucagon-like peptide-2. Effects on bone mineral density and markers of bone turnover in short-bowel patients with no colon&lt;/title&gt;&lt;secondary-title&gt;Scandinavian Journal of Gastroenterology&lt;/secondary-title&gt;&lt;/titles&gt;&lt;periodical&gt;&lt;full-title&gt;Scandinavian Journal of Gastroenterology&lt;/full-title&gt;&lt;/periodical&gt;&lt;pages&gt;392-398&lt;/pages&gt;&lt;volume&gt;37&lt;/volume&gt;&lt;number&gt;4&lt;/number&gt;&lt;dates&gt;&lt;year&gt;2002&lt;/year&gt;&lt;pub-dates&gt;&lt;date&gt;Apr&lt;/date&gt;&lt;/pub-dates&gt;&lt;/dates&gt;&lt;isbn&gt;0036-5521&lt;/isbn&gt;&lt;accession-num&gt;WOS:000174718800004&lt;/accession-num&gt;&lt;urls&gt;&lt;related-urls&gt;&lt;url&gt;&amp;lt;Go to ISI&amp;gt;://WOS:000174718800004&lt;/url&gt;&lt;/related-urls&gt;&lt;/urls&gt;&lt;electronic-resource-num&gt;10.1080/003655202317316006&lt;/electronic-resource-num&gt;&lt;/record&gt;&lt;/Cite&gt;&lt;/EndNote&gt;</w:instrText>
      </w:r>
      <w:r>
        <w:rPr>
          <w:rFonts w:ascii="Arial" w:hAnsi="Arial" w:cs="Calibri"/>
          <w:bCs/>
          <w:color w:val="000000"/>
        </w:rPr>
        <w:fldChar w:fldCharType="separate"/>
      </w:r>
      <w:r>
        <w:rPr>
          <w:rFonts w:ascii="Arial" w:hAnsi="Arial" w:cs="Calibri"/>
          <w:bCs/>
          <w:noProof/>
          <w:color w:val="000000"/>
        </w:rPr>
        <w:t>(Haderslev et al., 2002)</w:t>
      </w:r>
      <w:r>
        <w:rPr>
          <w:rFonts w:ascii="Arial" w:hAnsi="Arial" w:cs="Calibri"/>
          <w:bCs/>
          <w:color w:val="000000"/>
        </w:rPr>
        <w:fldChar w:fldCharType="end"/>
      </w:r>
      <w:r>
        <w:rPr>
          <w:rFonts w:ascii="Arial" w:hAnsi="Arial" w:cs="Calibri"/>
          <w:bCs/>
          <w:color w:val="000000"/>
        </w:rPr>
        <w:t>.</w:t>
      </w:r>
    </w:p>
    <w:p w14:paraId="3774D1E3" w14:textId="77777777" w:rsidR="007B76C3" w:rsidRDefault="007B76C3" w:rsidP="007B76C3">
      <w:pPr>
        <w:spacing w:line="360" w:lineRule="auto"/>
        <w:jc w:val="both"/>
        <w:rPr>
          <w:rFonts w:ascii="Arial" w:eastAsiaTheme="minorHAnsi" w:hAnsi="Arial"/>
          <w:bCs/>
        </w:rPr>
      </w:pPr>
    </w:p>
    <w:p w14:paraId="17A4B5CD" w14:textId="77777777" w:rsidR="007B76C3" w:rsidRPr="00461A48" w:rsidRDefault="007B76C3" w:rsidP="007B76C3">
      <w:pPr>
        <w:spacing w:line="480" w:lineRule="auto"/>
        <w:jc w:val="both"/>
        <w:rPr>
          <w:rFonts w:ascii="Arial" w:hAnsi="Arial" w:cs="Arial"/>
        </w:rPr>
      </w:pPr>
      <w:r w:rsidRPr="00892B23">
        <w:rPr>
          <w:rFonts w:ascii="Arial" w:hAnsi="Arial" w:cs="Arial"/>
        </w:rPr>
        <w:t xml:space="preserve">Thus, </w:t>
      </w:r>
      <w:r>
        <w:rPr>
          <w:rFonts w:ascii="Arial" w:hAnsi="Arial" w:cs="Arial"/>
        </w:rPr>
        <w:t xml:space="preserve">understanding the mechanisms that coordinate interactions between nutrition and bone homeostasis </w:t>
      </w:r>
      <w:r w:rsidR="00BB4F07">
        <w:rPr>
          <w:rFonts w:ascii="Arial" w:hAnsi="Arial" w:cs="Arial"/>
        </w:rPr>
        <w:t>may be</w:t>
      </w:r>
      <w:r>
        <w:rPr>
          <w:rFonts w:ascii="Arial" w:hAnsi="Arial" w:cs="Arial"/>
        </w:rPr>
        <w:t xml:space="preserve"> critical for </w:t>
      </w:r>
      <w:r w:rsidRPr="00461A48">
        <w:rPr>
          <w:rFonts w:ascii="Arial" w:hAnsi="Arial" w:cs="Arial"/>
        </w:rPr>
        <w:t xml:space="preserve">developing </w:t>
      </w:r>
      <w:r w:rsidRPr="00461A48">
        <w:rPr>
          <w:rFonts w:ascii="Arial" w:hAnsi="Arial" w:cs="Lucida Grande"/>
        </w:rPr>
        <w:t xml:space="preserve">potential </w:t>
      </w:r>
      <w:r>
        <w:rPr>
          <w:rFonts w:ascii="Arial" w:hAnsi="Arial" w:cs="Lucida Grande"/>
        </w:rPr>
        <w:t>interventions</w:t>
      </w:r>
      <w:r w:rsidRPr="00461A48">
        <w:rPr>
          <w:rFonts w:ascii="Arial" w:hAnsi="Arial" w:cs="Lucida Grande"/>
        </w:rPr>
        <w:t xml:space="preserve"> </w:t>
      </w:r>
      <w:r>
        <w:rPr>
          <w:rFonts w:ascii="Arial" w:hAnsi="Arial" w:cs="Lucida Grande"/>
        </w:rPr>
        <w:t xml:space="preserve">to maintain healthy skeleton, prevent age-related </w:t>
      </w:r>
      <w:r w:rsidRPr="00461A48">
        <w:rPr>
          <w:rFonts w:ascii="Arial" w:hAnsi="Arial" w:cs="Lucida Grande"/>
        </w:rPr>
        <w:t xml:space="preserve">bone </w:t>
      </w:r>
      <w:r>
        <w:rPr>
          <w:rFonts w:ascii="Arial" w:hAnsi="Arial" w:cs="Lucida Grande"/>
        </w:rPr>
        <w:t>loss and</w:t>
      </w:r>
      <w:r>
        <w:rPr>
          <w:rFonts w:ascii="Arial" w:hAnsi="Arial" w:cs="Lucida Grande"/>
          <w:szCs w:val="26"/>
        </w:rPr>
        <w:t xml:space="preserve"> </w:t>
      </w:r>
      <w:r>
        <w:rPr>
          <w:rFonts w:ascii="Arial" w:hAnsi="Arial" w:cs="Arial"/>
        </w:rPr>
        <w:t>improve treatments of bone disorders.</w:t>
      </w:r>
    </w:p>
    <w:p w14:paraId="24DF4620" w14:textId="77777777" w:rsidR="007B76C3" w:rsidRDefault="007B76C3" w:rsidP="007B76C3">
      <w:pPr>
        <w:spacing w:line="360" w:lineRule="auto"/>
        <w:jc w:val="both"/>
        <w:rPr>
          <w:rFonts w:ascii="Arial" w:eastAsiaTheme="minorHAnsi" w:hAnsi="Arial"/>
          <w:bCs/>
        </w:rPr>
      </w:pPr>
    </w:p>
    <w:p w14:paraId="24920C7F" w14:textId="77777777" w:rsidR="007B76C3" w:rsidRDefault="007B76C3" w:rsidP="007B76C3">
      <w:pPr>
        <w:autoSpaceDE w:val="0"/>
        <w:autoSpaceDN w:val="0"/>
        <w:adjustRightInd w:val="0"/>
        <w:spacing w:line="480" w:lineRule="auto"/>
        <w:jc w:val="both"/>
        <w:rPr>
          <w:rFonts w:ascii="Arial" w:eastAsiaTheme="minorHAnsi" w:hAnsi="Arial"/>
          <w:bCs/>
        </w:rPr>
      </w:pPr>
    </w:p>
    <w:p w14:paraId="11F639EF" w14:textId="77777777" w:rsidR="007B76C3" w:rsidRDefault="007B76C3" w:rsidP="007B76C3">
      <w:pPr>
        <w:autoSpaceDE w:val="0"/>
        <w:autoSpaceDN w:val="0"/>
        <w:adjustRightInd w:val="0"/>
        <w:spacing w:line="480" w:lineRule="auto"/>
        <w:jc w:val="both"/>
        <w:rPr>
          <w:rFonts w:ascii="Arial" w:eastAsiaTheme="minorHAnsi" w:hAnsi="Arial"/>
          <w:bCs/>
        </w:rPr>
      </w:pPr>
    </w:p>
    <w:p w14:paraId="2E19387A" w14:textId="77777777" w:rsidR="007B76C3" w:rsidRDefault="007B76C3" w:rsidP="007B76C3">
      <w:pPr>
        <w:autoSpaceDE w:val="0"/>
        <w:autoSpaceDN w:val="0"/>
        <w:adjustRightInd w:val="0"/>
        <w:spacing w:line="480" w:lineRule="auto"/>
        <w:jc w:val="both"/>
        <w:rPr>
          <w:rFonts w:ascii="Arial" w:eastAsiaTheme="minorHAnsi" w:hAnsi="Arial"/>
          <w:bCs/>
        </w:rPr>
      </w:pPr>
    </w:p>
    <w:p w14:paraId="18987212" w14:textId="77777777" w:rsidR="007B76C3" w:rsidRDefault="007B76C3" w:rsidP="007B76C3">
      <w:pPr>
        <w:autoSpaceDE w:val="0"/>
        <w:autoSpaceDN w:val="0"/>
        <w:adjustRightInd w:val="0"/>
        <w:spacing w:line="480" w:lineRule="auto"/>
        <w:jc w:val="both"/>
        <w:rPr>
          <w:rFonts w:ascii="Arial" w:eastAsiaTheme="minorHAnsi" w:hAnsi="Arial"/>
          <w:bCs/>
        </w:rPr>
      </w:pPr>
    </w:p>
    <w:p w14:paraId="2B5CD689" w14:textId="77777777" w:rsidR="007B76C3" w:rsidRPr="007705A9" w:rsidRDefault="007B76C3" w:rsidP="007B76C3">
      <w:pPr>
        <w:autoSpaceDE w:val="0"/>
        <w:autoSpaceDN w:val="0"/>
        <w:adjustRightInd w:val="0"/>
        <w:spacing w:line="480" w:lineRule="auto"/>
        <w:jc w:val="both"/>
        <w:rPr>
          <w:rFonts w:ascii="Arial" w:hAnsi="Arial" w:cs="Calibri"/>
          <w:b/>
          <w:bCs/>
          <w:color w:val="000000"/>
        </w:rPr>
      </w:pPr>
    </w:p>
    <w:p w14:paraId="239F0FE0" w14:textId="77777777" w:rsidR="007B76C3" w:rsidRDefault="007B76C3" w:rsidP="00D40E59">
      <w:pPr>
        <w:pStyle w:val="Heading2"/>
      </w:pPr>
      <w:bookmarkStart w:id="37" w:name="_Toc383723858"/>
      <w:r w:rsidRPr="00D34460">
        <w:lastRenderedPageBreak/>
        <w:t xml:space="preserve">1.5 </w:t>
      </w:r>
      <w:r w:rsidR="00274E7F" w:rsidRPr="00D34460">
        <w:t>Hypothesis and a</w:t>
      </w:r>
      <w:r w:rsidRPr="00D34460">
        <w:t>ims</w:t>
      </w:r>
      <w:bookmarkEnd w:id="37"/>
    </w:p>
    <w:p w14:paraId="2830D081" w14:textId="77777777" w:rsidR="00B17A9B" w:rsidRDefault="00274E7F" w:rsidP="00274E7F">
      <w:pPr>
        <w:spacing w:line="480" w:lineRule="auto"/>
        <w:jc w:val="both"/>
        <w:rPr>
          <w:rFonts w:ascii="Arial" w:hAnsi="Arial" w:cs="Arial"/>
          <w:bCs/>
        </w:rPr>
      </w:pPr>
      <w:r w:rsidRPr="00274E7F">
        <w:rPr>
          <w:rFonts w:ascii="Arial" w:hAnsi="Arial" w:cs="Arial"/>
          <w:bCs/>
        </w:rPr>
        <w:t xml:space="preserve">We hypothesised that </w:t>
      </w:r>
      <w:r w:rsidR="00B17A9B" w:rsidRPr="00274E7F">
        <w:rPr>
          <w:rFonts w:ascii="Arial" w:hAnsi="Arial" w:cs="Arial"/>
          <w:bCs/>
        </w:rPr>
        <w:t xml:space="preserve">the timing of food ingestion </w:t>
      </w:r>
      <w:r w:rsidR="00B17A9B">
        <w:rPr>
          <w:rFonts w:ascii="Arial" w:hAnsi="Arial" w:cs="Arial"/>
          <w:bCs/>
        </w:rPr>
        <w:t xml:space="preserve">affects the response of </w:t>
      </w:r>
      <w:r w:rsidR="00B17A9B" w:rsidRPr="00274E7F">
        <w:rPr>
          <w:rFonts w:ascii="Arial" w:hAnsi="Arial" w:cs="Arial"/>
          <w:bCs/>
        </w:rPr>
        <w:t>bones</w:t>
      </w:r>
      <w:r w:rsidR="00B17A9B">
        <w:rPr>
          <w:rFonts w:ascii="Arial" w:hAnsi="Arial" w:cs="Arial"/>
          <w:bCs/>
        </w:rPr>
        <w:t xml:space="preserve"> to</w:t>
      </w:r>
      <w:r w:rsidR="00B17A9B" w:rsidRPr="00274E7F">
        <w:rPr>
          <w:rFonts w:ascii="Arial" w:hAnsi="Arial" w:cs="Arial"/>
          <w:bCs/>
        </w:rPr>
        <w:t xml:space="preserve"> </w:t>
      </w:r>
      <w:r w:rsidRPr="00274E7F">
        <w:rPr>
          <w:rFonts w:ascii="Arial" w:hAnsi="Arial" w:cs="Arial"/>
          <w:bCs/>
        </w:rPr>
        <w:t xml:space="preserve">the </w:t>
      </w:r>
      <w:r w:rsidR="00B17A9B">
        <w:rPr>
          <w:rFonts w:ascii="Arial" w:hAnsi="Arial" w:cs="Arial"/>
          <w:bCs/>
        </w:rPr>
        <w:t xml:space="preserve">mechanical loading. </w:t>
      </w:r>
    </w:p>
    <w:p w14:paraId="73BBAD51" w14:textId="77777777" w:rsidR="00274E7F" w:rsidRDefault="00274E7F" w:rsidP="00274E7F">
      <w:pPr>
        <w:spacing w:line="480" w:lineRule="auto"/>
        <w:jc w:val="both"/>
        <w:rPr>
          <w:rFonts w:ascii="Arial" w:hAnsi="Arial" w:cs="Arial"/>
          <w:bCs/>
        </w:rPr>
      </w:pPr>
    </w:p>
    <w:p w14:paraId="01F4EF12" w14:textId="77777777" w:rsidR="007B76C3" w:rsidRPr="00274E7F" w:rsidRDefault="00274E7F" w:rsidP="00274E7F">
      <w:pPr>
        <w:spacing w:line="480" w:lineRule="auto"/>
        <w:jc w:val="both"/>
        <w:rPr>
          <w:rFonts w:ascii="Arial" w:hAnsi="Arial" w:cs="Arial"/>
        </w:rPr>
      </w:pPr>
      <w:r>
        <w:rPr>
          <w:rFonts w:ascii="Arial" w:hAnsi="Arial" w:cs="Arial"/>
          <w:bCs/>
        </w:rPr>
        <w:t>The aims of the project are:</w:t>
      </w:r>
    </w:p>
    <w:p w14:paraId="2C8435B8" w14:textId="77777777" w:rsidR="007B76C3" w:rsidRPr="00160BFC" w:rsidRDefault="007B76C3" w:rsidP="007B76C3">
      <w:pPr>
        <w:pStyle w:val="ListParagraph"/>
        <w:numPr>
          <w:ilvl w:val="0"/>
          <w:numId w:val="4"/>
        </w:numPr>
        <w:spacing w:line="480" w:lineRule="auto"/>
        <w:jc w:val="both"/>
        <w:rPr>
          <w:rFonts w:ascii="Arial" w:hAnsi="Arial"/>
          <w:bCs/>
        </w:rPr>
      </w:pPr>
      <w:r w:rsidRPr="00160BFC">
        <w:rPr>
          <w:rFonts w:ascii="Arial" w:hAnsi="Arial" w:cs="Arial"/>
        </w:rPr>
        <w:t>To determine the effect of timing of food ingestion on bone’s response to mechanical loadi</w:t>
      </w:r>
      <w:r w:rsidR="00920B3C">
        <w:rPr>
          <w:rFonts w:ascii="Arial" w:hAnsi="Arial" w:cs="Arial"/>
        </w:rPr>
        <w:t xml:space="preserve">ng that mimics exercise in </w:t>
      </w:r>
      <w:r w:rsidRPr="00160BFC">
        <w:rPr>
          <w:rFonts w:ascii="Arial" w:hAnsi="Arial"/>
          <w:bCs/>
        </w:rPr>
        <w:t xml:space="preserve">young </w:t>
      </w:r>
      <w:r w:rsidR="00920B3C">
        <w:rPr>
          <w:rFonts w:ascii="Arial" w:hAnsi="Arial"/>
          <w:bCs/>
        </w:rPr>
        <w:t xml:space="preserve">male </w:t>
      </w:r>
      <w:r w:rsidRPr="00160BFC">
        <w:rPr>
          <w:rFonts w:ascii="Arial" w:hAnsi="Arial"/>
          <w:bCs/>
        </w:rPr>
        <w:t xml:space="preserve">C57BL/6 </w:t>
      </w:r>
      <w:r w:rsidRPr="00160BFC">
        <w:rPr>
          <w:rFonts w:ascii="Arial" w:hAnsi="Arial" w:cs="Arial"/>
        </w:rPr>
        <w:t>mice. To achieve this, the effect of maximal mechanical loading on bone after different periods of withholding food or feeding will be measured in male</w:t>
      </w:r>
      <w:r w:rsidR="004E4DAF">
        <w:rPr>
          <w:rFonts w:ascii="Arial" w:hAnsi="Arial" w:cs="Arial"/>
        </w:rPr>
        <w:t xml:space="preserve"> young mice using</w:t>
      </w:r>
      <w:r w:rsidRPr="00160BFC">
        <w:rPr>
          <w:rFonts w:ascii="Arial" w:hAnsi="Arial" w:cs="Arial"/>
        </w:rPr>
        <w:t xml:space="preserve"> micro-computed tomography and dynamic histomorphometry.</w:t>
      </w:r>
    </w:p>
    <w:p w14:paraId="670DA5D1" w14:textId="77777777" w:rsidR="007B76C3" w:rsidRPr="00160BFC" w:rsidRDefault="007B76C3" w:rsidP="007B76C3">
      <w:pPr>
        <w:pStyle w:val="ListParagraph"/>
        <w:spacing w:line="360" w:lineRule="auto"/>
        <w:jc w:val="both"/>
        <w:rPr>
          <w:rFonts w:ascii="Arial" w:hAnsi="Arial"/>
          <w:bCs/>
        </w:rPr>
      </w:pPr>
      <w:r w:rsidRPr="00160BFC">
        <w:rPr>
          <w:rFonts w:ascii="Arial" w:hAnsi="Arial"/>
          <w:bCs/>
        </w:rPr>
        <w:t xml:space="preserve"> </w:t>
      </w:r>
    </w:p>
    <w:p w14:paraId="119F28D5" w14:textId="77777777" w:rsidR="007B76C3" w:rsidRPr="00160BFC" w:rsidRDefault="007B76C3" w:rsidP="007B76C3">
      <w:pPr>
        <w:pStyle w:val="ListParagraph"/>
        <w:numPr>
          <w:ilvl w:val="0"/>
          <w:numId w:val="4"/>
        </w:numPr>
        <w:spacing w:line="480" w:lineRule="auto"/>
        <w:jc w:val="both"/>
        <w:rPr>
          <w:rFonts w:ascii="Arial" w:hAnsi="Arial"/>
          <w:bCs/>
        </w:rPr>
      </w:pPr>
      <w:r w:rsidRPr="00160BFC">
        <w:rPr>
          <w:rFonts w:ascii="Arial" w:hAnsi="Arial"/>
          <w:bCs/>
        </w:rPr>
        <w:t>To determine the ability of food ingestion to potentiate osteogenic effects of submaximal loading and enhance ineffectiv</w:t>
      </w:r>
      <w:r w:rsidR="00A17261">
        <w:rPr>
          <w:rFonts w:ascii="Arial" w:hAnsi="Arial"/>
          <w:bCs/>
        </w:rPr>
        <w:t xml:space="preserve">e sub-threshold loading in </w:t>
      </w:r>
      <w:r w:rsidRPr="00160BFC">
        <w:rPr>
          <w:rFonts w:ascii="Arial" w:hAnsi="Arial"/>
          <w:bCs/>
        </w:rPr>
        <w:t xml:space="preserve">young </w:t>
      </w:r>
      <w:r w:rsidRPr="00160BFC">
        <w:rPr>
          <w:rFonts w:ascii="Arial" w:hAnsi="Arial" w:cs="Arial"/>
        </w:rPr>
        <w:t>mice. This will be achieved by comparing the effects of submaximal and sub-threshold mechanical loading on bones of fed or</w:t>
      </w:r>
      <w:r w:rsidR="00332C90">
        <w:rPr>
          <w:rFonts w:ascii="Arial" w:hAnsi="Arial" w:cs="Arial"/>
        </w:rPr>
        <w:t xml:space="preserve"> fed following overnight fast</w:t>
      </w:r>
      <w:r w:rsidR="00A17261">
        <w:rPr>
          <w:rFonts w:ascii="Arial" w:hAnsi="Arial" w:cs="Arial"/>
        </w:rPr>
        <w:t xml:space="preserve"> </w:t>
      </w:r>
      <w:r w:rsidRPr="00160BFC">
        <w:rPr>
          <w:rFonts w:ascii="Arial" w:hAnsi="Arial" w:cs="Arial"/>
        </w:rPr>
        <w:t xml:space="preserve">young </w:t>
      </w:r>
      <w:r w:rsidR="00A17261">
        <w:rPr>
          <w:rFonts w:ascii="Arial" w:hAnsi="Arial" w:cs="Arial"/>
        </w:rPr>
        <w:t xml:space="preserve">male </w:t>
      </w:r>
      <w:r w:rsidR="004E4DAF">
        <w:rPr>
          <w:rFonts w:ascii="Arial" w:hAnsi="Arial" w:cs="Arial"/>
        </w:rPr>
        <w:t>mice using</w:t>
      </w:r>
      <w:r w:rsidRPr="00160BFC">
        <w:rPr>
          <w:rFonts w:ascii="Arial" w:hAnsi="Arial" w:cs="Arial"/>
        </w:rPr>
        <w:t xml:space="preserve"> micro-computed tomography.</w:t>
      </w:r>
    </w:p>
    <w:p w14:paraId="21EE280E" w14:textId="77777777" w:rsidR="007B76C3" w:rsidRPr="00160BFC" w:rsidRDefault="007B76C3" w:rsidP="007B76C3">
      <w:pPr>
        <w:spacing w:line="360" w:lineRule="auto"/>
        <w:jc w:val="both"/>
        <w:rPr>
          <w:rFonts w:ascii="Arial" w:hAnsi="Arial"/>
          <w:bCs/>
        </w:rPr>
      </w:pPr>
    </w:p>
    <w:p w14:paraId="48836F29" w14:textId="77777777" w:rsidR="00A17261" w:rsidRPr="00A17261" w:rsidRDefault="007B76C3" w:rsidP="00A17261">
      <w:pPr>
        <w:pStyle w:val="ListParagraph"/>
        <w:numPr>
          <w:ilvl w:val="0"/>
          <w:numId w:val="4"/>
        </w:numPr>
        <w:spacing w:line="480" w:lineRule="auto"/>
        <w:jc w:val="both"/>
        <w:rPr>
          <w:rFonts w:ascii="Arial" w:hAnsi="Arial"/>
          <w:bCs/>
        </w:rPr>
      </w:pPr>
      <w:r w:rsidRPr="00A17261">
        <w:rPr>
          <w:rFonts w:ascii="Arial" w:hAnsi="Arial"/>
          <w:bCs/>
        </w:rPr>
        <w:t xml:space="preserve">To investigate the effect of ageing on the interactions between energy metabolism and bone’s ability to adapt to osteogenic </w:t>
      </w:r>
      <w:r w:rsidR="00920B3C" w:rsidRPr="00A17261">
        <w:rPr>
          <w:rFonts w:ascii="Arial" w:hAnsi="Arial"/>
          <w:bCs/>
        </w:rPr>
        <w:t xml:space="preserve">mechanical loading in </w:t>
      </w:r>
      <w:r w:rsidRPr="00A17261">
        <w:rPr>
          <w:rFonts w:ascii="Arial" w:hAnsi="Arial"/>
          <w:bCs/>
        </w:rPr>
        <w:t xml:space="preserve">aged </w:t>
      </w:r>
      <w:r w:rsidR="00920B3C" w:rsidRPr="00A17261">
        <w:rPr>
          <w:rFonts w:ascii="Arial" w:hAnsi="Arial"/>
          <w:bCs/>
        </w:rPr>
        <w:t xml:space="preserve">male </w:t>
      </w:r>
      <w:r w:rsidRPr="00A17261">
        <w:rPr>
          <w:rFonts w:ascii="Arial" w:hAnsi="Arial"/>
          <w:bCs/>
        </w:rPr>
        <w:t>C57BL/6 mice. This study will be conducted on aged male fed or overnight fasted fed mice to determine age-dependent modulating effects of feeding on bone’s adaptat</w:t>
      </w:r>
      <w:r w:rsidR="00CF0B78" w:rsidRPr="00A17261">
        <w:rPr>
          <w:rFonts w:ascii="Arial" w:hAnsi="Arial"/>
          <w:bCs/>
        </w:rPr>
        <w:t xml:space="preserve">ion to mechanical loading using </w:t>
      </w:r>
      <w:r w:rsidR="00A17261">
        <w:rPr>
          <w:rFonts w:ascii="Arial" w:hAnsi="Arial" w:cs="Arial"/>
        </w:rPr>
        <w:t>micro-computed tomography.</w:t>
      </w:r>
    </w:p>
    <w:p w14:paraId="754C5C12" w14:textId="77777777" w:rsidR="00A17261" w:rsidRPr="00A17261" w:rsidRDefault="00A17261" w:rsidP="00A17261">
      <w:pPr>
        <w:pStyle w:val="ListParagraph"/>
        <w:spacing w:line="360" w:lineRule="auto"/>
        <w:jc w:val="both"/>
        <w:rPr>
          <w:rFonts w:ascii="Arial" w:hAnsi="Arial"/>
          <w:bCs/>
        </w:rPr>
      </w:pPr>
    </w:p>
    <w:p w14:paraId="0D751920" w14:textId="77777777" w:rsidR="007B76C3" w:rsidRDefault="007B76C3" w:rsidP="007B76C3">
      <w:pPr>
        <w:pStyle w:val="ListParagraph"/>
        <w:numPr>
          <w:ilvl w:val="0"/>
          <w:numId w:val="4"/>
        </w:numPr>
        <w:spacing w:line="480" w:lineRule="auto"/>
        <w:jc w:val="both"/>
        <w:rPr>
          <w:rFonts w:ascii="Arial" w:hAnsi="Arial"/>
          <w:bCs/>
        </w:rPr>
      </w:pPr>
      <w:r w:rsidRPr="003F5974">
        <w:rPr>
          <w:rFonts w:ascii="Arial" w:hAnsi="Arial"/>
          <w:bCs/>
        </w:rPr>
        <w:t xml:space="preserve">To explore </w:t>
      </w:r>
      <w:r w:rsidR="00BB4F07">
        <w:rPr>
          <w:rFonts w:ascii="Arial" w:hAnsi="Arial"/>
          <w:bCs/>
        </w:rPr>
        <w:t xml:space="preserve">possible candidate hormones that could mediate </w:t>
      </w:r>
      <w:r w:rsidRPr="003F5974">
        <w:rPr>
          <w:rFonts w:ascii="Arial" w:hAnsi="Arial"/>
          <w:bCs/>
        </w:rPr>
        <w:t xml:space="preserve">the synergies between energy metabolism and bone’s adaptive response to </w:t>
      </w:r>
      <w:r w:rsidR="00332C90">
        <w:rPr>
          <w:rFonts w:ascii="Arial" w:hAnsi="Arial"/>
          <w:bCs/>
        </w:rPr>
        <w:t>mechanical loading in</w:t>
      </w:r>
      <w:r w:rsidRPr="003F5974">
        <w:rPr>
          <w:rFonts w:ascii="Arial" w:hAnsi="Arial"/>
          <w:bCs/>
        </w:rPr>
        <w:t xml:space="preserve"> mice. The concentrations of metabolic hormones with known </w:t>
      </w:r>
      <w:r>
        <w:rPr>
          <w:rFonts w:ascii="Arial" w:hAnsi="Arial"/>
          <w:bCs/>
        </w:rPr>
        <w:t xml:space="preserve">anabolic </w:t>
      </w:r>
      <w:r w:rsidRPr="003F5974">
        <w:rPr>
          <w:rFonts w:ascii="Arial" w:hAnsi="Arial"/>
          <w:bCs/>
        </w:rPr>
        <w:t xml:space="preserve">effects on bone </w:t>
      </w:r>
      <w:r w:rsidRPr="003F5974">
        <w:rPr>
          <w:rFonts w:ascii="Arial" w:hAnsi="Arial"/>
          <w:bCs/>
        </w:rPr>
        <w:lastRenderedPageBreak/>
        <w:t xml:space="preserve">including ghrelin, leptin, insulin, GIP and GLP1 will be measured in fed or overnight fasted fed male young </w:t>
      </w:r>
      <w:r w:rsidR="00332C90">
        <w:rPr>
          <w:rFonts w:ascii="Arial" w:hAnsi="Arial"/>
          <w:bCs/>
        </w:rPr>
        <w:t xml:space="preserve">and aged </w:t>
      </w:r>
      <w:r w:rsidRPr="003F5974">
        <w:rPr>
          <w:rFonts w:ascii="Arial" w:hAnsi="Arial"/>
          <w:bCs/>
        </w:rPr>
        <w:t>mice</w:t>
      </w:r>
      <w:r w:rsidR="00111705">
        <w:rPr>
          <w:rFonts w:ascii="Arial" w:hAnsi="Arial"/>
          <w:bCs/>
        </w:rPr>
        <w:t xml:space="preserve"> </w:t>
      </w:r>
      <w:r w:rsidR="00111705" w:rsidRPr="003F5974">
        <w:rPr>
          <w:rFonts w:ascii="Arial" w:hAnsi="Arial"/>
          <w:bCs/>
        </w:rPr>
        <w:t>using multiplex metabolic assay</w:t>
      </w:r>
      <w:r w:rsidRPr="003F5974">
        <w:rPr>
          <w:rFonts w:ascii="Arial" w:hAnsi="Arial"/>
          <w:bCs/>
        </w:rPr>
        <w:t xml:space="preserve">. </w:t>
      </w:r>
    </w:p>
    <w:p w14:paraId="60519A65" w14:textId="77777777" w:rsidR="00274E7F" w:rsidRDefault="00274E7F" w:rsidP="00274E7F">
      <w:pPr>
        <w:pStyle w:val="ListParagraph"/>
        <w:spacing w:line="480" w:lineRule="auto"/>
        <w:jc w:val="both"/>
        <w:rPr>
          <w:rFonts w:ascii="Arial" w:hAnsi="Arial"/>
          <w:bCs/>
        </w:rPr>
      </w:pPr>
    </w:p>
    <w:p w14:paraId="359CF041" w14:textId="77777777" w:rsidR="007B76C3" w:rsidRPr="001A4272" w:rsidRDefault="007B76C3" w:rsidP="007B76C3">
      <w:pPr>
        <w:spacing w:line="480" w:lineRule="auto"/>
        <w:ind w:left="360"/>
        <w:jc w:val="both"/>
      </w:pPr>
      <w:r w:rsidRPr="001A4272">
        <w:rPr>
          <w:rFonts w:ascii="Arial" w:eastAsiaTheme="minorHAnsi" w:hAnsi="Arial"/>
          <w:bCs/>
        </w:rPr>
        <w:t xml:space="preserve">Identification of feeding protocols and the </w:t>
      </w:r>
      <w:r>
        <w:rPr>
          <w:rFonts w:ascii="Arial" w:eastAsiaTheme="minorHAnsi" w:hAnsi="Arial"/>
          <w:bCs/>
        </w:rPr>
        <w:t xml:space="preserve">optimal timing of feed </w:t>
      </w:r>
      <w:r w:rsidR="00F27186">
        <w:rPr>
          <w:rFonts w:ascii="Arial" w:eastAsiaTheme="minorHAnsi" w:hAnsi="Arial"/>
          <w:bCs/>
        </w:rPr>
        <w:t>ingestion</w:t>
      </w:r>
      <w:r>
        <w:rPr>
          <w:rFonts w:ascii="Arial" w:eastAsiaTheme="minorHAnsi" w:hAnsi="Arial"/>
          <w:bCs/>
        </w:rPr>
        <w:t xml:space="preserve"> </w:t>
      </w:r>
      <w:r w:rsidRPr="001A4272">
        <w:rPr>
          <w:rFonts w:ascii="Arial" w:eastAsiaTheme="minorHAnsi" w:hAnsi="Arial"/>
          <w:bCs/>
        </w:rPr>
        <w:t xml:space="preserve">that affect </w:t>
      </w:r>
      <w:r>
        <w:rPr>
          <w:rFonts w:ascii="Arial" w:eastAsiaTheme="minorHAnsi" w:hAnsi="Arial"/>
          <w:bCs/>
        </w:rPr>
        <w:t xml:space="preserve">adaptive </w:t>
      </w:r>
      <w:r w:rsidRPr="001A4272">
        <w:rPr>
          <w:rFonts w:ascii="Arial" w:eastAsiaTheme="minorHAnsi" w:hAnsi="Arial"/>
          <w:bCs/>
        </w:rPr>
        <w:t>response of bone to load has potential for translation into benefits for people by providing information on when to exercise in relation to meals, which may help to build and maintain a healthy musculoskeletal system throughout the life</w:t>
      </w:r>
      <w:r w:rsidR="00BB5C6A">
        <w:rPr>
          <w:rFonts w:ascii="Arial" w:eastAsiaTheme="minorHAnsi" w:hAnsi="Arial"/>
          <w:bCs/>
        </w:rPr>
        <w:t>-</w:t>
      </w:r>
      <w:r w:rsidRPr="001A4272">
        <w:rPr>
          <w:rFonts w:ascii="Arial" w:eastAsiaTheme="minorHAnsi" w:hAnsi="Arial"/>
          <w:bCs/>
        </w:rPr>
        <w:t>course including in older age.</w:t>
      </w:r>
    </w:p>
    <w:p w14:paraId="60B9C61A" w14:textId="77777777" w:rsidR="00217472" w:rsidRDefault="00217472" w:rsidP="00204988">
      <w:pPr>
        <w:pStyle w:val="TOCHeading"/>
      </w:pPr>
    </w:p>
    <w:p w14:paraId="51F1C124" w14:textId="77777777" w:rsidR="00217472" w:rsidRDefault="00217472" w:rsidP="00204988">
      <w:pPr>
        <w:pStyle w:val="TOCHeading"/>
      </w:pPr>
    </w:p>
    <w:p w14:paraId="428B58EC" w14:textId="77777777" w:rsidR="00217472" w:rsidRDefault="00217472" w:rsidP="00204988">
      <w:pPr>
        <w:pStyle w:val="TOCHeading"/>
      </w:pPr>
    </w:p>
    <w:p w14:paraId="76DF1D37" w14:textId="77777777" w:rsidR="00217472" w:rsidRDefault="00217472" w:rsidP="00204988">
      <w:pPr>
        <w:pStyle w:val="TOCHeading"/>
      </w:pPr>
    </w:p>
    <w:p w14:paraId="6870ABC2" w14:textId="77777777" w:rsidR="00217472" w:rsidRDefault="00217472" w:rsidP="00204988">
      <w:pPr>
        <w:pStyle w:val="TOCHeading"/>
      </w:pPr>
    </w:p>
    <w:p w14:paraId="457A1727" w14:textId="77777777" w:rsidR="00217472" w:rsidRDefault="00217472" w:rsidP="00204988">
      <w:pPr>
        <w:pStyle w:val="TOCHeading"/>
      </w:pPr>
    </w:p>
    <w:p w14:paraId="77D71FA9" w14:textId="77777777" w:rsidR="00217472" w:rsidRDefault="00217472" w:rsidP="00204988">
      <w:pPr>
        <w:pStyle w:val="TOCHeading"/>
      </w:pPr>
    </w:p>
    <w:p w14:paraId="12E69733" w14:textId="77777777" w:rsidR="00217472" w:rsidRDefault="00217472" w:rsidP="00204988">
      <w:pPr>
        <w:pStyle w:val="TOCHeading"/>
      </w:pPr>
    </w:p>
    <w:p w14:paraId="33433C4C" w14:textId="77777777" w:rsidR="00217472" w:rsidRDefault="00217472" w:rsidP="00204988">
      <w:pPr>
        <w:pStyle w:val="TOCHeading"/>
      </w:pPr>
    </w:p>
    <w:p w14:paraId="356CEF00" w14:textId="77777777" w:rsidR="00217472" w:rsidRDefault="00217472" w:rsidP="00204988">
      <w:pPr>
        <w:pStyle w:val="TOCHeading"/>
      </w:pPr>
    </w:p>
    <w:p w14:paraId="2F19A01A" w14:textId="77777777" w:rsidR="00217472" w:rsidRDefault="00217472" w:rsidP="00204988">
      <w:pPr>
        <w:pStyle w:val="TOCHeading"/>
      </w:pPr>
    </w:p>
    <w:p w14:paraId="051FDBC4" w14:textId="77777777" w:rsidR="007A1FC4" w:rsidRPr="007A1FC4" w:rsidRDefault="007A1FC4" w:rsidP="007A1FC4"/>
    <w:p w14:paraId="323EAB45" w14:textId="77777777" w:rsidR="00F0081A" w:rsidRPr="00F0081A" w:rsidRDefault="00F0081A" w:rsidP="00F0081A"/>
    <w:p w14:paraId="293D5155" w14:textId="77777777" w:rsidR="00F0081A" w:rsidRDefault="00F0081A" w:rsidP="002B0835">
      <w:pPr>
        <w:pStyle w:val="TOCHeading"/>
        <w:spacing w:line="360" w:lineRule="auto"/>
        <w:rPr>
          <w:rFonts w:eastAsia="Times New Roman"/>
          <w:bCs w:val="0"/>
          <w:color w:val="1F497D" w:themeColor="text2"/>
          <w:sz w:val="40"/>
          <w:szCs w:val="40"/>
          <w:u w:val="double"/>
        </w:rPr>
      </w:pPr>
      <w:bookmarkStart w:id="38" w:name="_Toc383723859"/>
    </w:p>
    <w:p w14:paraId="3065E67F" w14:textId="77777777" w:rsidR="00F0081A" w:rsidRDefault="00F0081A" w:rsidP="002B0835">
      <w:pPr>
        <w:pStyle w:val="TOCHeading"/>
        <w:spacing w:line="360" w:lineRule="auto"/>
        <w:rPr>
          <w:rFonts w:eastAsia="Times New Roman"/>
          <w:bCs w:val="0"/>
          <w:color w:val="1F497D" w:themeColor="text2"/>
          <w:sz w:val="40"/>
          <w:szCs w:val="40"/>
          <w:u w:val="double"/>
        </w:rPr>
      </w:pPr>
    </w:p>
    <w:p w14:paraId="50486DF4" w14:textId="77777777" w:rsidR="002B0835" w:rsidRDefault="002B0835" w:rsidP="002B0835">
      <w:pPr>
        <w:pStyle w:val="TOCHeading"/>
        <w:spacing w:line="360" w:lineRule="auto"/>
        <w:rPr>
          <w:rFonts w:eastAsia="Times New Roman"/>
          <w:bCs w:val="0"/>
          <w:color w:val="1F497D" w:themeColor="text2"/>
          <w:sz w:val="40"/>
          <w:szCs w:val="40"/>
          <w:u w:val="double"/>
        </w:rPr>
      </w:pPr>
      <w:r>
        <w:rPr>
          <w:rFonts w:eastAsia="Times New Roman"/>
          <w:bCs w:val="0"/>
          <w:color w:val="1F497D" w:themeColor="text2"/>
          <w:sz w:val="40"/>
          <w:szCs w:val="40"/>
          <w:u w:val="double"/>
        </w:rPr>
        <w:t>CHAPTER 2</w:t>
      </w:r>
    </w:p>
    <w:p w14:paraId="05AEFEFD" w14:textId="77777777" w:rsidR="0061193F" w:rsidRPr="00316D71" w:rsidRDefault="0061193F" w:rsidP="00204988">
      <w:pPr>
        <w:pStyle w:val="Heading1"/>
      </w:pPr>
      <w:r w:rsidRPr="00316D71">
        <w:t>General materials and methods</w:t>
      </w:r>
      <w:bookmarkEnd w:id="38"/>
    </w:p>
    <w:p w14:paraId="2578DF1E" w14:textId="77777777" w:rsidR="0061193F" w:rsidRDefault="0061193F" w:rsidP="00204988">
      <w:pPr>
        <w:pStyle w:val="TOCHeading"/>
      </w:pPr>
    </w:p>
    <w:p w14:paraId="29144603" w14:textId="77777777" w:rsidR="0061193F" w:rsidRDefault="0061193F" w:rsidP="00204988">
      <w:pPr>
        <w:pStyle w:val="TOCHeading"/>
      </w:pPr>
    </w:p>
    <w:p w14:paraId="09CE98D7" w14:textId="77777777" w:rsidR="0061193F" w:rsidRDefault="0061193F" w:rsidP="00204988">
      <w:pPr>
        <w:pStyle w:val="TOCHeading"/>
      </w:pPr>
    </w:p>
    <w:p w14:paraId="55CA28FA" w14:textId="77777777" w:rsidR="0061193F" w:rsidRDefault="0061193F" w:rsidP="00204988">
      <w:pPr>
        <w:pStyle w:val="TOCHeading"/>
      </w:pPr>
    </w:p>
    <w:p w14:paraId="4792D37D" w14:textId="77777777" w:rsidR="0061193F" w:rsidRDefault="0061193F" w:rsidP="00204988">
      <w:pPr>
        <w:pStyle w:val="TOCHeading"/>
      </w:pPr>
    </w:p>
    <w:p w14:paraId="66C845FD" w14:textId="77777777" w:rsidR="0061193F" w:rsidRDefault="0061193F" w:rsidP="00204988">
      <w:pPr>
        <w:pStyle w:val="TOCHeading"/>
      </w:pPr>
    </w:p>
    <w:p w14:paraId="2C31E41C" w14:textId="77777777" w:rsidR="0061193F" w:rsidRDefault="0061193F" w:rsidP="00204988">
      <w:pPr>
        <w:pStyle w:val="TOCHeading"/>
      </w:pPr>
    </w:p>
    <w:p w14:paraId="1108E0EA" w14:textId="77777777" w:rsidR="0061193F" w:rsidRDefault="0061193F" w:rsidP="00204988">
      <w:pPr>
        <w:pStyle w:val="TOCHeading"/>
      </w:pPr>
    </w:p>
    <w:p w14:paraId="1CA92336" w14:textId="77777777" w:rsidR="0061193F" w:rsidRDefault="0061193F" w:rsidP="00204988">
      <w:pPr>
        <w:pStyle w:val="TOCHeading"/>
      </w:pPr>
    </w:p>
    <w:p w14:paraId="1FB89CEB" w14:textId="77777777" w:rsidR="0061193F" w:rsidRDefault="0061193F" w:rsidP="00204988">
      <w:pPr>
        <w:pStyle w:val="TOCHeading"/>
      </w:pPr>
    </w:p>
    <w:p w14:paraId="0868B618" w14:textId="77777777" w:rsidR="0061193F" w:rsidRDefault="0061193F" w:rsidP="00204988">
      <w:pPr>
        <w:pStyle w:val="TOCHeading"/>
      </w:pPr>
    </w:p>
    <w:p w14:paraId="341E7E93" w14:textId="77777777" w:rsidR="0061193F" w:rsidRDefault="0061193F" w:rsidP="00204988">
      <w:pPr>
        <w:pStyle w:val="TOCHeading"/>
      </w:pPr>
    </w:p>
    <w:p w14:paraId="10EAAEAA" w14:textId="77777777" w:rsidR="00F075CC" w:rsidRDefault="0061193F" w:rsidP="00D40E59">
      <w:pPr>
        <w:pStyle w:val="Heading2"/>
      </w:pPr>
      <w:bookmarkStart w:id="39" w:name="_Toc383723860"/>
      <w:r w:rsidRPr="0041495E">
        <w:lastRenderedPageBreak/>
        <w:t xml:space="preserve">2.1 </w:t>
      </w:r>
      <w:r w:rsidRPr="0041495E">
        <w:rPr>
          <w:i/>
        </w:rPr>
        <w:t>In vivo</w:t>
      </w:r>
      <w:r w:rsidRPr="0041495E">
        <w:t xml:space="preserve"> experiments</w:t>
      </w:r>
      <w:bookmarkEnd w:id="39"/>
    </w:p>
    <w:p w14:paraId="163B5A65" w14:textId="77777777" w:rsidR="0061193F" w:rsidRDefault="0061193F" w:rsidP="00F075CC">
      <w:pPr>
        <w:pStyle w:val="Heading3"/>
        <w:spacing w:line="480" w:lineRule="auto"/>
        <w:jc w:val="both"/>
        <w:rPr>
          <w:rFonts w:ascii="Arial" w:hAnsi="Arial"/>
          <w:color w:val="auto"/>
        </w:rPr>
      </w:pPr>
      <w:bookmarkStart w:id="40" w:name="_Toc383723861"/>
      <w:r w:rsidRPr="00F075CC">
        <w:rPr>
          <w:rFonts w:ascii="Arial" w:hAnsi="Arial"/>
          <w:color w:val="auto"/>
        </w:rPr>
        <w:t>2.1.1 Model organisms</w:t>
      </w:r>
      <w:bookmarkEnd w:id="40"/>
    </w:p>
    <w:p w14:paraId="7E0795BA" w14:textId="77777777" w:rsidR="00534845" w:rsidRPr="00F075CC" w:rsidRDefault="0061193F" w:rsidP="00594E7B">
      <w:pPr>
        <w:spacing w:line="480" w:lineRule="auto"/>
        <w:jc w:val="both"/>
        <w:rPr>
          <w:rFonts w:ascii="Arial" w:hAnsi="Arial"/>
        </w:rPr>
      </w:pPr>
      <w:bookmarkStart w:id="41" w:name="_Toc299293716"/>
      <w:bookmarkStart w:id="42" w:name="_Toc300073234"/>
      <w:bookmarkStart w:id="43" w:name="_Toc296463487"/>
      <w:r w:rsidRPr="00F075CC">
        <w:rPr>
          <w:rFonts w:ascii="Arial" w:hAnsi="Arial"/>
        </w:rPr>
        <w:t>Male C57BL/6 wild type mice at 16 weeks of age (young adult) and 20 months of age (aged) were obtained from Charles River Laboratories Inc. (Margate, UK). The mice were caged separately and acclimatised to their surroundings for seven days. All mice were all</w:t>
      </w:r>
      <w:r w:rsidR="00920496">
        <w:rPr>
          <w:rFonts w:ascii="Arial" w:hAnsi="Arial"/>
        </w:rPr>
        <w:t xml:space="preserve">owed free access to water and a </w:t>
      </w:r>
      <w:r w:rsidRPr="00F075CC">
        <w:rPr>
          <w:rFonts w:ascii="Arial" w:hAnsi="Arial"/>
        </w:rPr>
        <w:t>maintenance diet ad libitum</w:t>
      </w:r>
      <w:r w:rsidRPr="00F075CC">
        <w:rPr>
          <w:rFonts w:ascii="Arial" w:hAnsi="Arial"/>
          <w:i/>
        </w:rPr>
        <w:t xml:space="preserve"> </w:t>
      </w:r>
      <w:r w:rsidRPr="00F075CC">
        <w:rPr>
          <w:rFonts w:ascii="Arial" w:hAnsi="Arial"/>
        </w:rPr>
        <w:t>(2018C Teklad Global 18% Protein Rodent Diet; Teklad Diets, Madison, WI, USA</w:t>
      </w:r>
      <w:r w:rsidR="00920496">
        <w:rPr>
          <w:rFonts w:ascii="Arial" w:hAnsi="Arial" w:cs="Arial"/>
        </w:rPr>
        <w:t>, Appendix 1</w:t>
      </w:r>
      <w:r w:rsidRPr="00F075CC">
        <w:rPr>
          <w:rFonts w:ascii="Arial" w:hAnsi="Arial"/>
        </w:rPr>
        <w:t>) in a 12-hour light/dark cycle at a room temperature of 21</w:t>
      </w:r>
      <w:r w:rsidRPr="00F075CC">
        <w:rPr>
          <w:rFonts w:ascii="Arial" w:eastAsia="MS Gothic" w:hAnsi="Arial"/>
          <w:color w:val="000000"/>
        </w:rPr>
        <w:t>±2</w:t>
      </w:r>
      <w:r w:rsidRPr="00F075CC">
        <w:rPr>
          <w:rFonts w:ascii="Arial" w:eastAsia="MS Gothic" w:hAnsi="Arial"/>
          <w:color w:val="000000"/>
          <w:vertAlign w:val="superscript"/>
        </w:rPr>
        <w:t>0</w:t>
      </w:r>
      <w:r w:rsidRPr="00F075CC">
        <w:rPr>
          <w:rFonts w:ascii="Arial" w:eastAsia="MS Gothic" w:hAnsi="Arial"/>
          <w:color w:val="000000"/>
        </w:rPr>
        <w:t>C</w:t>
      </w:r>
      <w:r w:rsidRPr="00F075CC">
        <w:rPr>
          <w:rFonts w:ascii="Arial" w:hAnsi="Arial"/>
        </w:rPr>
        <w:t xml:space="preserve"> and relative humidity of 55</w:t>
      </w:r>
      <w:r w:rsidRPr="00F075CC">
        <w:rPr>
          <w:rFonts w:ascii="Arial" w:eastAsia="MS Gothic" w:hAnsi="Arial"/>
          <w:color w:val="000000"/>
        </w:rPr>
        <w:t>±</w:t>
      </w:r>
      <w:r w:rsidRPr="00F075CC">
        <w:rPr>
          <w:rFonts w:ascii="Arial" w:hAnsi="Arial"/>
        </w:rPr>
        <w:t xml:space="preserve">10%. Cages contained wood shavings, bedding and metal rings for mice to play. All procedures complied with the United Kingdom Animals (Scientific Procedures) Act 1986 (ASPA) and were reviewed and approved by the University of Sheffield Research Ethics Committee (Sheffield, UK). 3Rs principle followed as the ethical framework for conducting all the scientific experiments </w:t>
      </w:r>
      <w:r w:rsidR="000633FE">
        <w:rPr>
          <w:rFonts w:ascii="Arial" w:hAnsi="Arial"/>
        </w:rPr>
        <w:fldChar w:fldCharType="begin"/>
      </w:r>
      <w:r w:rsidR="0000415D">
        <w:rPr>
          <w:rFonts w:ascii="Arial" w:hAnsi="Arial"/>
        </w:rPr>
        <w:instrText xml:space="preserve"> ADDIN EN.CITE &lt;EndNote&gt;&lt;Cite&gt;&lt;Author&gt;NC3Rs&lt;/Author&gt;&lt;Year&gt;2018&lt;/Year&gt;&lt;RecNum&gt;403&lt;/RecNum&gt;&lt;DisplayText&gt;(NC3Rs, 2018)&lt;/DisplayText&gt;&lt;record&gt;&lt;rec-number&gt;403&lt;/rec-number&gt;&lt;foreign-keys&gt;&lt;key app="EN" db-id="ae9rewfrpdttrheppfxxv0p4950wpd25r09x" timestamp="1520658302"&gt;403&lt;/key&gt;&lt;/foreign-keys&gt;&lt;ref-type name="Web Page"&gt;12&lt;/ref-type&gt;&lt;contributors&gt;&lt;authors&gt;&lt;author&gt;NC3Rs&lt;/author&gt;&lt;/authors&gt;&lt;/contributors&gt;&lt;titles&gt;&lt;/titles&gt;&lt;volume&gt;2018&lt;/volume&gt;&lt;number&gt;19 March&lt;/number&gt;&lt;dates&gt;&lt;year&gt;2018&lt;/year&gt;&lt;/dates&gt;&lt;urls&gt;&lt;related-urls&gt;&lt;url&gt;https://www.nc3rs.org.uk&lt;/url&gt;&lt;/related-urls&gt;&lt;/urls&gt;&lt;/record&gt;&lt;/Cite&gt;&lt;/EndNote&gt;</w:instrText>
      </w:r>
      <w:r w:rsidR="000633FE">
        <w:rPr>
          <w:rFonts w:ascii="Arial" w:hAnsi="Arial"/>
        </w:rPr>
        <w:fldChar w:fldCharType="separate"/>
      </w:r>
      <w:r w:rsidR="000633FE">
        <w:rPr>
          <w:rFonts w:ascii="Arial" w:hAnsi="Arial"/>
          <w:noProof/>
        </w:rPr>
        <w:t>(NC3Rs, 2018)</w:t>
      </w:r>
      <w:r w:rsidR="000633FE">
        <w:rPr>
          <w:rFonts w:ascii="Arial" w:hAnsi="Arial"/>
        </w:rPr>
        <w:fldChar w:fldCharType="end"/>
      </w:r>
      <w:bookmarkEnd w:id="41"/>
      <w:bookmarkEnd w:id="42"/>
      <w:r w:rsidR="000633FE">
        <w:rPr>
          <w:rFonts w:ascii="Arial" w:hAnsi="Arial"/>
        </w:rPr>
        <w:t>.</w:t>
      </w:r>
      <w:r w:rsidRPr="00F075CC">
        <w:rPr>
          <w:rFonts w:ascii="Arial" w:hAnsi="Arial"/>
        </w:rPr>
        <w:t xml:space="preserve"> </w:t>
      </w:r>
      <w:bookmarkEnd w:id="43"/>
      <w:r w:rsidRPr="00F075CC">
        <w:rPr>
          <w:rFonts w:ascii="Arial" w:hAnsi="Arial"/>
        </w:rPr>
        <w:t>The author was the holder of the home office personal licence, number 36744 and the principal investigator held the project licence, PPL number 40/3499.</w:t>
      </w:r>
    </w:p>
    <w:p w14:paraId="0407F3E4" w14:textId="77777777" w:rsidR="0061193F" w:rsidRPr="00594E7B" w:rsidRDefault="0061193F" w:rsidP="00594E7B">
      <w:pPr>
        <w:pStyle w:val="Heading3"/>
        <w:spacing w:line="480" w:lineRule="auto"/>
        <w:jc w:val="both"/>
        <w:rPr>
          <w:rFonts w:ascii="Arial" w:hAnsi="Arial"/>
          <w:color w:val="auto"/>
        </w:rPr>
      </w:pPr>
      <w:bookmarkStart w:id="44" w:name="_Toc383723862"/>
      <w:r w:rsidRPr="00534845">
        <w:rPr>
          <w:rFonts w:ascii="Arial" w:hAnsi="Arial"/>
          <w:color w:val="auto"/>
        </w:rPr>
        <w:t>2.1.2 Assessment of feeding behaviour of fed or fasted young and aged mice</w:t>
      </w:r>
      <w:bookmarkEnd w:id="44"/>
    </w:p>
    <w:p w14:paraId="402413EC" w14:textId="77777777" w:rsidR="0061193F" w:rsidRDefault="0061193F" w:rsidP="00594E7B">
      <w:pPr>
        <w:spacing w:line="480" w:lineRule="auto"/>
        <w:jc w:val="both"/>
        <w:rPr>
          <w:rFonts w:ascii="Arial" w:hAnsi="Arial" w:cs="Arial"/>
          <w:b/>
        </w:rPr>
      </w:pPr>
      <w:r>
        <w:rPr>
          <w:rFonts w:ascii="Arial" w:hAnsi="Arial" w:cs="Arial"/>
          <w:b/>
        </w:rPr>
        <w:t>Equipment</w:t>
      </w:r>
    </w:p>
    <w:p w14:paraId="431D1103" w14:textId="77777777" w:rsidR="0061193F" w:rsidRPr="00B979B5" w:rsidRDefault="0061193F" w:rsidP="00594E7B">
      <w:pPr>
        <w:pStyle w:val="ListParagraph"/>
        <w:numPr>
          <w:ilvl w:val="0"/>
          <w:numId w:val="11"/>
        </w:numPr>
        <w:spacing w:line="480" w:lineRule="auto"/>
        <w:jc w:val="both"/>
        <w:rPr>
          <w:rFonts w:ascii="Arial" w:hAnsi="Arial" w:cs="Arial"/>
          <w:b/>
        </w:rPr>
      </w:pPr>
      <w:r>
        <w:rPr>
          <w:rFonts w:ascii="Arial" w:hAnsi="Arial" w:cs="Arial"/>
        </w:rPr>
        <w:t>Animal weighting digital laboratory scales (A &amp; D Company Limited, HT-500)</w:t>
      </w:r>
    </w:p>
    <w:p w14:paraId="4D22767B" w14:textId="77777777" w:rsidR="0061193F" w:rsidRPr="004F1055" w:rsidRDefault="0061193F" w:rsidP="00594E7B">
      <w:pPr>
        <w:pStyle w:val="ListParagraph"/>
        <w:numPr>
          <w:ilvl w:val="0"/>
          <w:numId w:val="11"/>
        </w:numPr>
        <w:spacing w:line="480" w:lineRule="auto"/>
        <w:jc w:val="both"/>
        <w:rPr>
          <w:rFonts w:ascii="Arial" w:hAnsi="Arial" w:cs="Arial"/>
          <w:b/>
        </w:rPr>
      </w:pPr>
      <w:r>
        <w:rPr>
          <w:rFonts w:ascii="Arial" w:hAnsi="Arial" w:cs="Arial"/>
        </w:rPr>
        <w:t xml:space="preserve">Precision calibrating metal weights </w:t>
      </w:r>
    </w:p>
    <w:p w14:paraId="3E283715" w14:textId="77777777" w:rsidR="0061193F" w:rsidRDefault="0061193F" w:rsidP="00594E7B">
      <w:pPr>
        <w:spacing w:line="480" w:lineRule="auto"/>
        <w:jc w:val="both"/>
        <w:rPr>
          <w:rFonts w:ascii="Arial" w:hAnsi="Arial" w:cs="Arial"/>
          <w:b/>
        </w:rPr>
      </w:pPr>
      <w:r>
        <w:rPr>
          <w:rFonts w:ascii="Arial" w:hAnsi="Arial" w:cs="Arial"/>
          <w:b/>
        </w:rPr>
        <w:t>Method</w:t>
      </w:r>
    </w:p>
    <w:p w14:paraId="27D5F7C6" w14:textId="77777777" w:rsidR="0061193F" w:rsidRPr="00881615" w:rsidRDefault="0061193F" w:rsidP="00594E7B">
      <w:pPr>
        <w:spacing w:line="480" w:lineRule="auto"/>
        <w:jc w:val="both"/>
        <w:rPr>
          <w:rFonts w:ascii="Arial" w:hAnsi="Arial" w:cs="Arial"/>
        </w:rPr>
      </w:pPr>
      <w:r>
        <w:rPr>
          <w:rFonts w:ascii="Arial" w:hAnsi="Arial" w:cs="Arial"/>
        </w:rPr>
        <w:t xml:space="preserve">Groups of young adult male </w:t>
      </w:r>
      <w:r w:rsidRPr="005B4778">
        <w:rPr>
          <w:rFonts w:ascii="Arial" w:hAnsi="Arial" w:cs="Arial"/>
        </w:rPr>
        <w:t xml:space="preserve">mice </w:t>
      </w:r>
      <w:r>
        <w:rPr>
          <w:rFonts w:ascii="Arial" w:hAnsi="Arial" w:cs="Arial"/>
        </w:rPr>
        <w:t xml:space="preserve">at 17 weeks of age and aged male mice at </w:t>
      </w:r>
      <w:r w:rsidR="004F7EF4">
        <w:rPr>
          <w:rFonts w:ascii="Arial" w:hAnsi="Arial" w:cs="Arial"/>
          <w:color w:val="000000" w:themeColor="text1"/>
        </w:rPr>
        <w:t>20</w:t>
      </w:r>
      <w:r w:rsidRPr="00E0466A">
        <w:rPr>
          <w:rFonts w:ascii="Arial" w:hAnsi="Arial" w:cs="Arial"/>
          <w:color w:val="000000" w:themeColor="text1"/>
        </w:rPr>
        <w:t xml:space="preserve"> months of age</w:t>
      </w:r>
      <w:r>
        <w:rPr>
          <w:b/>
          <w:color w:val="000000" w:themeColor="text1"/>
        </w:rPr>
        <w:t xml:space="preserve"> </w:t>
      </w:r>
      <w:r>
        <w:rPr>
          <w:rFonts w:ascii="Arial" w:hAnsi="Arial" w:cs="Arial"/>
        </w:rPr>
        <w:t>were either allowed access to</w:t>
      </w:r>
      <w:r w:rsidRPr="00E0466A">
        <w:rPr>
          <w:rFonts w:ascii="Arial" w:hAnsi="Arial" w:cs="Arial"/>
          <w:color w:val="000000" w:themeColor="text1"/>
        </w:rPr>
        <w:t xml:space="preserve"> maintenance diet ad libitum</w:t>
      </w:r>
      <w:r w:rsidR="00AC52F3">
        <w:rPr>
          <w:rFonts w:ascii="Arial" w:hAnsi="Arial" w:cs="Arial"/>
          <w:color w:val="000000" w:themeColor="text1"/>
        </w:rPr>
        <w:t xml:space="preserve"> (n=7)</w:t>
      </w:r>
      <w:r>
        <w:rPr>
          <w:b/>
          <w:i/>
          <w:color w:val="000000" w:themeColor="text1"/>
        </w:rPr>
        <w:t xml:space="preserve"> </w:t>
      </w:r>
      <w:r>
        <w:rPr>
          <w:rFonts w:ascii="Arial" w:hAnsi="Arial" w:cs="Arial"/>
        </w:rPr>
        <w:t xml:space="preserve">or fasted overnight for 16 hours </w:t>
      </w:r>
      <w:r w:rsidR="00AC52F3">
        <w:rPr>
          <w:rFonts w:ascii="Arial" w:hAnsi="Arial" w:cs="Arial"/>
        </w:rPr>
        <w:t xml:space="preserve">(n=7) </w:t>
      </w:r>
      <w:r>
        <w:rPr>
          <w:rFonts w:ascii="Arial" w:hAnsi="Arial" w:cs="Arial"/>
        </w:rPr>
        <w:t xml:space="preserve">and </w:t>
      </w:r>
      <w:r w:rsidRPr="005B4778">
        <w:rPr>
          <w:rFonts w:ascii="Arial" w:hAnsi="Arial" w:cs="Arial"/>
        </w:rPr>
        <w:t xml:space="preserve">were </w:t>
      </w:r>
      <w:r>
        <w:rPr>
          <w:rFonts w:ascii="Arial" w:hAnsi="Arial" w:cs="Arial"/>
        </w:rPr>
        <w:t>assessed</w:t>
      </w:r>
      <w:r w:rsidRPr="005B4778">
        <w:rPr>
          <w:rFonts w:ascii="Arial" w:hAnsi="Arial" w:cs="Arial"/>
        </w:rPr>
        <w:t xml:space="preserve"> for </w:t>
      </w:r>
      <w:r w:rsidR="000633FE">
        <w:rPr>
          <w:rFonts w:ascii="Arial" w:hAnsi="Arial" w:cs="Arial"/>
        </w:rPr>
        <w:t xml:space="preserve">subsequent </w:t>
      </w:r>
      <w:r>
        <w:rPr>
          <w:rFonts w:ascii="Arial" w:hAnsi="Arial" w:cs="Arial"/>
        </w:rPr>
        <w:t xml:space="preserve">feeding behaviour. The nesting material, bedding and wood shavings were removed from the cages prior the experiment. All mice were allowed free access to water. Food intake was measured by monitoring the consumed food and body weights of animals every 30 minutes for the first 3 hours then </w:t>
      </w:r>
      <w:r>
        <w:rPr>
          <w:rFonts w:ascii="Arial" w:hAnsi="Arial" w:cs="Arial"/>
        </w:rPr>
        <w:lastRenderedPageBreak/>
        <w:t>every hour for another 4 hours twice weekly for one week. The faecal pellets collected at end of the experiments and stored at -20</w:t>
      </w:r>
      <w:r>
        <w:rPr>
          <w:rFonts w:ascii="Arial" w:hAnsi="Arial" w:cs="Arial"/>
          <w:vertAlign w:val="superscript"/>
        </w:rPr>
        <w:t>0</w:t>
      </w:r>
      <w:r>
        <w:rPr>
          <w:rFonts w:ascii="Arial" w:hAnsi="Arial" w:cs="Arial"/>
        </w:rPr>
        <w:t>C until dried at 70</w:t>
      </w:r>
      <w:r>
        <w:rPr>
          <w:rFonts w:ascii="Arial" w:hAnsi="Arial" w:cs="Arial"/>
          <w:vertAlign w:val="superscript"/>
        </w:rPr>
        <w:t>0</w:t>
      </w:r>
      <w:r>
        <w:rPr>
          <w:rFonts w:ascii="Arial" w:hAnsi="Arial" w:cs="Arial"/>
        </w:rPr>
        <w:t xml:space="preserve">C and weighed for analysis. </w:t>
      </w:r>
      <w:r w:rsidR="00AB3759">
        <w:rPr>
          <w:rFonts w:ascii="Arial" w:hAnsi="Arial" w:cs="Arial"/>
        </w:rPr>
        <w:t>After the experiments mice were placed in new cages with wood shavings and bedding as previously described.</w:t>
      </w:r>
    </w:p>
    <w:p w14:paraId="568F23EC" w14:textId="77777777" w:rsidR="00AB3759" w:rsidRDefault="0061193F" w:rsidP="00D70BBE">
      <w:pPr>
        <w:pStyle w:val="Heading3"/>
        <w:spacing w:line="480" w:lineRule="auto"/>
        <w:jc w:val="both"/>
        <w:rPr>
          <w:rFonts w:ascii="Arial" w:hAnsi="Arial"/>
          <w:color w:val="auto"/>
        </w:rPr>
      </w:pPr>
      <w:bookmarkStart w:id="45" w:name="_Toc383723863"/>
      <w:r w:rsidRPr="00AB3759">
        <w:rPr>
          <w:rFonts w:ascii="Arial" w:hAnsi="Arial"/>
          <w:color w:val="auto"/>
        </w:rPr>
        <w:t xml:space="preserve">2.1.3 </w:t>
      </w:r>
      <w:proofErr w:type="gramStart"/>
      <w:r w:rsidRPr="00AB3759">
        <w:rPr>
          <w:rFonts w:ascii="Arial" w:hAnsi="Arial"/>
          <w:i/>
          <w:color w:val="auto"/>
        </w:rPr>
        <w:t>In</w:t>
      </w:r>
      <w:proofErr w:type="gramEnd"/>
      <w:r w:rsidRPr="00AB3759">
        <w:rPr>
          <w:rFonts w:ascii="Arial" w:hAnsi="Arial"/>
          <w:i/>
          <w:color w:val="auto"/>
        </w:rPr>
        <w:t xml:space="preserve"> vivo</w:t>
      </w:r>
      <w:r w:rsidRPr="00AB3759">
        <w:rPr>
          <w:rFonts w:ascii="Arial" w:hAnsi="Arial"/>
          <w:color w:val="auto"/>
        </w:rPr>
        <w:t xml:space="preserve"> mechanical loading of tibiae</w:t>
      </w:r>
      <w:bookmarkEnd w:id="45"/>
    </w:p>
    <w:p w14:paraId="4C61E907" w14:textId="77777777" w:rsidR="0061193F" w:rsidRPr="005049E7" w:rsidRDefault="0061193F" w:rsidP="005049E7">
      <w:pPr>
        <w:spacing w:line="480" w:lineRule="auto"/>
        <w:jc w:val="both"/>
        <w:rPr>
          <w:rFonts w:ascii="Arial" w:hAnsi="Arial" w:cs="Arial"/>
          <w:b/>
        </w:rPr>
      </w:pPr>
      <w:r w:rsidRPr="005049E7">
        <w:rPr>
          <w:rFonts w:ascii="Arial" w:hAnsi="Arial" w:cs="Arial"/>
          <w:b/>
        </w:rPr>
        <w:t>Materials</w:t>
      </w:r>
    </w:p>
    <w:p w14:paraId="633598A4" w14:textId="77777777" w:rsidR="0061193F" w:rsidRPr="00AB3759" w:rsidRDefault="0061193F" w:rsidP="005049E7">
      <w:pPr>
        <w:pStyle w:val="ListParagraph"/>
        <w:numPr>
          <w:ilvl w:val="0"/>
          <w:numId w:val="12"/>
        </w:numPr>
        <w:spacing w:line="480" w:lineRule="auto"/>
        <w:jc w:val="both"/>
        <w:rPr>
          <w:rFonts w:ascii="Arial" w:hAnsi="Arial" w:cs="Arial"/>
        </w:rPr>
      </w:pPr>
      <w:r>
        <w:rPr>
          <w:rFonts w:ascii="Arial" w:hAnsi="Arial" w:cs="Arial"/>
        </w:rPr>
        <w:t>Isofluora</w:t>
      </w:r>
      <w:r w:rsidRPr="00D80420">
        <w:rPr>
          <w:rFonts w:ascii="Arial" w:hAnsi="Arial" w:cs="Arial"/>
        </w:rPr>
        <w:t xml:space="preserve">ne </w:t>
      </w:r>
      <w:r>
        <w:rPr>
          <w:rFonts w:ascii="Arial" w:hAnsi="Arial" w:cs="Arial"/>
        </w:rPr>
        <w:t>(</w:t>
      </w:r>
      <w:r>
        <w:rPr>
          <w:rFonts w:ascii="Arial" w:hAnsi="Arial" w:cs="Arial"/>
          <w:color w:val="000000" w:themeColor="text1"/>
        </w:rPr>
        <w:t>IsoFlo, Abbott Laboratories Ltd, Maidenhead, UK)</w:t>
      </w:r>
    </w:p>
    <w:p w14:paraId="1A2DC963" w14:textId="77777777" w:rsidR="0061193F" w:rsidRDefault="0061193F" w:rsidP="0061193F">
      <w:pPr>
        <w:spacing w:line="480" w:lineRule="auto"/>
        <w:jc w:val="both"/>
        <w:rPr>
          <w:rFonts w:ascii="Arial" w:hAnsi="Arial" w:cs="Arial"/>
          <w:b/>
        </w:rPr>
      </w:pPr>
      <w:r>
        <w:rPr>
          <w:rFonts w:ascii="Arial" w:hAnsi="Arial" w:cs="Arial"/>
          <w:b/>
        </w:rPr>
        <w:t>Equipment</w:t>
      </w:r>
    </w:p>
    <w:p w14:paraId="69938D77" w14:textId="77777777" w:rsidR="0061193F" w:rsidRDefault="0061193F" w:rsidP="0061193F">
      <w:pPr>
        <w:pStyle w:val="ListParagraph"/>
        <w:numPr>
          <w:ilvl w:val="0"/>
          <w:numId w:val="12"/>
        </w:numPr>
        <w:spacing w:line="480" w:lineRule="auto"/>
        <w:jc w:val="both"/>
        <w:rPr>
          <w:rFonts w:ascii="Arial" w:hAnsi="Arial" w:cs="Arial"/>
        </w:rPr>
      </w:pPr>
      <w:r>
        <w:rPr>
          <w:rFonts w:ascii="Arial" w:hAnsi="Arial" w:cs="Arial"/>
        </w:rPr>
        <w:t>Servo-h</w:t>
      </w:r>
      <w:r w:rsidRPr="009B0393">
        <w:rPr>
          <w:rFonts w:ascii="Arial" w:hAnsi="Arial" w:cs="Arial"/>
        </w:rPr>
        <w:t>ydraulic mechanical loading machine (Instron 8511/8500, Buckinghamshire, UK)</w:t>
      </w:r>
    </w:p>
    <w:p w14:paraId="5CA6F867" w14:textId="77777777" w:rsidR="0061193F" w:rsidRPr="00BC038B" w:rsidRDefault="0061193F" w:rsidP="0061193F">
      <w:pPr>
        <w:spacing w:line="480" w:lineRule="auto"/>
        <w:jc w:val="both"/>
        <w:rPr>
          <w:rFonts w:ascii="Arial" w:hAnsi="Arial" w:cs="Arial"/>
        </w:rPr>
      </w:pPr>
      <w:proofErr w:type="gramStart"/>
      <w:r>
        <w:rPr>
          <w:rFonts w:ascii="Arial" w:hAnsi="Arial" w:cs="Arial"/>
        </w:rPr>
        <w:t>and</w:t>
      </w:r>
      <w:proofErr w:type="gramEnd"/>
      <w:r>
        <w:rPr>
          <w:rFonts w:ascii="Arial" w:hAnsi="Arial" w:cs="Arial"/>
        </w:rPr>
        <w:t xml:space="preserve"> later</w:t>
      </w:r>
    </w:p>
    <w:p w14:paraId="0C947005" w14:textId="77777777" w:rsidR="0061193F" w:rsidRDefault="0061193F" w:rsidP="0061193F">
      <w:pPr>
        <w:pStyle w:val="ListParagraph"/>
        <w:numPr>
          <w:ilvl w:val="0"/>
          <w:numId w:val="12"/>
        </w:numPr>
        <w:spacing w:line="480" w:lineRule="auto"/>
        <w:jc w:val="both"/>
        <w:rPr>
          <w:rFonts w:ascii="Arial" w:hAnsi="Arial" w:cs="Arial"/>
        </w:rPr>
      </w:pPr>
      <w:r w:rsidRPr="009B0393">
        <w:rPr>
          <w:rFonts w:ascii="Arial" w:hAnsi="Arial" w:cs="Arial"/>
        </w:rPr>
        <w:t>High performance linear motor materials testing machine (ElectroForce</w:t>
      </w:r>
      <w:r>
        <w:rPr>
          <w:rFonts w:ascii="Arial" w:hAnsi="Arial" w:cs="Arial"/>
        </w:rPr>
        <w:t xml:space="preserve"> </w:t>
      </w:r>
      <w:r w:rsidRPr="009B0393">
        <w:rPr>
          <w:rFonts w:ascii="Arial" w:hAnsi="Arial" w:cs="Arial"/>
        </w:rPr>
        <w:t>5500,</w:t>
      </w:r>
      <w:r>
        <w:rPr>
          <w:rFonts w:ascii="Arial" w:hAnsi="Arial" w:cs="Arial"/>
        </w:rPr>
        <w:t xml:space="preserve"> </w:t>
      </w:r>
      <w:r w:rsidRPr="009B0393">
        <w:rPr>
          <w:rFonts w:ascii="Arial" w:hAnsi="Arial" w:cs="Arial"/>
        </w:rPr>
        <w:t>Bose Co., Eden Prairie, MN, USA)</w:t>
      </w:r>
    </w:p>
    <w:p w14:paraId="359A392C" w14:textId="77777777" w:rsidR="0061193F" w:rsidRPr="009D4EC6" w:rsidRDefault="0061193F" w:rsidP="0061193F">
      <w:pPr>
        <w:pStyle w:val="ListParagraph"/>
        <w:numPr>
          <w:ilvl w:val="0"/>
          <w:numId w:val="12"/>
        </w:numPr>
        <w:spacing w:line="480" w:lineRule="auto"/>
        <w:jc w:val="both"/>
        <w:rPr>
          <w:rFonts w:ascii="Arial" w:hAnsi="Arial" w:cs="Arial"/>
        </w:rPr>
      </w:pPr>
      <w:r>
        <w:rPr>
          <w:rFonts w:ascii="Arial" w:hAnsi="Arial" w:cs="Arial"/>
        </w:rPr>
        <w:t xml:space="preserve">Animal anaesthesia machine (AW Anaesthesia Services Ltd) </w:t>
      </w:r>
      <w:r w:rsidRPr="009D4EC6">
        <w:rPr>
          <w:rFonts w:ascii="Arial" w:hAnsi="Arial" w:cs="Arial"/>
        </w:rPr>
        <w:t>with oxygen concentrator (Nuvo Lite, Nidek Medical)</w:t>
      </w:r>
    </w:p>
    <w:p w14:paraId="78902027" w14:textId="77777777" w:rsidR="0061193F" w:rsidRPr="00811C15" w:rsidRDefault="0061193F" w:rsidP="0061193F">
      <w:pPr>
        <w:spacing w:line="480" w:lineRule="auto"/>
        <w:jc w:val="both"/>
        <w:rPr>
          <w:rFonts w:ascii="Arial" w:hAnsi="Arial" w:cs="Arial"/>
          <w:b/>
        </w:rPr>
      </w:pPr>
      <w:r w:rsidRPr="00811C15">
        <w:rPr>
          <w:rFonts w:ascii="Arial" w:hAnsi="Arial" w:cs="Arial"/>
          <w:b/>
        </w:rPr>
        <w:t>Method</w:t>
      </w:r>
    </w:p>
    <w:p w14:paraId="4C2E69D5" w14:textId="77777777" w:rsidR="0061193F" w:rsidRDefault="0061193F" w:rsidP="0061193F">
      <w:pPr>
        <w:spacing w:line="480" w:lineRule="auto"/>
        <w:jc w:val="both"/>
        <w:rPr>
          <w:rFonts w:ascii="Arial" w:eastAsiaTheme="minorHAnsi" w:hAnsi="Arial"/>
          <w:bCs/>
        </w:rPr>
      </w:pPr>
      <w:r w:rsidRPr="005A716D">
        <w:rPr>
          <w:rFonts w:ascii="Arial" w:hAnsi="Arial" w:cs="Arial"/>
          <w:color w:val="000000" w:themeColor="text1"/>
        </w:rPr>
        <w:t xml:space="preserve">The </w:t>
      </w:r>
      <w:r>
        <w:rPr>
          <w:rFonts w:ascii="Arial" w:hAnsi="Arial" w:cs="Arial"/>
          <w:color w:val="000000" w:themeColor="text1"/>
        </w:rPr>
        <w:t>right tibia</w:t>
      </w:r>
      <w:r w:rsidR="00AD09F7">
        <w:rPr>
          <w:rFonts w:ascii="Arial" w:hAnsi="Arial" w:cs="Arial"/>
          <w:color w:val="000000" w:themeColor="text1"/>
        </w:rPr>
        <w:t xml:space="preserve"> of each mouse was</w:t>
      </w:r>
      <w:r>
        <w:rPr>
          <w:rFonts w:ascii="Arial" w:hAnsi="Arial" w:cs="Arial"/>
          <w:color w:val="000000" w:themeColor="text1"/>
        </w:rPr>
        <w:t xml:space="preserve"> subjected to non-invasive, dynamic axial mechanical loading under the isofluorane-induced anaesthesia</w:t>
      </w:r>
      <w:r w:rsidR="00B04EE8">
        <w:rPr>
          <w:rFonts w:ascii="Arial" w:hAnsi="Arial" w:cs="Arial"/>
          <w:color w:val="000000" w:themeColor="text1"/>
        </w:rPr>
        <w:t xml:space="preserve"> (liquid isofluorane was vaporis</w:t>
      </w:r>
      <w:r>
        <w:rPr>
          <w:rFonts w:ascii="Arial" w:hAnsi="Arial" w:cs="Arial"/>
          <w:color w:val="000000" w:themeColor="text1"/>
        </w:rPr>
        <w:t xml:space="preserve">ed to a concentration of 5% and maintained at a concentration of 3% with oxygen) for 7min/day, </w:t>
      </w:r>
      <w:r>
        <w:rPr>
          <w:rFonts w:ascii="Arial" w:eastAsiaTheme="minorHAnsi" w:hAnsi="Arial"/>
          <w:bCs/>
        </w:rPr>
        <w:t xml:space="preserve">3 alternate days a week for 2 weeks according to the protocols described in </w:t>
      </w:r>
      <w:r w:rsidR="00B04EE8">
        <w:rPr>
          <w:rFonts w:ascii="Arial" w:eastAsiaTheme="minorHAnsi" w:hAnsi="Arial"/>
          <w:bCs/>
        </w:rPr>
        <w:t xml:space="preserve">the </w:t>
      </w:r>
      <w:r>
        <w:rPr>
          <w:rFonts w:ascii="Arial" w:eastAsiaTheme="minorHAnsi" w:hAnsi="Arial"/>
          <w:bCs/>
        </w:rPr>
        <w:t>previous studies. The left tibiae were non-lo</w:t>
      </w:r>
      <w:r w:rsidR="00AD09F7">
        <w:rPr>
          <w:rFonts w:ascii="Arial" w:eastAsiaTheme="minorHAnsi" w:hAnsi="Arial"/>
          <w:bCs/>
        </w:rPr>
        <w:t xml:space="preserve">aded internal controls (Figure </w:t>
      </w:r>
      <w:r w:rsidR="00161FEA">
        <w:rPr>
          <w:rFonts w:ascii="Arial" w:eastAsiaTheme="minorHAnsi" w:hAnsi="Arial"/>
          <w:bCs/>
        </w:rPr>
        <w:t>1</w:t>
      </w:r>
      <w:r w:rsidR="009814C1">
        <w:rPr>
          <w:rFonts w:ascii="Arial" w:eastAsiaTheme="minorHAnsi" w:hAnsi="Arial"/>
          <w:bCs/>
        </w:rPr>
        <w:t>1</w:t>
      </w:r>
      <w:r>
        <w:rPr>
          <w:rFonts w:ascii="Arial" w:eastAsiaTheme="minorHAnsi" w:hAnsi="Arial"/>
          <w:bCs/>
        </w:rPr>
        <w:t>).</w:t>
      </w:r>
      <w:r w:rsidR="000B2F55">
        <w:rPr>
          <w:rFonts w:ascii="Arial" w:eastAsiaTheme="minorHAnsi" w:hAnsi="Arial"/>
          <w:bCs/>
        </w:rPr>
        <w:t xml:space="preserve"> </w:t>
      </w:r>
      <w:r w:rsidR="000B2F55">
        <w:rPr>
          <w:rFonts w:ascii="Arial" w:eastAsiaTheme="minorHAnsi" w:hAnsi="Arial"/>
          <w:bCs/>
        </w:rPr>
        <w:fldChar w:fldCharType="begin">
          <w:fldData xml:space="preserve">PEVuZE5vdGU+PENpdGU+PEF1dGhvcj5SdWJpbjwvQXV0aG9yPjxZZWFyPjE5ODQ8L1llYXI+PFJl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</w:fldData>
        </w:fldChar>
      </w:r>
      <w:r w:rsidR="0000415D">
        <w:rPr>
          <w:rFonts w:ascii="Arial" w:eastAsiaTheme="minorHAnsi" w:hAnsi="Arial"/>
          <w:bCs/>
        </w:rPr>
        <w:instrText xml:space="preserve"> ADDIN EN.CITE </w:instrText>
      </w:r>
      <w:r w:rsidR="0000415D">
        <w:rPr>
          <w:rFonts w:ascii="Arial" w:eastAsiaTheme="minorHAnsi" w:hAnsi="Arial"/>
          <w:bCs/>
        </w:rPr>
        <w:fldChar w:fldCharType="begin">
          <w:fldData xml:space="preserve">PEVuZE5vdGU+PENpdGU+PEF1dGhvcj5SdWJpbjwvQXV0aG9yPjxZZWFyPjE5ODQ8L1llYXI+PFJl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</w:fldData>
        </w:fldChar>
      </w:r>
      <w:r w:rsidR="0000415D">
        <w:rPr>
          <w:rFonts w:ascii="Arial" w:eastAsiaTheme="minorHAnsi" w:hAnsi="Arial"/>
          <w:bCs/>
        </w:rPr>
        <w:instrText xml:space="preserve"> ADDIN EN.CITE.DATA </w:instrText>
      </w:r>
      <w:r w:rsidR="0000415D">
        <w:rPr>
          <w:rFonts w:ascii="Arial" w:eastAsiaTheme="minorHAnsi" w:hAnsi="Arial"/>
          <w:bCs/>
        </w:rPr>
      </w:r>
      <w:r w:rsidR="0000415D">
        <w:rPr>
          <w:rFonts w:ascii="Arial" w:eastAsiaTheme="minorHAnsi" w:hAnsi="Arial"/>
          <w:bCs/>
        </w:rPr>
        <w:fldChar w:fldCharType="end"/>
      </w:r>
      <w:r w:rsidR="000B2F55">
        <w:rPr>
          <w:rFonts w:ascii="Arial" w:eastAsiaTheme="minorHAnsi" w:hAnsi="Arial"/>
          <w:bCs/>
        </w:rPr>
      </w:r>
      <w:r w:rsidR="000B2F55">
        <w:rPr>
          <w:rFonts w:ascii="Arial" w:eastAsiaTheme="minorHAnsi" w:hAnsi="Arial"/>
          <w:bCs/>
        </w:rPr>
        <w:fldChar w:fldCharType="separate"/>
      </w:r>
      <w:r w:rsidR="00D0391D">
        <w:rPr>
          <w:rFonts w:ascii="Arial" w:eastAsiaTheme="minorHAnsi" w:hAnsi="Arial"/>
          <w:bCs/>
          <w:noProof/>
        </w:rPr>
        <w:t>(Rubin and Lanyon, 1984, De Souza et al., 2005a, Moustafa et al., 2009, Sugiyama et al., 2008, Sugiyama et al., 2010)</w:t>
      </w:r>
      <w:r w:rsidR="000B2F55">
        <w:rPr>
          <w:rFonts w:ascii="Arial" w:eastAsiaTheme="minorHAnsi" w:hAnsi="Arial"/>
          <w:bCs/>
        </w:rPr>
        <w:fldChar w:fldCharType="end"/>
      </w:r>
      <w:r w:rsidR="000B2F55">
        <w:rPr>
          <w:rFonts w:ascii="Arial" w:eastAsiaTheme="minorHAnsi" w:hAnsi="Arial"/>
          <w:bCs/>
        </w:rPr>
        <w:t xml:space="preserve">. </w:t>
      </w:r>
    </w:p>
    <w:p w14:paraId="2B9EFF59" w14:textId="77777777" w:rsidR="00AD09F7" w:rsidRPr="00162EF2" w:rsidRDefault="00AD09F7" w:rsidP="0061193F">
      <w:pPr>
        <w:spacing w:line="480" w:lineRule="auto"/>
        <w:jc w:val="both"/>
        <w:rPr>
          <w:rFonts w:ascii="Arial" w:hAnsi="Arial" w:cs="Arial"/>
          <w:color w:val="000000" w:themeColor="text1"/>
        </w:rPr>
      </w:pPr>
    </w:p>
    <w:p w14:paraId="0DB6D38D" w14:textId="77777777" w:rsidR="00404421" w:rsidRDefault="0061193F" w:rsidP="00072879">
      <w:pPr>
        <w:spacing w:line="480" w:lineRule="auto"/>
        <w:jc w:val="both"/>
        <w:rPr>
          <w:rFonts w:ascii="Arial" w:eastAsiaTheme="minorHAnsi" w:hAnsi="Arial"/>
          <w:bCs/>
          <w:noProof/>
        </w:rPr>
      </w:pPr>
      <w:r>
        <w:rPr>
          <w:rFonts w:ascii="Arial" w:eastAsiaTheme="minorHAnsi" w:hAnsi="Arial"/>
          <w:bCs/>
        </w:rPr>
        <w:t xml:space="preserve">To apply mechanical loading, mice were anaesthetised, and the knee and ankle joints of the right limbs were fixed in customised concave cups as shown </w:t>
      </w:r>
      <w:r w:rsidR="00161FEA">
        <w:rPr>
          <w:rFonts w:ascii="Arial" w:eastAsiaTheme="minorHAnsi" w:hAnsi="Arial"/>
          <w:bCs/>
        </w:rPr>
        <w:t>in the Figure 1</w:t>
      </w:r>
      <w:r w:rsidR="004D5FC4">
        <w:rPr>
          <w:rFonts w:ascii="Arial" w:eastAsiaTheme="minorHAnsi" w:hAnsi="Arial"/>
          <w:bCs/>
        </w:rPr>
        <w:t>2A</w:t>
      </w:r>
      <w:r>
        <w:rPr>
          <w:rFonts w:ascii="Arial" w:eastAsiaTheme="minorHAnsi" w:hAnsi="Arial"/>
          <w:bCs/>
        </w:rPr>
        <w:t xml:space="preserve">. The </w:t>
      </w:r>
      <w:r>
        <w:rPr>
          <w:rFonts w:ascii="Arial" w:eastAsiaTheme="minorHAnsi" w:hAnsi="Arial"/>
          <w:bCs/>
        </w:rPr>
        <w:lastRenderedPageBreak/>
        <w:t xml:space="preserve">knee was positioned into the upper cup, which was attached to the </w:t>
      </w:r>
      <w:r w:rsidR="008C7C1E">
        <w:rPr>
          <w:rFonts w:ascii="Arial" w:eastAsiaTheme="minorHAnsi" w:hAnsi="Arial"/>
          <w:bCs/>
        </w:rPr>
        <w:t xml:space="preserve">activator arm </w:t>
      </w:r>
      <w:r>
        <w:rPr>
          <w:rFonts w:ascii="Arial" w:eastAsiaTheme="minorHAnsi" w:hAnsi="Arial"/>
          <w:bCs/>
        </w:rPr>
        <w:t xml:space="preserve">displacement transducer and the ankle in the lower cup attached to the dynamic load cell. The tibia was held in place by continuous static preload of 0.5N onto which dynamic loads were superimposed in a series of 20 or 40 trapezoidal shaped waveform cycles with </w:t>
      </w:r>
      <w:r w:rsidRPr="00A27D68">
        <w:rPr>
          <w:rFonts w:ascii="Arial" w:hAnsi="Arial" w:cs="Arial"/>
          <w:color w:val="1A1A1A"/>
        </w:rPr>
        <w:t>steep up and down ramps</w:t>
      </w:r>
      <w:r>
        <w:rPr>
          <w:rFonts w:ascii="Arial" w:eastAsiaTheme="minorHAnsi" w:hAnsi="Arial"/>
          <w:bCs/>
        </w:rPr>
        <w:t xml:space="preserve"> </w:t>
      </w:r>
      <w:r w:rsidR="00330FE5">
        <w:rPr>
          <w:rFonts w:ascii="Arial" w:eastAsiaTheme="minorHAnsi" w:hAnsi="Arial"/>
          <w:bCs/>
        </w:rPr>
        <w:t>with a high dwell time of 0.4s</w:t>
      </w:r>
      <w:r>
        <w:rPr>
          <w:rFonts w:ascii="Arial" w:eastAsiaTheme="minorHAnsi" w:hAnsi="Arial"/>
          <w:bCs/>
        </w:rPr>
        <w:t xml:space="preserve"> and 9</w:t>
      </w:r>
      <w:r w:rsidR="00330FE5">
        <w:rPr>
          <w:rFonts w:ascii="Arial" w:eastAsiaTheme="minorHAnsi" w:hAnsi="Arial"/>
          <w:bCs/>
        </w:rPr>
        <w:t>s</w:t>
      </w:r>
      <w:r>
        <w:rPr>
          <w:rFonts w:ascii="Arial" w:eastAsiaTheme="minorHAnsi" w:hAnsi="Arial"/>
          <w:bCs/>
        </w:rPr>
        <w:t xml:space="preserve"> low dwell ‘rest interval’ between each cycle</w:t>
      </w:r>
      <w:r w:rsidR="00A33A3C">
        <w:rPr>
          <w:rFonts w:ascii="Arial" w:eastAsiaTheme="minorHAnsi" w:hAnsi="Arial"/>
          <w:bCs/>
        </w:rPr>
        <w:t xml:space="preserve"> </w:t>
      </w:r>
      <w:r w:rsidR="002543FC">
        <w:rPr>
          <w:rFonts w:ascii="Arial" w:eastAsiaTheme="minorHAnsi" w:hAnsi="Arial"/>
          <w:bCs/>
        </w:rPr>
        <w:fldChar w:fldCharType="begin"/>
      </w:r>
      <w:r w:rsidR="0000415D">
        <w:rPr>
          <w:rFonts w:ascii="Arial" w:eastAsiaTheme="minorHAnsi" w:hAnsi="Arial"/>
          <w:bCs/>
        </w:rPr>
        <w:instrText xml:space="preserve"> ADDIN EN.CITE &lt;EndNote&gt;&lt;Cite&gt;&lt;Author&gt;Srinivasan&lt;/Author&gt;&lt;Year&gt;2002&lt;/Year&gt;&lt;RecNum&gt;280&lt;/RecNum&gt;&lt;DisplayText&gt;(Srinivasan et al., 2002)&lt;/DisplayText&gt;&lt;record&gt;&lt;rec-number&gt;280&lt;/rec-number&gt;&lt;foreign-keys&gt;&lt;key app="EN" db-id="ae9rewfrpdttrheppfxxv0p4950wpd25r09x" timestamp="1520658272"&gt;280&lt;/key&gt;&lt;key app="ENWeb" db-id=""&gt;0&lt;/key&gt;&lt;/foreign-keys&gt;&lt;ref-type name="Journal Article"&gt;17&lt;/ref-type&gt;&lt;contributors&gt;&lt;authors&gt;&lt;author&gt;Srinivasan, Sundar&lt;/author&gt;&lt;author&gt;Weimer, David A.&lt;/author&gt;&lt;author&gt;Agans, Steven C.&lt;/author&gt;&lt;author&gt;Bain, Steven D.&lt;/author&gt;&lt;author&gt;Gross, Ted S.&lt;/author&gt;&lt;/authors&gt;&lt;/contributors&gt;&lt;titles&gt;&lt;title&gt;Low-magnitude mechanical loading becomes osteogenic when rest is inserted between each load cycle&lt;/title&gt;&lt;secondary-title&gt;Journal of  Bone and Mineral Research&lt;/secondary-title&gt;&lt;/titles&gt;&lt;periodical&gt;&lt;full-title&gt;Journal of  Bone and Mineral Research&lt;/full-title&gt;&lt;/periodical&gt;&lt;pages&gt;1613-20&lt;/pages&gt;&lt;volume&gt;17&lt;/volume&gt;&lt;number&gt;9&lt;/number&gt;&lt;keywords&gt;&lt;keyword&gt;Osteogenesis -- Physiology&lt;/keyword&gt;&lt;/keywords&gt;&lt;dates&gt;&lt;year&gt;2002&lt;/year&gt;&lt;/dates&gt;&lt;isbn&gt;0884-0431&lt;/isbn&gt;&lt;urls&gt;&lt;/urls&gt;&lt;/record&gt;&lt;/Cite&gt;&lt;/EndNote&gt;</w:instrText>
      </w:r>
      <w:r w:rsidR="002543FC">
        <w:rPr>
          <w:rFonts w:ascii="Arial" w:eastAsiaTheme="minorHAnsi" w:hAnsi="Arial"/>
          <w:bCs/>
        </w:rPr>
        <w:fldChar w:fldCharType="separate"/>
      </w:r>
      <w:r w:rsidR="002543FC">
        <w:rPr>
          <w:rFonts w:ascii="Arial" w:eastAsiaTheme="minorHAnsi" w:hAnsi="Arial"/>
          <w:bCs/>
          <w:noProof/>
        </w:rPr>
        <w:t>(Srinivasan et al., 2002)</w:t>
      </w:r>
      <w:r w:rsidR="002543FC">
        <w:rPr>
          <w:rFonts w:ascii="Arial" w:eastAsiaTheme="minorHAnsi" w:hAnsi="Arial"/>
          <w:bCs/>
        </w:rPr>
        <w:fldChar w:fldCharType="end"/>
      </w:r>
      <w:r>
        <w:rPr>
          <w:rFonts w:ascii="Arial" w:eastAsiaTheme="minorHAnsi" w:hAnsi="Arial"/>
          <w:bCs/>
        </w:rPr>
        <w:t>. The load was applied to engender the required magnitude of strain on the bones of animals in each of the age groups</w:t>
      </w:r>
      <w:r w:rsidR="004805A2">
        <w:rPr>
          <w:rFonts w:ascii="Arial" w:eastAsiaTheme="minorHAnsi" w:hAnsi="Arial"/>
          <w:bCs/>
        </w:rPr>
        <w:t xml:space="preserve"> </w:t>
      </w:r>
      <w:r w:rsidR="004805A2">
        <w:rPr>
          <w:rFonts w:ascii="Arial" w:eastAsiaTheme="minorHAnsi" w:hAnsi="Arial"/>
          <w:bCs/>
        </w:rPr>
        <w:fldChar w:fldCharType="begin"/>
      </w:r>
      <w:r w:rsidR="0000415D">
        <w:rPr>
          <w:rFonts w:ascii="Arial" w:eastAsiaTheme="minorHAnsi" w:hAnsi="Arial"/>
          <w:bCs/>
        </w:rPr>
        <w:instrText xml:space="preserve"> ADDIN EN.CITE &lt;EndNote&gt;&lt;Cite&gt;&lt;Author&gt;Meakin&lt;/Author&gt;&lt;Year&gt;2014&lt;/Year&gt;&lt;RecNum&gt;406&lt;/RecNum&gt;&lt;DisplayText&gt;(Meakin et al., 2014)&lt;/DisplayText&gt;&lt;record&gt;&lt;rec-number&gt;406&lt;/rec-number&gt;&lt;foreign-keys&gt;&lt;key app="EN" db-id="ae9rewfrpdttrheppfxxv0p4950wpd25r09x" timestamp="1520658303"&gt;406&lt;/key&gt;&lt;/foreign-keys&gt;&lt;ref-type name="Journal Article"&gt;17&lt;/ref-type&gt;&lt;contributors&gt;&lt;authors&gt;&lt;author&gt;Meakin, Lee B.&lt;/author&gt;&lt;author&gt;Galea, Gabriel L.&lt;/author&gt;&lt;author&gt;Sugiyama, Toshihiro&lt;/author&gt;&lt;author&gt;Lanyon, Lance E.&lt;/author&gt;&lt;author&gt;Price, Joanna S.&lt;/author&gt;&lt;/authors&gt;&lt;/contributors&gt;&lt;titles&gt;&lt;title&gt;Age</w:instrText>
      </w:r>
      <w:r w:rsidR="0000415D">
        <w:rPr>
          <w:rFonts w:ascii="American Typewriter" w:eastAsiaTheme="minorHAnsi" w:hAnsi="American Typewriter" w:cs="American Typewriter"/>
          <w:bCs/>
        </w:rPr>
        <w:instrText>‐</w:instrText>
      </w:r>
      <w:r w:rsidR="0000415D">
        <w:rPr>
          <w:rFonts w:ascii="Arial" w:eastAsiaTheme="minorHAnsi" w:hAnsi="Arial"/>
          <w:bCs/>
        </w:rPr>
        <w:instrText xml:space="preserve"> Related Impairment of Bones&amp;apos; Adaptive Response to Loading in Mice Is Associated With Sex</w:instrText>
      </w:r>
      <w:r w:rsidR="0000415D">
        <w:rPr>
          <w:rFonts w:ascii="American Typewriter" w:eastAsiaTheme="minorHAnsi" w:hAnsi="American Typewriter" w:cs="American Typewriter"/>
          <w:bCs/>
        </w:rPr>
        <w:instrText>‐</w:instrText>
      </w:r>
      <w:r w:rsidR="0000415D">
        <w:rPr>
          <w:rFonts w:ascii="Arial" w:eastAsiaTheme="minorHAnsi" w:hAnsi="Arial"/>
          <w:bCs/>
        </w:rPr>
        <w:instrText xml:space="preserve"> Related Deficiencies in Osteoblasts but No Change in Osteocytes&lt;/title&gt;&lt;secondary-title&gt;Journal of Bone and Mineral Research&lt;/secondary-title&gt;&lt;/titles&gt;&lt;periodical&gt;&lt;full-title&gt;Journal of Bone and Mineral Research&lt;/full-title&gt;&lt;/periodical&gt;&lt;pages&gt;1859-1871&lt;/pages&gt;&lt;volume&gt;29&lt;/volume&gt;&lt;number&gt;8&lt;/number&gt;&lt;keywords&gt;&lt;keyword&gt;Aging&lt;/keyword&gt;&lt;keyword&gt;Osteoblasts&lt;/keyword&gt;&lt;keyword&gt;Mechanical Loading&lt;/keyword&gt;&lt;/keywords&gt;&lt;dates&gt;&lt;year&gt;2014&lt;/year&gt;&lt;/dates&gt;&lt;isbn&gt;0884-0431&lt;/isbn&gt;&lt;urls&gt;&lt;/urls&gt;&lt;electronic-resource-num&gt;10.1002/jbmr.2222&lt;/electronic-resource-num&gt;&lt;/record&gt;&lt;/Cite&gt;&lt;/EndNote&gt;</w:instrText>
      </w:r>
      <w:r w:rsidR="004805A2">
        <w:rPr>
          <w:rFonts w:ascii="Arial" w:eastAsiaTheme="minorHAnsi" w:hAnsi="Arial"/>
          <w:bCs/>
        </w:rPr>
        <w:fldChar w:fldCharType="separate"/>
      </w:r>
      <w:r w:rsidR="004805A2">
        <w:rPr>
          <w:rFonts w:ascii="Arial" w:eastAsiaTheme="minorHAnsi" w:hAnsi="Arial"/>
          <w:bCs/>
          <w:noProof/>
        </w:rPr>
        <w:t>(Meakin et al., 2014)</w:t>
      </w:r>
      <w:r w:rsidR="004805A2">
        <w:rPr>
          <w:rFonts w:ascii="Arial" w:eastAsiaTheme="minorHAnsi" w:hAnsi="Arial"/>
          <w:bCs/>
        </w:rPr>
        <w:fldChar w:fldCharType="end"/>
      </w:r>
      <w:r w:rsidR="00404421">
        <w:rPr>
          <w:rFonts w:ascii="Arial" w:eastAsiaTheme="minorHAnsi" w:hAnsi="Arial"/>
          <w:bCs/>
        </w:rPr>
        <w:t>.</w:t>
      </w:r>
      <w:r>
        <w:rPr>
          <w:rFonts w:ascii="Arial" w:eastAsiaTheme="minorHAnsi" w:hAnsi="Arial"/>
          <w:bCs/>
        </w:rPr>
        <w:t xml:space="preserve"> The engendered average strain rate was 30000</w:t>
      </w:r>
      <w:r>
        <w:rPr>
          <w:rFonts w:ascii="Arial" w:eastAsiaTheme="minorHAnsi" w:hAnsi="Arial" w:cs="Arial"/>
          <w:bCs/>
        </w:rPr>
        <w:t>με</w:t>
      </w:r>
      <w:r>
        <w:rPr>
          <w:rFonts w:ascii="Arial" w:eastAsiaTheme="minorHAnsi" w:hAnsi="Arial"/>
          <w:bCs/>
        </w:rPr>
        <w:t>/s, which previously was shown</w:t>
      </w:r>
      <w:r>
        <w:rPr>
          <w:rFonts w:ascii="Arial" w:eastAsiaTheme="minorHAnsi" w:hAnsi="Arial"/>
          <w:bCs/>
          <w:noProof/>
        </w:rPr>
        <w:t xml:space="preserve"> </w:t>
      </w:r>
      <w:r>
        <w:rPr>
          <w:rFonts w:ascii="Arial" w:eastAsiaTheme="minorHAnsi" w:hAnsi="Arial"/>
          <w:bCs/>
        </w:rPr>
        <w:t>to be equivalent to physiological strain rates</w:t>
      </w:r>
      <w:r w:rsidRPr="00D13054">
        <w:rPr>
          <w:rFonts w:ascii="Arial" w:eastAsiaTheme="minorHAnsi" w:hAnsi="Arial"/>
          <w:bCs/>
          <w:noProof/>
        </w:rPr>
        <w:t xml:space="preserve"> </w:t>
      </w:r>
      <w:r w:rsidR="00042E8E">
        <w:rPr>
          <w:rFonts w:ascii="Arial" w:eastAsiaTheme="minorHAnsi" w:hAnsi="Arial"/>
          <w:bCs/>
          <w:noProof/>
        </w:rPr>
        <w:fldChar w:fldCharType="begin"/>
      </w:r>
      <w:r w:rsidR="00A108A1">
        <w:rPr>
          <w:rFonts w:ascii="Arial" w:eastAsiaTheme="minorHAnsi" w:hAnsi="Arial"/>
          <w:bCs/>
          <w:noProof/>
        </w:rPr>
        <w:instrText xml:space="preserve"> ADDIN EN.CITE &lt;EndNote&gt;&lt;Cite&gt;&lt;Author&gt;Fritton&lt;/Author&gt;&lt;Year&gt;2001&lt;/Year&gt;&lt;RecNum&gt;407&lt;/RecNum&gt;&lt;DisplayText&gt;(Fritton and Rubin, 2001)&lt;/DisplayText&gt;&lt;record&gt;&lt;rec-number&gt;407&lt;/rec-number&gt;&lt;foreign-keys&gt;&lt;key app="EN" db-id="ae9rewfrpdttrheppfxxv0p4950wpd25r09x" timestamp="1520658304"&gt;407&lt;/key&gt;&lt;/foreign-keys&gt;&lt;ref-type name="Book Section"&gt;5&lt;/ref-type&gt;&lt;contributors&gt;&lt;authors&gt;&lt;author&gt;Fritton, S. P., &lt;/author&gt;&lt;author&gt;Rubin,  C. T.&lt;/author&gt;&lt;/authors&gt;&lt;secondary-authors&gt;&lt;author&gt;Crowin, S. C.&lt;/author&gt;&lt;/secondary-authors&gt;&lt;/contributors&gt;&lt;titles&gt;&lt;title&gt;In vivo measurement of bone deformations using strain gauges.&lt;/title&gt;&lt;secondary-title&gt;Bone mechanics handbook.&lt;/secondary-title&gt;&lt;/titles&gt;&lt;pages&gt;8.1-8.41&lt;/pages&gt;&lt;dates&gt;&lt;year&gt;2001&lt;/year&gt;&lt;/dates&gt;&lt;pub-location&gt;Boca Raton, FL&lt;/pub-location&gt;&lt;publisher&gt;CRC Press&lt;/publisher&gt;&lt;urls&gt;&lt;/urls&gt;&lt;/record&gt;&lt;/Cite&gt;&lt;/EndNote&gt;</w:instrText>
      </w:r>
      <w:r w:rsidR="00042E8E">
        <w:rPr>
          <w:rFonts w:ascii="Arial" w:eastAsiaTheme="minorHAnsi" w:hAnsi="Arial"/>
          <w:bCs/>
          <w:noProof/>
        </w:rPr>
        <w:fldChar w:fldCharType="separate"/>
      </w:r>
      <w:r w:rsidR="00042E8E">
        <w:rPr>
          <w:rFonts w:ascii="Arial" w:eastAsiaTheme="minorHAnsi" w:hAnsi="Arial"/>
          <w:bCs/>
          <w:noProof/>
        </w:rPr>
        <w:t>(Fritton and Rubin, 2001)</w:t>
      </w:r>
      <w:r w:rsidR="00042E8E">
        <w:rPr>
          <w:rFonts w:ascii="Arial" w:eastAsiaTheme="minorHAnsi" w:hAnsi="Arial"/>
          <w:bCs/>
          <w:noProof/>
        </w:rPr>
        <w:fldChar w:fldCharType="end"/>
      </w:r>
      <w:r w:rsidR="00042E8E">
        <w:rPr>
          <w:rFonts w:ascii="Arial" w:eastAsiaTheme="minorHAnsi" w:hAnsi="Arial"/>
          <w:bCs/>
          <w:noProof/>
        </w:rPr>
        <w:t>.</w:t>
      </w:r>
    </w:p>
    <w:p w14:paraId="39DE7003" w14:textId="77777777" w:rsidR="00042E8E" w:rsidRDefault="00042E8E" w:rsidP="00072879">
      <w:pPr>
        <w:spacing w:line="480" w:lineRule="auto"/>
        <w:jc w:val="both"/>
        <w:rPr>
          <w:rFonts w:ascii="Arial" w:eastAsiaTheme="minorHAnsi" w:hAnsi="Arial"/>
          <w:bCs/>
        </w:rPr>
      </w:pPr>
    </w:p>
    <w:p w14:paraId="257BE7E0" w14:textId="77777777" w:rsidR="00485178" w:rsidRDefault="00485178" w:rsidP="00485178">
      <w:pPr>
        <w:keepNext/>
        <w:spacing w:line="480" w:lineRule="auto"/>
        <w:jc w:val="both"/>
      </w:pPr>
      <w:r>
        <w:rPr>
          <w:noProof/>
          <w:lang w:val="en-US"/>
        </w:rPr>
        <w:drawing>
          <wp:inline distT="0" distB="0" distL="0" distR="0" wp14:anchorId="3F1D7A15" wp14:editId="68E147E0">
            <wp:extent cx="5589639" cy="1892300"/>
            <wp:effectExtent l="0" t="0" r="0" b="0"/>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Lst>
                    </a:blip>
                    <a:srcRect t="10205" b="12125"/>
                    <a:stretch/>
                  </pic:blipFill>
                  <pic:spPr bwMode="auto">
                    <a:xfrm>
                      <a:off x="0" y="0"/>
                      <a:ext cx="5589639" cy="1892300"/>
                    </a:xfrm>
                    <a:prstGeom prst="rect">
                      <a:avLst/>
                    </a:prstGeom>
                    <a:ln>
                      <a:noFill/>
                    </a:ln>
                    <a:extLst>
                      <a:ext uri="{53640926-AAD7-44d8-BBD7-CCE9431645EC}">
                        <a14:shadowObscured xmlns:a14="http://schemas.microsoft.com/office/drawing/2010/main"/>
                      </a:ext>
                    </a:extLst>
                  </pic:spPr>
                </pic:pic>
              </a:graphicData>
            </a:graphic>
          </wp:inline>
        </w:drawing>
      </w:r>
    </w:p>
    <w:p w14:paraId="1D7B4C7A" w14:textId="77777777" w:rsidR="00485178" w:rsidRPr="00485178" w:rsidRDefault="00485178" w:rsidP="00485178">
      <w:pPr>
        <w:pStyle w:val="Caption"/>
        <w:spacing w:line="360" w:lineRule="auto"/>
        <w:jc w:val="both"/>
        <w:rPr>
          <w:rFonts w:ascii="Arial" w:eastAsiaTheme="minorHAnsi" w:hAnsi="Arial" w:cs="Arial"/>
          <w:bCs w:val="0"/>
          <w:color w:val="244061" w:themeColor="accent1" w:themeShade="80"/>
          <w:sz w:val="24"/>
          <w:szCs w:val="24"/>
        </w:rPr>
      </w:pPr>
      <w:bookmarkStart w:id="46" w:name="_Toc383544602"/>
      <w:r w:rsidRPr="00485178">
        <w:rPr>
          <w:rFonts w:ascii="Arial" w:hAnsi="Arial" w:cs="Arial"/>
          <w:color w:val="244061" w:themeColor="accent1" w:themeShade="80"/>
          <w:sz w:val="24"/>
          <w:szCs w:val="24"/>
        </w:rPr>
        <w:t xml:space="preserve">Figure </w:t>
      </w:r>
      <w:r w:rsidRPr="00485178">
        <w:rPr>
          <w:rFonts w:ascii="Arial" w:hAnsi="Arial" w:cs="Arial"/>
          <w:color w:val="244061" w:themeColor="accent1" w:themeShade="80"/>
          <w:sz w:val="24"/>
          <w:szCs w:val="24"/>
        </w:rPr>
        <w:fldChar w:fldCharType="begin"/>
      </w:r>
      <w:r w:rsidRPr="00485178">
        <w:rPr>
          <w:rFonts w:ascii="Arial" w:hAnsi="Arial" w:cs="Arial"/>
          <w:color w:val="244061" w:themeColor="accent1" w:themeShade="80"/>
          <w:sz w:val="24"/>
          <w:szCs w:val="24"/>
        </w:rPr>
        <w:instrText xml:space="preserve"> SEQ Figure \* ARABIC </w:instrText>
      </w:r>
      <w:r w:rsidRPr="00485178">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11</w:t>
      </w:r>
      <w:r w:rsidRPr="00485178">
        <w:rPr>
          <w:rFonts w:ascii="Arial" w:hAnsi="Arial" w:cs="Arial"/>
          <w:color w:val="244061" w:themeColor="accent1" w:themeShade="80"/>
          <w:sz w:val="24"/>
          <w:szCs w:val="24"/>
        </w:rPr>
        <w:fldChar w:fldCharType="end"/>
      </w:r>
      <w:r w:rsidRPr="00485178">
        <w:rPr>
          <w:rFonts w:ascii="Arial" w:hAnsi="Arial" w:cs="Arial"/>
          <w:color w:val="244061" w:themeColor="accent1" w:themeShade="80"/>
          <w:sz w:val="24"/>
          <w:szCs w:val="24"/>
        </w:rPr>
        <w:t xml:space="preserve"> Schematic representation of the </w:t>
      </w:r>
      <w:r w:rsidRPr="00485178">
        <w:rPr>
          <w:rFonts w:ascii="Arial" w:hAnsi="Arial" w:cs="Arial"/>
          <w:i/>
          <w:color w:val="244061" w:themeColor="accent1" w:themeShade="80"/>
          <w:sz w:val="24"/>
          <w:szCs w:val="24"/>
        </w:rPr>
        <w:t xml:space="preserve">in vivo </w:t>
      </w:r>
      <w:r w:rsidRPr="00485178">
        <w:rPr>
          <w:rFonts w:ascii="Arial" w:hAnsi="Arial" w:cs="Arial"/>
          <w:color w:val="244061" w:themeColor="accent1" w:themeShade="80"/>
          <w:sz w:val="24"/>
          <w:szCs w:val="24"/>
        </w:rPr>
        <w:t>mechanical loading experimental design with fluorescence label</w:t>
      </w:r>
      <w:r w:rsidR="00B8625E">
        <w:rPr>
          <w:rFonts w:ascii="Arial" w:hAnsi="Arial" w:cs="Arial"/>
          <w:color w:val="244061" w:themeColor="accent1" w:themeShade="80"/>
          <w:sz w:val="24"/>
          <w:szCs w:val="24"/>
        </w:rPr>
        <w:t>ing</w:t>
      </w:r>
      <w:r w:rsidRPr="00485178">
        <w:rPr>
          <w:rFonts w:ascii="Arial" w:hAnsi="Arial" w:cs="Arial"/>
          <w:color w:val="244061" w:themeColor="accent1" w:themeShade="80"/>
          <w:sz w:val="24"/>
          <w:szCs w:val="24"/>
        </w:rPr>
        <w:t xml:space="preserve"> schedule</w:t>
      </w:r>
      <w:bookmarkEnd w:id="46"/>
      <w:r w:rsidRPr="00485178">
        <w:rPr>
          <w:rFonts w:ascii="Arial" w:hAnsi="Arial" w:cs="Arial"/>
          <w:color w:val="244061" w:themeColor="accent1" w:themeShade="80"/>
          <w:sz w:val="24"/>
          <w:szCs w:val="24"/>
        </w:rPr>
        <w:t xml:space="preserve"> </w:t>
      </w:r>
    </w:p>
    <w:p w14:paraId="1E319E78" w14:textId="77777777" w:rsidR="0061193F" w:rsidRPr="00B07D67" w:rsidRDefault="0061193F" w:rsidP="0061193F">
      <w:pPr>
        <w:tabs>
          <w:tab w:val="left" w:pos="1824"/>
        </w:tabs>
        <w:spacing w:line="360" w:lineRule="auto"/>
        <w:jc w:val="both"/>
        <w:rPr>
          <w:rFonts w:ascii="Arial" w:eastAsiaTheme="minorHAnsi" w:hAnsi="Arial" w:cs="Arial"/>
          <w:bCs/>
          <w:color w:val="000000" w:themeColor="text1"/>
          <w:sz w:val="22"/>
          <w:szCs w:val="22"/>
        </w:rPr>
      </w:pPr>
      <w:r w:rsidRPr="00B07D67">
        <w:rPr>
          <w:rFonts w:ascii="Arial" w:eastAsiaTheme="minorHAnsi" w:hAnsi="Arial" w:cs="Arial"/>
          <w:bCs/>
          <w:color w:val="000000" w:themeColor="text1"/>
          <w:sz w:val="22"/>
          <w:szCs w:val="22"/>
        </w:rPr>
        <w:t xml:space="preserve">Right tibiae of the mice were loaded on alternate days for 2 weeks. Calcein </w:t>
      </w:r>
      <w:r>
        <w:rPr>
          <w:rFonts w:ascii="Arial" w:eastAsiaTheme="minorHAnsi" w:hAnsi="Arial" w:cs="Arial"/>
          <w:bCs/>
          <w:color w:val="000000" w:themeColor="text1"/>
          <w:sz w:val="22"/>
          <w:szCs w:val="22"/>
        </w:rPr>
        <w:t>was</w:t>
      </w:r>
      <w:r w:rsidRPr="00B07D67">
        <w:rPr>
          <w:rFonts w:ascii="Arial" w:eastAsiaTheme="minorHAnsi" w:hAnsi="Arial" w:cs="Arial"/>
          <w:bCs/>
          <w:color w:val="000000" w:themeColor="text1"/>
          <w:sz w:val="22"/>
          <w:szCs w:val="22"/>
        </w:rPr>
        <w:t xml:space="preserve"> injected </w:t>
      </w:r>
      <w:r>
        <w:rPr>
          <w:rFonts w:ascii="Arial" w:eastAsiaTheme="minorHAnsi" w:hAnsi="Arial" w:cs="Arial"/>
          <w:bCs/>
          <w:color w:val="000000" w:themeColor="text1"/>
          <w:sz w:val="22"/>
          <w:szCs w:val="22"/>
        </w:rPr>
        <w:t xml:space="preserve">subcutaneously </w:t>
      </w:r>
      <w:r w:rsidRPr="00B07D67">
        <w:rPr>
          <w:rFonts w:ascii="Arial" w:eastAsiaTheme="minorHAnsi" w:hAnsi="Arial" w:cs="Arial"/>
          <w:bCs/>
          <w:color w:val="000000" w:themeColor="text1"/>
          <w:sz w:val="22"/>
          <w:szCs w:val="22"/>
        </w:rPr>
        <w:t>into the mice on day 1 and day 12 of mechanical loading</w:t>
      </w:r>
      <w:r>
        <w:rPr>
          <w:rFonts w:ascii="Arial" w:eastAsiaTheme="minorHAnsi" w:hAnsi="Arial" w:cs="Arial"/>
          <w:bCs/>
          <w:color w:val="000000" w:themeColor="text1"/>
          <w:sz w:val="22"/>
          <w:szCs w:val="22"/>
        </w:rPr>
        <w:t xml:space="preserve"> and confirmed by monitoring mice urine colours. </w:t>
      </w:r>
      <w:r w:rsidRPr="00B07D67">
        <w:rPr>
          <w:rFonts w:ascii="Arial" w:eastAsiaTheme="minorHAnsi" w:hAnsi="Arial" w:cs="Arial"/>
          <w:bCs/>
          <w:color w:val="000000" w:themeColor="text1"/>
          <w:sz w:val="22"/>
          <w:szCs w:val="22"/>
        </w:rPr>
        <w:t>All mice were culled on day 15 by Schedule 1 method.</w:t>
      </w:r>
    </w:p>
    <w:p w14:paraId="70991345" w14:textId="77777777" w:rsidR="00A80EB0" w:rsidRDefault="00A80EB0" w:rsidP="0061193F">
      <w:pPr>
        <w:tabs>
          <w:tab w:val="left" w:pos="1824"/>
        </w:tabs>
        <w:jc w:val="both"/>
        <w:rPr>
          <w:rFonts w:ascii="Arial" w:eastAsiaTheme="minorHAnsi" w:hAnsi="Arial" w:cs="Arial"/>
          <w:bCs/>
          <w:color w:val="1F497D" w:themeColor="text2"/>
        </w:rPr>
      </w:pPr>
    </w:p>
    <w:p w14:paraId="3B852851" w14:textId="77777777" w:rsidR="00A80EB0" w:rsidRPr="00A80EB0" w:rsidRDefault="00A80EB0" w:rsidP="00A80EB0">
      <w:pPr>
        <w:rPr>
          <w:rFonts w:ascii="Arial" w:eastAsiaTheme="minorHAnsi" w:hAnsi="Arial" w:cs="Arial"/>
        </w:rPr>
      </w:pPr>
    </w:p>
    <w:p w14:paraId="7E6874C7" w14:textId="77777777" w:rsidR="00A80EB0" w:rsidRPr="00A80EB0" w:rsidRDefault="00A80EB0" w:rsidP="00A80EB0">
      <w:pPr>
        <w:rPr>
          <w:rFonts w:ascii="Arial" w:eastAsiaTheme="minorHAnsi" w:hAnsi="Arial" w:cs="Arial"/>
        </w:rPr>
      </w:pPr>
    </w:p>
    <w:p w14:paraId="0854EFD5" w14:textId="77777777" w:rsidR="00A80EB0" w:rsidRPr="00A80EB0" w:rsidRDefault="00A80EB0" w:rsidP="00A80EB0">
      <w:pPr>
        <w:rPr>
          <w:rFonts w:ascii="Arial" w:eastAsiaTheme="minorHAnsi" w:hAnsi="Arial" w:cs="Arial"/>
        </w:rPr>
      </w:pPr>
    </w:p>
    <w:p w14:paraId="3D816378" w14:textId="77777777" w:rsidR="00A80EB0" w:rsidRPr="00A80EB0" w:rsidRDefault="00A80EB0" w:rsidP="00A80EB0">
      <w:pPr>
        <w:rPr>
          <w:rFonts w:ascii="Arial" w:eastAsiaTheme="minorHAnsi" w:hAnsi="Arial" w:cs="Arial"/>
        </w:rPr>
      </w:pPr>
    </w:p>
    <w:p w14:paraId="27D1C910" w14:textId="77777777" w:rsidR="00A80EB0" w:rsidRPr="00A80EB0" w:rsidRDefault="00A80EB0" w:rsidP="00A80EB0">
      <w:pPr>
        <w:rPr>
          <w:rFonts w:ascii="Arial" w:eastAsiaTheme="minorHAnsi" w:hAnsi="Arial" w:cs="Arial"/>
        </w:rPr>
      </w:pPr>
    </w:p>
    <w:p w14:paraId="361B35D1" w14:textId="77777777" w:rsidR="00A80EB0" w:rsidRPr="00A80EB0" w:rsidRDefault="00A80EB0" w:rsidP="00A80EB0">
      <w:pPr>
        <w:rPr>
          <w:rFonts w:ascii="Arial" w:eastAsiaTheme="minorHAnsi" w:hAnsi="Arial" w:cs="Arial"/>
        </w:rPr>
      </w:pPr>
    </w:p>
    <w:p w14:paraId="4CEC65F2" w14:textId="77777777" w:rsidR="00A80EB0" w:rsidRPr="00A80EB0" w:rsidRDefault="00A80EB0" w:rsidP="00A80EB0">
      <w:pPr>
        <w:rPr>
          <w:rFonts w:ascii="Arial" w:eastAsiaTheme="minorHAnsi" w:hAnsi="Arial" w:cs="Arial"/>
        </w:rPr>
      </w:pPr>
    </w:p>
    <w:p w14:paraId="240FD8A5" w14:textId="77777777" w:rsidR="00A80EB0" w:rsidRPr="00A80EB0" w:rsidRDefault="00A80EB0" w:rsidP="00A80EB0">
      <w:pPr>
        <w:rPr>
          <w:rFonts w:ascii="Arial" w:eastAsiaTheme="minorHAnsi" w:hAnsi="Arial" w:cs="Arial"/>
        </w:rPr>
      </w:pPr>
    </w:p>
    <w:p w14:paraId="0EF702B8" w14:textId="77777777" w:rsidR="00A80EB0" w:rsidRPr="00A80EB0" w:rsidRDefault="00A80EB0" w:rsidP="00A80EB0">
      <w:pPr>
        <w:rPr>
          <w:rFonts w:ascii="Arial" w:eastAsiaTheme="minorHAnsi" w:hAnsi="Arial" w:cs="Arial"/>
        </w:rPr>
      </w:pPr>
    </w:p>
    <w:p w14:paraId="352FF8FA" w14:textId="77777777" w:rsidR="00A80EB0" w:rsidRDefault="00A80EB0" w:rsidP="00A80EB0">
      <w:pPr>
        <w:rPr>
          <w:rFonts w:ascii="Arial" w:eastAsiaTheme="minorHAnsi" w:hAnsi="Arial" w:cs="Arial"/>
        </w:rPr>
      </w:pPr>
    </w:p>
    <w:p w14:paraId="0C6F6823" w14:textId="77777777" w:rsidR="00A80EB0" w:rsidRDefault="00A80EB0" w:rsidP="00A80EB0">
      <w:pPr>
        <w:tabs>
          <w:tab w:val="left" w:pos="3915"/>
        </w:tabs>
        <w:jc w:val="both"/>
        <w:rPr>
          <w:rFonts w:ascii="Arial" w:eastAsiaTheme="minorHAnsi" w:hAnsi="Arial" w:cs="Arial"/>
          <w:b/>
          <w:bCs/>
          <w:color w:val="244061" w:themeColor="accent1" w:themeShade="80"/>
        </w:rPr>
      </w:pPr>
    </w:p>
    <w:p w14:paraId="28FACDF9" w14:textId="77777777" w:rsidR="00A80EB0" w:rsidRDefault="00A80EB0" w:rsidP="00A80EB0">
      <w:pPr>
        <w:tabs>
          <w:tab w:val="left" w:pos="3915"/>
        </w:tabs>
        <w:jc w:val="both"/>
        <w:rPr>
          <w:rFonts w:ascii="Arial" w:eastAsiaTheme="minorHAnsi" w:hAnsi="Arial" w:cs="Arial"/>
          <w:b/>
          <w:bCs/>
          <w:color w:val="244061" w:themeColor="accent1" w:themeShade="80"/>
        </w:rPr>
      </w:pPr>
    </w:p>
    <w:p w14:paraId="38BC9955" w14:textId="77777777" w:rsidR="00A80EB0" w:rsidRDefault="00A80EB0" w:rsidP="00A80EB0">
      <w:pPr>
        <w:tabs>
          <w:tab w:val="left" w:pos="3915"/>
        </w:tabs>
        <w:jc w:val="both"/>
        <w:rPr>
          <w:rFonts w:ascii="Arial" w:eastAsiaTheme="minorHAnsi" w:hAnsi="Arial" w:cs="Arial"/>
          <w:b/>
          <w:bCs/>
          <w:color w:val="244061" w:themeColor="accent1" w:themeShade="80"/>
        </w:rPr>
      </w:pPr>
    </w:p>
    <w:p w14:paraId="36531D7C" w14:textId="77777777" w:rsidR="004024BD" w:rsidRDefault="004024BD" w:rsidP="004024BD">
      <w:pPr>
        <w:tabs>
          <w:tab w:val="left" w:pos="3915"/>
        </w:tabs>
        <w:rPr>
          <w:rFonts w:ascii="Arial" w:eastAsiaTheme="minorHAnsi" w:hAnsi="Arial" w:cs="Arial"/>
          <w:b/>
          <w:bCs/>
          <w:color w:val="244061" w:themeColor="accent1" w:themeShade="80"/>
        </w:rPr>
      </w:pPr>
    </w:p>
    <w:p w14:paraId="2D9EDC17" w14:textId="77777777" w:rsidR="00A80EB0" w:rsidRPr="00947EE3" w:rsidRDefault="00D44D44" w:rsidP="004024BD">
      <w:pPr>
        <w:tabs>
          <w:tab w:val="left" w:pos="3915"/>
        </w:tabs>
        <w:rPr>
          <w:rFonts w:ascii="Arial" w:eastAsiaTheme="minorHAnsi" w:hAnsi="Arial" w:cs="Arial"/>
          <w:b/>
          <w:bCs/>
          <w:sz w:val="28"/>
          <w:szCs w:val="28"/>
        </w:rPr>
      </w:pPr>
      <w:r w:rsidRPr="00FE0906">
        <w:rPr>
          <w:noProof/>
          <w:lang w:val="en-US"/>
        </w:rPr>
        <w:drawing>
          <wp:anchor distT="0" distB="0" distL="114300" distR="114300" simplePos="0" relativeHeight="251666432" behindDoc="0" locked="0" layoutInCell="1" allowOverlap="1" wp14:anchorId="258F4AD2" wp14:editId="05362A17">
            <wp:simplePos x="0" y="0"/>
            <wp:positionH relativeFrom="column">
              <wp:posOffset>1828800</wp:posOffset>
            </wp:positionH>
            <wp:positionV relativeFrom="paragraph">
              <wp:posOffset>0</wp:posOffset>
            </wp:positionV>
            <wp:extent cx="2286000" cy="3105150"/>
            <wp:effectExtent l="177800" t="177800" r="381000" b="374650"/>
            <wp:wrapSquare wrapText="bothSides"/>
            <wp:docPr id="1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36">
                      <a:lum/>
                      <a:extLst>
                        <a:ext uri="{28A0092B-C50C-407E-A947-70E740481C1C}">
                          <a14:useLocalDpi xmlns:a14="http://schemas.microsoft.com/office/drawing/2010/main" val="0"/>
                        </a:ext>
                      </a:extLst>
                    </a:blip>
                    <a:srcRect/>
                    <a:stretch>
                      <a:fillRect/>
                    </a:stretch>
                  </pic:blipFill>
                  <pic:spPr bwMode="auto">
                    <a:xfrm>
                      <a:off x="0" y="0"/>
                      <a:ext cx="2286000" cy="3105150"/>
                    </a:xfrm>
                    <a:prstGeom prst="rect">
                      <a:avLst/>
                    </a:prstGeom>
                    <a:ln>
                      <a:solidFill>
                        <a:schemeClr val="tx1"/>
                      </a:solid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80EB0" w:rsidRPr="00947EE3">
        <w:rPr>
          <w:rFonts w:ascii="Arial" w:eastAsiaTheme="minorHAnsi" w:hAnsi="Arial" w:cs="Arial"/>
          <w:b/>
          <w:bCs/>
          <w:sz w:val="28"/>
          <w:szCs w:val="28"/>
        </w:rPr>
        <w:t>A</w:t>
      </w:r>
      <w:r w:rsidR="00A80EB0" w:rsidRPr="00947EE3">
        <w:rPr>
          <w:rFonts w:ascii="Arial" w:eastAsiaTheme="minorHAnsi" w:hAnsi="Arial" w:cs="Arial"/>
          <w:b/>
          <w:bCs/>
          <w:sz w:val="28"/>
          <w:szCs w:val="28"/>
        </w:rPr>
        <w:tab/>
        <w:t xml:space="preserve"> </w:t>
      </w:r>
    </w:p>
    <w:p w14:paraId="426E211E" w14:textId="77777777" w:rsidR="0061193F" w:rsidRPr="00A80EB0" w:rsidRDefault="0061193F" w:rsidP="00A80EB0">
      <w:pPr>
        <w:rPr>
          <w:rFonts w:ascii="Arial" w:eastAsiaTheme="minorHAnsi" w:hAnsi="Arial" w:cs="Arial"/>
        </w:rPr>
      </w:pPr>
    </w:p>
    <w:p w14:paraId="15F94FAC" w14:textId="77777777" w:rsidR="0061193F" w:rsidRDefault="0061193F" w:rsidP="004024BD">
      <w:pPr>
        <w:tabs>
          <w:tab w:val="left" w:pos="1824"/>
        </w:tabs>
        <w:jc w:val="both"/>
        <w:rPr>
          <w:rFonts w:ascii="Arial" w:eastAsiaTheme="minorHAnsi" w:hAnsi="Arial" w:cs="Arial"/>
          <w:bCs/>
          <w:color w:val="1F497D" w:themeColor="text2"/>
        </w:rPr>
      </w:pPr>
    </w:p>
    <w:p w14:paraId="18722FCF" w14:textId="77777777" w:rsidR="0061193F" w:rsidRDefault="0061193F" w:rsidP="0061193F">
      <w:pPr>
        <w:tabs>
          <w:tab w:val="left" w:pos="1824"/>
        </w:tabs>
        <w:jc w:val="both"/>
        <w:rPr>
          <w:rFonts w:ascii="Arial" w:eastAsiaTheme="minorHAnsi" w:hAnsi="Arial" w:cs="Arial"/>
          <w:bCs/>
          <w:color w:val="1F497D" w:themeColor="text2"/>
        </w:rPr>
      </w:pPr>
    </w:p>
    <w:p w14:paraId="6FA0E61F" w14:textId="77777777" w:rsidR="00A5319D" w:rsidRPr="00A5319D" w:rsidRDefault="00A5319D" w:rsidP="00C22E9E">
      <w:pPr>
        <w:ind w:left="-142"/>
        <w:rPr>
          <w:rFonts w:ascii="Arial" w:eastAsiaTheme="minorHAnsi" w:hAnsi="Arial" w:cs="Arial"/>
        </w:rPr>
      </w:pPr>
    </w:p>
    <w:p w14:paraId="0AA92FDF" w14:textId="77777777" w:rsidR="004024BD" w:rsidRPr="004024BD" w:rsidRDefault="004024BD" w:rsidP="004024BD">
      <w:pPr>
        <w:rPr>
          <w:rFonts w:ascii="Arial" w:eastAsiaTheme="minorHAnsi" w:hAnsi="Arial" w:cs="Arial"/>
        </w:rPr>
      </w:pPr>
    </w:p>
    <w:p w14:paraId="179E3430" w14:textId="77777777" w:rsidR="004024BD" w:rsidRPr="004024BD" w:rsidRDefault="004024BD" w:rsidP="004024BD">
      <w:pPr>
        <w:rPr>
          <w:rFonts w:ascii="Arial" w:eastAsiaTheme="minorHAnsi" w:hAnsi="Arial" w:cs="Arial"/>
        </w:rPr>
      </w:pPr>
    </w:p>
    <w:p w14:paraId="2B44D56E" w14:textId="77777777" w:rsidR="004024BD" w:rsidRPr="004024BD" w:rsidRDefault="004024BD" w:rsidP="004024BD">
      <w:pPr>
        <w:rPr>
          <w:rFonts w:ascii="Arial" w:eastAsiaTheme="minorHAnsi" w:hAnsi="Arial" w:cs="Arial"/>
        </w:rPr>
      </w:pPr>
    </w:p>
    <w:p w14:paraId="0ABC9516" w14:textId="77777777" w:rsidR="004024BD" w:rsidRPr="004024BD" w:rsidRDefault="004024BD" w:rsidP="004024BD">
      <w:pPr>
        <w:rPr>
          <w:rFonts w:ascii="Arial" w:eastAsiaTheme="minorHAnsi" w:hAnsi="Arial" w:cs="Arial"/>
        </w:rPr>
      </w:pPr>
    </w:p>
    <w:p w14:paraId="7FB02256" w14:textId="77777777" w:rsidR="004024BD" w:rsidRPr="004024BD" w:rsidRDefault="004024BD" w:rsidP="004024BD">
      <w:pPr>
        <w:rPr>
          <w:rFonts w:ascii="Arial" w:eastAsiaTheme="minorHAnsi" w:hAnsi="Arial" w:cs="Arial"/>
        </w:rPr>
      </w:pPr>
    </w:p>
    <w:p w14:paraId="23224A09" w14:textId="77777777" w:rsidR="004024BD" w:rsidRPr="004024BD" w:rsidRDefault="004024BD" w:rsidP="004024BD">
      <w:pPr>
        <w:rPr>
          <w:rFonts w:ascii="Arial" w:eastAsiaTheme="minorHAnsi" w:hAnsi="Arial" w:cs="Arial"/>
        </w:rPr>
      </w:pPr>
    </w:p>
    <w:p w14:paraId="757EFA6E" w14:textId="77777777" w:rsidR="004024BD" w:rsidRPr="004024BD" w:rsidRDefault="004024BD" w:rsidP="004024BD">
      <w:pPr>
        <w:rPr>
          <w:rFonts w:ascii="Arial" w:eastAsiaTheme="minorHAnsi" w:hAnsi="Arial" w:cs="Arial"/>
        </w:rPr>
      </w:pPr>
    </w:p>
    <w:p w14:paraId="235A52E3" w14:textId="77777777" w:rsidR="004024BD" w:rsidRPr="004024BD" w:rsidRDefault="004024BD" w:rsidP="004024BD">
      <w:pPr>
        <w:rPr>
          <w:rFonts w:ascii="Arial" w:eastAsiaTheme="minorHAnsi" w:hAnsi="Arial" w:cs="Arial"/>
        </w:rPr>
      </w:pPr>
    </w:p>
    <w:p w14:paraId="5B2A8AEE" w14:textId="77777777" w:rsidR="004024BD" w:rsidRPr="004024BD" w:rsidRDefault="004024BD" w:rsidP="004024BD">
      <w:pPr>
        <w:rPr>
          <w:rFonts w:ascii="Arial" w:eastAsiaTheme="minorHAnsi" w:hAnsi="Arial" w:cs="Arial"/>
        </w:rPr>
      </w:pPr>
    </w:p>
    <w:p w14:paraId="0A20BCB5" w14:textId="77777777" w:rsidR="004024BD" w:rsidRPr="004024BD" w:rsidRDefault="004024BD" w:rsidP="004024BD">
      <w:pPr>
        <w:rPr>
          <w:rFonts w:ascii="Arial" w:eastAsiaTheme="minorHAnsi" w:hAnsi="Arial" w:cs="Arial"/>
        </w:rPr>
      </w:pPr>
    </w:p>
    <w:p w14:paraId="24F422FA" w14:textId="77777777" w:rsidR="004024BD" w:rsidRPr="004024BD" w:rsidRDefault="004024BD" w:rsidP="004024BD">
      <w:pPr>
        <w:rPr>
          <w:rFonts w:ascii="Arial" w:eastAsiaTheme="minorHAnsi" w:hAnsi="Arial" w:cs="Arial"/>
        </w:rPr>
      </w:pPr>
    </w:p>
    <w:p w14:paraId="44EEA5A4" w14:textId="77777777" w:rsidR="004024BD" w:rsidRDefault="004024BD" w:rsidP="004024BD">
      <w:pPr>
        <w:tabs>
          <w:tab w:val="left" w:pos="455"/>
        </w:tabs>
        <w:jc w:val="both"/>
        <w:rPr>
          <w:rFonts w:ascii="Arial" w:eastAsiaTheme="minorHAnsi" w:hAnsi="Arial" w:cs="Arial"/>
        </w:rPr>
      </w:pPr>
    </w:p>
    <w:p w14:paraId="12554FBC" w14:textId="77777777" w:rsidR="004024BD" w:rsidRDefault="004024BD" w:rsidP="004024BD">
      <w:pPr>
        <w:tabs>
          <w:tab w:val="left" w:pos="455"/>
        </w:tabs>
        <w:jc w:val="both"/>
        <w:rPr>
          <w:rFonts w:ascii="Arial" w:eastAsiaTheme="minorHAnsi" w:hAnsi="Arial" w:cs="Arial"/>
        </w:rPr>
      </w:pPr>
    </w:p>
    <w:p w14:paraId="6DE099E3" w14:textId="77777777" w:rsidR="004024BD" w:rsidRDefault="004024BD" w:rsidP="004024BD">
      <w:pPr>
        <w:tabs>
          <w:tab w:val="left" w:pos="455"/>
        </w:tabs>
        <w:jc w:val="both"/>
        <w:rPr>
          <w:rFonts w:ascii="Arial" w:eastAsiaTheme="minorHAnsi" w:hAnsi="Arial" w:cs="Arial"/>
        </w:rPr>
      </w:pPr>
    </w:p>
    <w:p w14:paraId="5C7C9B50" w14:textId="77777777" w:rsidR="004024BD" w:rsidRPr="00947EE3" w:rsidRDefault="004024BD" w:rsidP="004024BD">
      <w:pPr>
        <w:tabs>
          <w:tab w:val="left" w:pos="455"/>
        </w:tabs>
        <w:jc w:val="both"/>
        <w:rPr>
          <w:rFonts w:ascii="Arial" w:eastAsiaTheme="minorHAnsi" w:hAnsi="Arial" w:cs="Arial"/>
          <w:b/>
          <w:bCs/>
          <w:sz w:val="28"/>
          <w:szCs w:val="28"/>
        </w:rPr>
      </w:pPr>
      <w:r w:rsidRPr="00947EE3">
        <w:rPr>
          <w:rFonts w:ascii="Arial" w:eastAsiaTheme="minorHAnsi" w:hAnsi="Arial" w:cs="Arial"/>
          <w:b/>
          <w:bCs/>
          <w:sz w:val="28"/>
          <w:szCs w:val="28"/>
        </w:rPr>
        <w:t>B</w:t>
      </w:r>
    </w:p>
    <w:p w14:paraId="335F4406" w14:textId="77777777" w:rsidR="004024BD" w:rsidRDefault="00AC2C84" w:rsidP="004024BD">
      <w:pPr>
        <w:tabs>
          <w:tab w:val="left" w:pos="455"/>
        </w:tabs>
        <w:ind w:left="1134"/>
        <w:jc w:val="both"/>
        <w:rPr>
          <w:rFonts w:ascii="Arial" w:eastAsiaTheme="minorHAnsi" w:hAnsi="Arial" w:cs="Arial"/>
          <w:b/>
          <w:bCs/>
          <w:color w:val="244061" w:themeColor="accent1" w:themeShade="80"/>
        </w:rPr>
      </w:pPr>
      <w:r>
        <w:rPr>
          <w:rFonts w:ascii="Arial" w:hAnsi="Arial" w:cs="Arial"/>
          <w:noProof/>
          <w:color w:val="365F91" w:themeColor="accent1" w:themeShade="BF"/>
          <w:sz w:val="22"/>
          <w:szCs w:val="22"/>
          <w:lang w:val="en-US"/>
        </w:rPr>
        <mc:AlternateContent>
          <mc:Choice Requires="wps">
            <w:drawing>
              <wp:anchor distT="0" distB="0" distL="114300" distR="114300" simplePos="0" relativeHeight="251670528" behindDoc="0" locked="0" layoutInCell="1" allowOverlap="1" wp14:anchorId="09F978FE" wp14:editId="42A36A6F">
                <wp:simplePos x="0" y="0"/>
                <wp:positionH relativeFrom="column">
                  <wp:posOffset>1828800</wp:posOffset>
                </wp:positionH>
                <wp:positionV relativeFrom="paragraph">
                  <wp:posOffset>1981200</wp:posOffset>
                </wp:positionV>
                <wp:extent cx="521335" cy="1362075"/>
                <wp:effectExtent l="76200" t="50800" r="88265" b="111125"/>
                <wp:wrapNone/>
                <wp:docPr id="30" name="Straight Arrow Connector 30"/>
                <wp:cNvGraphicFramePr/>
                <a:graphic xmlns:a="http://schemas.openxmlformats.org/drawingml/2006/main">
                  <a:graphicData uri="http://schemas.microsoft.com/office/word/2010/wordprocessingShape">
                    <wps:wsp>
                      <wps:cNvCnPr/>
                      <wps:spPr>
                        <a:xfrm flipV="1">
                          <a:off x="0" y="0"/>
                          <a:ext cx="521335" cy="1362075"/>
                        </a:xfrm>
                        <a:prstGeom prst="straightConnector1">
                          <a:avLst/>
                        </a:prstGeom>
                        <a:ln w="19050" cmpd="sng">
                          <a:solidFill>
                            <a:schemeClr val="tx1"/>
                          </a:solidFill>
                          <a:tailEnd type="arrow"/>
                        </a:ln>
                        <a:effectLst>
                          <a:outerShdw blurRad="50800" dist="38100" dir="8100000" algn="tr" rotWithShape="0">
                            <a:prstClr val="black">
                              <a:alpha val="40000"/>
                            </a:prstClr>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32" coordsize="21600,21600" o:spt="32" o:oned="t" path="m0,0l21600,21600e" filled="f">
                <v:path arrowok="t" fillok="f" o:connecttype="none"/>
                <o:lock v:ext="edit" shapetype="t"/>
              </v:shapetype>
              <v:shape id="Straight Arrow Connector 30" o:spid="_x0000_s1026" type="#_x0000_t32" style="position:absolute;margin-left:2in;margin-top:156pt;width:41.05pt;height:107.2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" strokecolor="black [3213]" strokeweight="1.5pt">
                <v:stroke endarrow="open"/>
                <v:shadow on="t" opacity="26214f" mv:blur="50800f" origin=".5,-.5" offset="-26941emu,26941emu"/>
              </v:shape>
            </w:pict>
          </mc:Fallback>
        </mc:AlternateContent>
      </w:r>
      <w:r w:rsidR="004024BD">
        <w:rPr>
          <w:rFonts w:ascii="Arial" w:hAnsi="Arial" w:cs="Arial"/>
          <w:noProof/>
          <w:color w:val="365F91" w:themeColor="accent1" w:themeShade="BF"/>
          <w:sz w:val="22"/>
          <w:szCs w:val="22"/>
          <w:lang w:val="en-US"/>
        </w:rPr>
        <mc:AlternateContent>
          <mc:Choice Requires="wps">
            <w:drawing>
              <wp:anchor distT="0" distB="0" distL="114300" distR="114300" simplePos="0" relativeHeight="251668480" behindDoc="0" locked="0" layoutInCell="1" allowOverlap="1" wp14:anchorId="12370D14" wp14:editId="64FD6931">
                <wp:simplePos x="0" y="0"/>
                <wp:positionH relativeFrom="column">
                  <wp:posOffset>2971800</wp:posOffset>
                </wp:positionH>
                <wp:positionV relativeFrom="paragraph">
                  <wp:posOffset>1752600</wp:posOffset>
                </wp:positionV>
                <wp:extent cx="737235" cy="1627505"/>
                <wp:effectExtent l="50800" t="76200" r="126365" b="74295"/>
                <wp:wrapNone/>
                <wp:docPr id="46" name="Straight Arrow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37235" cy="1627505"/>
                        </a:xfrm>
                        <a:prstGeom prst="straightConnector1">
                          <a:avLst/>
                        </a:prstGeom>
                        <a:ln w="19050" cmpd="sng">
                          <a:solidFill>
                            <a:schemeClr val="tx1"/>
                          </a:solidFill>
                          <a:tailEnd type="arrow"/>
                        </a:ln>
                        <a:effectLst>
                          <a:outerShdw blurRad="50800" dist="38100" algn="l" rotWithShape="0">
                            <a:prstClr val="black">
                              <a:alpha val="40000"/>
                            </a:prstClr>
                          </a:outerShdw>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Straight Arrow Connector 46" o:spid="_x0000_s1026" type="#_x0000_t32" style="position:absolute;margin-left:234pt;margin-top:138pt;width:58.05pt;height:128.1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" strokecolor="black [3213]" strokeweight="1.5pt">
                <v:stroke endarrow="open"/>
                <v:shadow on="t" opacity="26214f" mv:blur="50800f" origin="-.5" offset="3pt,0"/>
                <o:lock v:ext="edit" shapetype="f"/>
              </v:shape>
            </w:pict>
          </mc:Fallback>
        </mc:AlternateContent>
      </w:r>
      <w:r w:rsidR="00122254" w:rsidRPr="004024BD">
        <w:rPr>
          <w:rFonts w:ascii="Arial" w:eastAsiaTheme="minorHAnsi" w:hAnsi="Arial" w:cs="Arial"/>
          <w:b/>
          <w:bCs/>
          <w:color w:val="1F497D" w:themeColor="text2"/>
        </w:rPr>
        <w:br w:type="textWrapping" w:clear="all"/>
      </w:r>
      <w:r w:rsidR="00C22E9E">
        <w:rPr>
          <w:rFonts w:ascii="Arial" w:eastAsiaTheme="minorHAnsi" w:hAnsi="Arial" w:cs="Arial"/>
          <w:b/>
          <w:bCs/>
          <w:color w:val="244061" w:themeColor="accent1" w:themeShade="80"/>
        </w:rPr>
        <w:t xml:space="preserve"> </w:t>
      </w:r>
      <w:r w:rsidR="004024BD">
        <w:rPr>
          <w:rFonts w:ascii="Arial" w:eastAsiaTheme="minorHAnsi" w:hAnsi="Arial" w:cs="Arial"/>
          <w:bCs/>
          <w:noProof/>
          <w:color w:val="1F497D" w:themeColor="text2"/>
          <w:lang w:val="en-US"/>
        </w:rPr>
        <w:drawing>
          <wp:inline distT="0" distB="0" distL="0" distR="0" wp14:anchorId="68B96E17" wp14:editId="2CC15AC6">
            <wp:extent cx="4341595" cy="2969576"/>
            <wp:effectExtent l="0" t="0" r="1905" b="2540"/>
            <wp:docPr id="52" name="Picture 52" descr="JASMINE:b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JASMINE:bose.jpg"/>
                    <pic:cNvPicPr>
                      <a:picLocks noChangeAspect="1" noChangeArrowheads="1"/>
                    </pic:cNvPicPr>
                  </pic:nvPicPr>
                  <pic:blipFill rotWithShape="1">
                    <a:blip r:embed="rId37">
                      <a:extLst>
                        <a:ext uri="{28A0092B-C50C-407E-A947-70E740481C1C}">
                          <a14:useLocalDpi xmlns:a14="http://schemas.microsoft.com/office/drawing/2010/main" val="0"/>
                        </a:ext>
                      </a:extLst>
                    </a:blip>
                    <a:srcRect r="1765"/>
                    <a:stretch/>
                  </pic:blipFill>
                  <pic:spPr bwMode="auto">
                    <a:xfrm>
                      <a:off x="0" y="0"/>
                      <a:ext cx="4341595" cy="2969576"/>
                    </a:xfrm>
                    <a:prstGeom prst="rect">
                      <a:avLst/>
                    </a:prstGeom>
                    <a:noFill/>
                    <a:ln>
                      <a:noFill/>
                    </a:ln>
                    <a:extLst>
                      <a:ext uri="{53640926-AAD7-44d8-BBD7-CCE9431645EC}">
                        <a14:shadowObscured xmlns:a14="http://schemas.microsoft.com/office/drawing/2010/main"/>
                      </a:ext>
                    </a:extLst>
                  </pic:spPr>
                </pic:pic>
              </a:graphicData>
            </a:graphic>
          </wp:inline>
        </w:drawing>
      </w:r>
      <w:r w:rsidR="00C22E9E">
        <w:rPr>
          <w:rFonts w:ascii="Arial" w:eastAsiaTheme="minorHAnsi" w:hAnsi="Arial" w:cs="Arial"/>
          <w:b/>
          <w:bCs/>
          <w:color w:val="244061" w:themeColor="accent1" w:themeShade="80"/>
        </w:rPr>
        <w:t xml:space="preserve">                                                                   </w:t>
      </w:r>
    </w:p>
    <w:p w14:paraId="68C16C99" w14:textId="77777777" w:rsidR="004024BD" w:rsidRDefault="004024BD" w:rsidP="00A5319D">
      <w:pPr>
        <w:tabs>
          <w:tab w:val="left" w:pos="3915"/>
        </w:tabs>
        <w:jc w:val="both"/>
        <w:rPr>
          <w:rFonts w:ascii="Arial" w:eastAsiaTheme="minorHAnsi" w:hAnsi="Arial" w:cs="Arial"/>
          <w:b/>
          <w:bCs/>
          <w:color w:val="244061" w:themeColor="accent1" w:themeShade="80"/>
        </w:rPr>
      </w:pPr>
    </w:p>
    <w:p w14:paraId="5F70224A" w14:textId="77777777" w:rsidR="004024BD" w:rsidRDefault="004024BD" w:rsidP="00A5319D">
      <w:pPr>
        <w:tabs>
          <w:tab w:val="left" w:pos="3915"/>
        </w:tabs>
        <w:jc w:val="both"/>
        <w:rPr>
          <w:rFonts w:ascii="Arial" w:eastAsiaTheme="minorHAnsi" w:hAnsi="Arial" w:cs="Arial"/>
          <w:bCs/>
          <w:sz w:val="22"/>
          <w:szCs w:val="22"/>
        </w:rPr>
      </w:pPr>
      <w:r>
        <w:rPr>
          <w:rFonts w:ascii="Arial" w:eastAsiaTheme="minorHAnsi" w:hAnsi="Arial" w:cs="Arial"/>
          <w:bCs/>
          <w:sz w:val="22"/>
          <w:szCs w:val="22"/>
        </w:rPr>
        <w:t xml:space="preserve">       </w:t>
      </w:r>
    </w:p>
    <w:p w14:paraId="6BE0629F" w14:textId="77777777" w:rsidR="00122254" w:rsidRPr="00447F3A" w:rsidRDefault="004024BD" w:rsidP="00A5319D">
      <w:pPr>
        <w:tabs>
          <w:tab w:val="left" w:pos="3915"/>
        </w:tabs>
        <w:jc w:val="both"/>
        <w:rPr>
          <w:rFonts w:ascii="Arial" w:eastAsiaTheme="minorHAnsi" w:hAnsi="Arial" w:cs="Arial"/>
          <w:bCs/>
        </w:rPr>
      </w:pPr>
      <w:r>
        <w:rPr>
          <w:rFonts w:ascii="Arial" w:eastAsiaTheme="minorHAnsi" w:hAnsi="Arial" w:cs="Arial"/>
          <w:bCs/>
          <w:sz w:val="22"/>
          <w:szCs w:val="22"/>
        </w:rPr>
        <w:t xml:space="preserve">                           </w:t>
      </w:r>
      <w:r w:rsidR="00447F3A">
        <w:rPr>
          <w:rFonts w:ascii="Arial" w:eastAsiaTheme="minorHAnsi" w:hAnsi="Arial" w:cs="Arial"/>
          <w:bCs/>
          <w:sz w:val="22"/>
          <w:szCs w:val="22"/>
        </w:rPr>
        <w:t xml:space="preserve"> </w:t>
      </w:r>
      <w:r w:rsidR="0084452B" w:rsidRPr="00447F3A">
        <w:rPr>
          <w:rFonts w:ascii="Arial" w:eastAsiaTheme="minorHAnsi" w:hAnsi="Arial" w:cs="Arial"/>
          <w:bCs/>
        </w:rPr>
        <w:t>Anaesthesia</w:t>
      </w:r>
      <w:r w:rsidR="00C22E9E" w:rsidRPr="00447F3A">
        <w:rPr>
          <w:rFonts w:ascii="Arial" w:eastAsiaTheme="minorHAnsi" w:hAnsi="Arial" w:cs="Arial"/>
          <w:bCs/>
        </w:rPr>
        <w:t xml:space="preserve"> machine   </w:t>
      </w:r>
      <w:r w:rsidR="00AC2C84" w:rsidRPr="00447F3A">
        <w:rPr>
          <w:rFonts w:ascii="Arial" w:eastAsiaTheme="minorHAnsi" w:hAnsi="Arial" w:cs="Arial"/>
          <w:bCs/>
        </w:rPr>
        <w:t xml:space="preserve">        </w:t>
      </w:r>
      <w:r w:rsidR="00447F3A">
        <w:rPr>
          <w:rFonts w:ascii="Arial" w:eastAsiaTheme="minorHAnsi" w:hAnsi="Arial" w:cs="Arial"/>
          <w:bCs/>
        </w:rPr>
        <w:t xml:space="preserve">     </w:t>
      </w:r>
      <w:r w:rsidR="00C22E9E" w:rsidRPr="00447F3A">
        <w:rPr>
          <w:rFonts w:ascii="Arial" w:eastAsiaTheme="minorHAnsi" w:hAnsi="Arial" w:cs="Arial"/>
          <w:bCs/>
        </w:rPr>
        <w:t>Loading machine</w:t>
      </w:r>
    </w:p>
    <w:p w14:paraId="1A3463A0" w14:textId="77777777" w:rsidR="004F3D4C" w:rsidRDefault="004F3D4C" w:rsidP="004F3D4C">
      <w:pPr>
        <w:pStyle w:val="Caption"/>
        <w:jc w:val="both"/>
      </w:pPr>
    </w:p>
    <w:p w14:paraId="66DEC052" w14:textId="77777777" w:rsidR="00996A51" w:rsidRDefault="004F3D4C" w:rsidP="00996A51">
      <w:pPr>
        <w:pStyle w:val="Caption"/>
        <w:spacing w:line="360" w:lineRule="auto"/>
        <w:jc w:val="both"/>
        <w:rPr>
          <w:rFonts w:ascii="Arial" w:hAnsi="Arial" w:cs="Arial"/>
          <w:color w:val="244061" w:themeColor="accent1" w:themeShade="80"/>
          <w:sz w:val="24"/>
          <w:szCs w:val="24"/>
        </w:rPr>
      </w:pPr>
      <w:bookmarkStart w:id="47" w:name="_Toc383544603"/>
      <w:r w:rsidRPr="00996A51">
        <w:rPr>
          <w:rFonts w:ascii="Arial" w:hAnsi="Arial" w:cs="Arial"/>
          <w:color w:val="244061" w:themeColor="accent1" w:themeShade="80"/>
          <w:sz w:val="24"/>
          <w:szCs w:val="24"/>
        </w:rPr>
        <w:t xml:space="preserve">Figure </w:t>
      </w:r>
      <w:r w:rsidRPr="00996A51">
        <w:rPr>
          <w:rFonts w:ascii="Arial" w:hAnsi="Arial" w:cs="Arial"/>
          <w:color w:val="244061" w:themeColor="accent1" w:themeShade="80"/>
          <w:sz w:val="24"/>
          <w:szCs w:val="24"/>
        </w:rPr>
        <w:fldChar w:fldCharType="begin"/>
      </w:r>
      <w:r w:rsidRPr="00996A51">
        <w:rPr>
          <w:rFonts w:ascii="Arial" w:hAnsi="Arial" w:cs="Arial"/>
          <w:color w:val="244061" w:themeColor="accent1" w:themeShade="80"/>
          <w:sz w:val="24"/>
          <w:szCs w:val="24"/>
        </w:rPr>
        <w:instrText xml:space="preserve"> SEQ Figure \* ARABIC </w:instrText>
      </w:r>
      <w:r w:rsidRPr="00996A51">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12</w:t>
      </w:r>
      <w:r w:rsidRPr="00996A51">
        <w:rPr>
          <w:rFonts w:ascii="Arial" w:hAnsi="Arial" w:cs="Arial"/>
          <w:color w:val="244061" w:themeColor="accent1" w:themeShade="80"/>
          <w:sz w:val="24"/>
          <w:szCs w:val="24"/>
        </w:rPr>
        <w:fldChar w:fldCharType="end"/>
      </w:r>
      <w:proofErr w:type="gramStart"/>
      <w:r w:rsidRPr="00996A51">
        <w:rPr>
          <w:rFonts w:ascii="Arial" w:hAnsi="Arial" w:cs="Arial"/>
          <w:color w:val="244061" w:themeColor="accent1" w:themeShade="80"/>
          <w:sz w:val="24"/>
          <w:szCs w:val="24"/>
        </w:rPr>
        <w:t xml:space="preserve"> Schematic diagram</w:t>
      </w:r>
      <w:proofErr w:type="gramEnd"/>
      <w:r w:rsidRPr="00996A51">
        <w:rPr>
          <w:rFonts w:ascii="Arial" w:hAnsi="Arial" w:cs="Arial"/>
          <w:color w:val="244061" w:themeColor="accent1" w:themeShade="80"/>
          <w:sz w:val="24"/>
          <w:szCs w:val="24"/>
        </w:rPr>
        <w:t xml:space="preserve"> representing</w:t>
      </w:r>
      <w:r w:rsidR="00996A51" w:rsidRPr="00996A51">
        <w:rPr>
          <w:rFonts w:ascii="Arial" w:hAnsi="Arial" w:cs="Arial"/>
          <w:color w:val="244061" w:themeColor="accent1" w:themeShade="80"/>
          <w:sz w:val="24"/>
          <w:szCs w:val="24"/>
        </w:rPr>
        <w:t xml:space="preserve"> the placement of mouse right hind limb into the loading caps to apply non-invasive axial loading (A) under isofluorane-induced anaesthesia using ElectroForce 5500 linear motor materials testing machine, </w:t>
      </w:r>
      <w:r w:rsidR="002A0780">
        <w:rPr>
          <w:rFonts w:ascii="Arial" w:hAnsi="Arial" w:cs="Arial"/>
          <w:color w:val="244061" w:themeColor="accent1" w:themeShade="80"/>
          <w:sz w:val="24"/>
          <w:szCs w:val="24"/>
        </w:rPr>
        <w:t>Bose Co., USA (B</w:t>
      </w:r>
      <w:r w:rsidR="00996A51" w:rsidRPr="00996A51">
        <w:rPr>
          <w:rFonts w:ascii="Arial" w:hAnsi="Arial" w:cs="Arial"/>
          <w:color w:val="244061" w:themeColor="accent1" w:themeShade="80"/>
          <w:sz w:val="24"/>
          <w:szCs w:val="24"/>
        </w:rPr>
        <w:t>)</w:t>
      </w:r>
      <w:bookmarkEnd w:id="47"/>
    </w:p>
    <w:p w14:paraId="0A8509C5" w14:textId="77777777" w:rsidR="0061193F" w:rsidRPr="00996A51" w:rsidRDefault="009A1E96" w:rsidP="00996A51">
      <w:pPr>
        <w:rPr>
          <w:rFonts w:ascii="Arial" w:hAnsi="Arial" w:cs="Arial"/>
          <w:color w:val="244061" w:themeColor="accent1" w:themeShade="80"/>
          <w:sz w:val="22"/>
          <w:szCs w:val="22"/>
        </w:rPr>
      </w:pPr>
      <w:r>
        <w:rPr>
          <w:rFonts w:ascii="Arial" w:hAnsi="Arial" w:cs="Arial"/>
          <w:sz w:val="22"/>
          <w:szCs w:val="22"/>
        </w:rPr>
        <w:t>Image (A) adapted</w:t>
      </w:r>
      <w:r w:rsidR="0061193F" w:rsidRPr="00996A51">
        <w:rPr>
          <w:rFonts w:ascii="Arial" w:hAnsi="Arial" w:cs="Arial"/>
          <w:sz w:val="22"/>
          <w:szCs w:val="22"/>
        </w:rPr>
        <w:t xml:space="preserve"> with permission from </w:t>
      </w:r>
      <w:r w:rsidR="0061193F" w:rsidRPr="00996A51">
        <w:rPr>
          <w:rFonts w:ascii="Arial" w:hAnsi="Arial" w:cs="Arial"/>
          <w:sz w:val="22"/>
          <w:szCs w:val="22"/>
        </w:rPr>
        <w:fldChar w:fldCharType="begin"/>
      </w:r>
      <w:r w:rsidR="00A108A1">
        <w:rPr>
          <w:rFonts w:ascii="Arial" w:hAnsi="Arial" w:cs="Arial"/>
          <w:sz w:val="22"/>
          <w:szCs w:val="22"/>
        </w:rPr>
        <w:instrText xml:space="preserve"> ADDIN EN.CITE &lt;EndNote&gt;&lt;Cite&gt;&lt;Author&gt;De Souza&lt;/Author&gt;&lt;Year&gt;2005&lt;/Year&gt;&lt;RecNum&gt;500&lt;/RecNum&gt;&lt;DisplayText&gt;(De Souza et al., 2005a)&lt;/DisplayText&gt;&lt;record&gt;&lt;rec-number&gt;500&lt;/rec-number&gt;&lt;foreign-keys&gt;&lt;key app="EN" db-id="ae9rewfrpdttrheppfxxv0p4950wpd25r09x" timestamp="1520658309"&gt;500&lt;/key&gt;&lt;key app="ENWeb" db-id=""&gt;0&lt;/key&gt;&lt;/foreign-keys&gt;&lt;ref-type name="Journal Article"&gt;17&lt;/ref-type&gt;&lt;contributors&gt;&lt;authors&gt;&lt;author&gt;De Souza, Roberto L.&lt;/author&gt;&lt;author&gt;Matsuura, Maiko&lt;/author&gt;&lt;author&gt;Eckstein, Felix&lt;/author&gt;&lt;author&gt;Rawlinson, Simon C. F.&lt;/author&gt;&lt;author&gt;Lanyon, Lance E.&lt;/author&gt;&lt;author&gt;Pitsillides, Andrew A.&lt;/author&gt;&lt;/authors&gt;&lt;/contributors&gt;&lt;titles&gt;&lt;title&gt;Non- invasive axial loading of mouse tibiae increases cortical bone formation and modifies trabecular organization: A new model to study cortical and cancellous compartments in a single loaded element&lt;/title&gt;&lt;secondary-title&gt;Bone&lt;/secondary-title&gt;&lt;/titles&gt;&lt;periodical&gt;&lt;full-title&gt;Bone&lt;/full-title&gt;&lt;/periodical&gt;&lt;pages&gt;810-818&lt;/pages&gt;&lt;volume&gt;37&lt;/volume&gt;&lt;number&gt;6&lt;/number&gt;&lt;keywords&gt;&lt;keyword&gt;Mouse&lt;/keyword&gt;&lt;keyword&gt;Mechanical loading&lt;/keyword&gt;&lt;keyword&gt;Cortical bone&lt;/keyword&gt;&lt;keyword&gt;Cancellous bone&lt;/keyword&gt;&lt;keyword&gt;Adaptation&lt;/keyword&gt;&lt;/keywords&gt;&lt;dates&gt;&lt;year&gt;2005&lt;/year&gt;&lt;/dates&gt;&lt;isbn&gt;8756-3282&lt;/isbn&gt;&lt;urls&gt;&lt;/urls&gt;&lt;electronic-resource-num&gt;10.1016/j.bone.2005.07.022&lt;/electronic-resource-num&gt;&lt;/record&gt;&lt;/Cite&gt;&lt;/EndNote&gt;</w:instrText>
      </w:r>
      <w:r w:rsidR="0061193F" w:rsidRPr="00996A51">
        <w:rPr>
          <w:rFonts w:ascii="Arial" w:hAnsi="Arial" w:cs="Arial"/>
          <w:sz w:val="22"/>
          <w:szCs w:val="22"/>
        </w:rPr>
        <w:fldChar w:fldCharType="separate"/>
      </w:r>
      <w:r w:rsidR="00951583">
        <w:rPr>
          <w:rFonts w:ascii="Arial" w:hAnsi="Arial" w:cs="Arial"/>
          <w:noProof/>
          <w:sz w:val="22"/>
          <w:szCs w:val="22"/>
        </w:rPr>
        <w:t>(De Souza et al., 2005a)</w:t>
      </w:r>
      <w:r w:rsidR="0061193F" w:rsidRPr="00996A51">
        <w:rPr>
          <w:rFonts w:ascii="Arial" w:hAnsi="Arial" w:cs="Arial"/>
          <w:sz w:val="22"/>
          <w:szCs w:val="22"/>
        </w:rPr>
        <w:fldChar w:fldCharType="end"/>
      </w:r>
    </w:p>
    <w:p w14:paraId="2CD48756" w14:textId="77777777" w:rsidR="0061193F" w:rsidRPr="0084452B" w:rsidRDefault="0061193F" w:rsidP="00846E31">
      <w:pPr>
        <w:pStyle w:val="Heading3"/>
        <w:spacing w:line="480" w:lineRule="auto"/>
        <w:jc w:val="both"/>
        <w:rPr>
          <w:rFonts w:ascii="Arial" w:hAnsi="Arial" w:cs="Arial"/>
          <w:noProof/>
          <w:color w:val="auto"/>
        </w:rPr>
      </w:pPr>
      <w:bookmarkStart w:id="48" w:name="_Toc383723864"/>
      <w:r w:rsidRPr="0084452B">
        <w:rPr>
          <w:rFonts w:ascii="Arial" w:hAnsi="Arial" w:cs="Arial"/>
          <w:noProof/>
          <w:color w:val="auto"/>
        </w:rPr>
        <w:lastRenderedPageBreak/>
        <w:t>2.1.4 Calcein administration</w:t>
      </w:r>
      <w:bookmarkEnd w:id="48"/>
    </w:p>
    <w:p w14:paraId="7058ADA1" w14:textId="77777777" w:rsidR="0061193F" w:rsidRDefault="0061193F" w:rsidP="00846E31">
      <w:pPr>
        <w:spacing w:line="480" w:lineRule="auto"/>
        <w:jc w:val="both"/>
        <w:rPr>
          <w:rFonts w:ascii="Arial" w:hAnsi="Arial" w:cs="Arial"/>
          <w:b/>
        </w:rPr>
      </w:pPr>
      <w:r>
        <w:rPr>
          <w:rFonts w:ascii="Arial" w:hAnsi="Arial" w:cs="Arial"/>
          <w:b/>
        </w:rPr>
        <w:t>Materials</w:t>
      </w:r>
    </w:p>
    <w:p w14:paraId="1509ECF5" w14:textId="77777777" w:rsidR="0061193F" w:rsidRPr="00961D19" w:rsidRDefault="0061193F" w:rsidP="0061193F">
      <w:pPr>
        <w:pStyle w:val="ListParagraph"/>
        <w:numPr>
          <w:ilvl w:val="0"/>
          <w:numId w:val="13"/>
        </w:numPr>
        <w:spacing w:line="480" w:lineRule="auto"/>
        <w:jc w:val="both"/>
        <w:rPr>
          <w:rFonts w:ascii="Arial" w:hAnsi="Arial" w:cs="Arial"/>
          <w:color w:val="000000" w:themeColor="text1"/>
        </w:rPr>
      </w:pPr>
      <w:r w:rsidRPr="00F7753A">
        <w:rPr>
          <w:rFonts w:ascii="Arial" w:hAnsi="Arial" w:cs="Arial"/>
          <w:color w:val="000000" w:themeColor="text1"/>
        </w:rPr>
        <w:t>Calcein</w:t>
      </w:r>
      <w:r>
        <w:rPr>
          <w:rFonts w:ascii="Arial" w:hAnsi="Arial" w:cs="Arial"/>
          <w:color w:val="000000" w:themeColor="text1"/>
        </w:rPr>
        <w:t xml:space="preserve"> </w:t>
      </w:r>
      <w:r w:rsidRPr="00F7753A">
        <w:rPr>
          <w:rFonts w:ascii="Arial" w:hAnsi="Arial" w:cs="Arial"/>
          <w:color w:val="000000" w:themeColor="text1"/>
        </w:rPr>
        <w:t>(</w:t>
      </w:r>
      <w:r w:rsidRPr="00ED7E97">
        <w:rPr>
          <w:rFonts w:ascii="Arial" w:hAnsi="Arial" w:cs="Arial"/>
          <w:color w:val="000000" w:themeColor="text1"/>
        </w:rPr>
        <w:t xml:space="preserve">C0875), </w:t>
      </w:r>
      <w:r>
        <w:rPr>
          <w:rFonts w:ascii="Arial" w:hAnsi="Arial" w:cs="Arial"/>
          <w:color w:val="000000" w:themeColor="text1"/>
        </w:rPr>
        <w:t xml:space="preserve">sodium bicarbonate </w:t>
      </w:r>
      <w:r w:rsidRPr="00ED7E97">
        <w:rPr>
          <w:rFonts w:ascii="Arial" w:hAnsi="Arial" w:cs="Arial"/>
          <w:color w:val="000000" w:themeColor="text1"/>
          <w:lang w:eastAsia="en-GB"/>
        </w:rPr>
        <w:t>NaHCO</w:t>
      </w:r>
      <w:r w:rsidRPr="00ED7E97">
        <w:rPr>
          <w:rFonts w:ascii="Arial" w:hAnsi="Arial" w:cs="Arial"/>
          <w:color w:val="000000" w:themeColor="text1"/>
          <w:vertAlign w:val="subscript"/>
          <w:lang w:eastAsia="en-GB"/>
        </w:rPr>
        <w:t>3</w:t>
      </w:r>
      <w:r w:rsidRPr="00ED7E97">
        <w:rPr>
          <w:rFonts w:ascii="Arial" w:hAnsi="Arial" w:cs="Arial"/>
          <w:color w:val="000000" w:themeColor="text1"/>
          <w:lang w:eastAsia="en-GB"/>
        </w:rPr>
        <w:t xml:space="preserve"> (S5761, </w:t>
      </w:r>
      <w:r>
        <w:rPr>
          <w:rFonts w:ascii="Arial" w:hAnsi="Arial" w:cs="Arial"/>
          <w:color w:val="000000" w:themeColor="text1"/>
          <w:lang w:eastAsia="en-GB"/>
        </w:rPr>
        <w:t xml:space="preserve">MW </w:t>
      </w:r>
      <w:r w:rsidR="002D3448">
        <w:rPr>
          <w:rFonts w:ascii="Arial" w:hAnsi="Arial" w:cs="Arial"/>
          <w:color w:val="000000" w:themeColor="text1"/>
          <w:lang w:eastAsia="en-GB"/>
        </w:rPr>
        <w:t>2.160g/cm</w:t>
      </w:r>
      <w:r w:rsidR="002D3448">
        <w:rPr>
          <w:rFonts w:ascii="Arial" w:hAnsi="Arial" w:cs="Arial"/>
          <w:color w:val="000000" w:themeColor="text1"/>
          <w:vertAlign w:val="superscript"/>
          <w:lang w:eastAsia="en-GB"/>
        </w:rPr>
        <w:t>3</w:t>
      </w:r>
      <w:r w:rsidRPr="00ED7E97">
        <w:rPr>
          <w:rFonts w:ascii="Arial" w:hAnsi="Arial" w:cs="Arial"/>
          <w:color w:val="000000" w:themeColor="text1"/>
          <w:lang w:eastAsia="en-GB"/>
        </w:rPr>
        <w:t>)</w:t>
      </w:r>
      <w:r w:rsidR="0084452B">
        <w:rPr>
          <w:rFonts w:ascii="Arial" w:hAnsi="Arial" w:cs="Arial"/>
          <w:color w:val="000000" w:themeColor="text1"/>
          <w:lang w:eastAsia="en-GB"/>
        </w:rPr>
        <w:t>,</w:t>
      </w:r>
      <w:r w:rsidRPr="00ED7E97">
        <w:rPr>
          <w:rFonts w:ascii="Arial" w:hAnsi="Arial" w:cs="Arial"/>
          <w:color w:val="000000" w:themeColor="text1"/>
        </w:rPr>
        <w:t xml:space="preserve"> </w:t>
      </w:r>
      <w:r w:rsidR="006A51ED">
        <w:rPr>
          <w:rFonts w:ascii="Arial" w:hAnsi="Arial" w:cs="Arial"/>
          <w:color w:val="000000" w:themeColor="text1"/>
        </w:rPr>
        <w:t xml:space="preserve">hydrochloric acid </w:t>
      </w:r>
      <w:r w:rsidRPr="00070DDF">
        <w:rPr>
          <w:rFonts w:ascii="Arial" w:hAnsi="Arial" w:cs="Arial"/>
          <w:color w:val="000000" w:themeColor="text1"/>
        </w:rPr>
        <w:t>HCl (</w:t>
      </w:r>
      <w:r>
        <w:rPr>
          <w:rFonts w:ascii="Arial" w:hAnsi="Arial" w:cs="Arial"/>
          <w:color w:val="000000" w:themeColor="text1"/>
        </w:rPr>
        <w:t>8596, MW 36.46g/mol</w:t>
      </w:r>
      <w:r w:rsidRPr="00070DDF">
        <w:rPr>
          <w:rFonts w:ascii="Arial" w:hAnsi="Arial" w:cs="Arial"/>
          <w:color w:val="000000" w:themeColor="text1"/>
        </w:rPr>
        <w:t>)</w:t>
      </w:r>
      <w:r w:rsidR="0084452B">
        <w:rPr>
          <w:rFonts w:ascii="Arial" w:hAnsi="Arial" w:cs="Arial"/>
          <w:color w:val="000000" w:themeColor="text1"/>
        </w:rPr>
        <w:t>,</w:t>
      </w:r>
      <w:r w:rsidRPr="00070DDF">
        <w:rPr>
          <w:rFonts w:ascii="Arial" w:hAnsi="Arial" w:cs="Arial"/>
          <w:color w:val="000000" w:themeColor="text1"/>
        </w:rPr>
        <w:t xml:space="preserve"> </w:t>
      </w:r>
      <w:r w:rsidR="006A51ED">
        <w:rPr>
          <w:rFonts w:ascii="Arial" w:hAnsi="Arial" w:cs="Arial"/>
          <w:color w:val="000000" w:themeColor="text1"/>
        </w:rPr>
        <w:t xml:space="preserve">sodium hydroxide </w:t>
      </w:r>
      <w:r w:rsidRPr="00070DDF">
        <w:rPr>
          <w:rFonts w:ascii="Arial" w:hAnsi="Arial" w:cs="Arial"/>
          <w:color w:val="000000" w:themeColor="text1"/>
        </w:rPr>
        <w:t>NaOH</w:t>
      </w:r>
      <w:r>
        <w:rPr>
          <w:rFonts w:ascii="Arial" w:hAnsi="Arial" w:cs="Arial"/>
          <w:color w:val="000000" w:themeColor="text1"/>
        </w:rPr>
        <w:t xml:space="preserve"> </w:t>
      </w:r>
      <w:r w:rsidRPr="00070DDF">
        <w:rPr>
          <w:rFonts w:ascii="Arial" w:hAnsi="Arial" w:cs="Arial"/>
          <w:color w:val="000000" w:themeColor="text1"/>
        </w:rPr>
        <w:t>(</w:t>
      </w:r>
      <w:r>
        <w:rPr>
          <w:rFonts w:ascii="Arial" w:hAnsi="Arial" w:cs="Arial"/>
          <w:color w:val="000000" w:themeColor="text1"/>
        </w:rPr>
        <w:t>13455, FW 40.00</w:t>
      </w:r>
      <w:r w:rsidRPr="00070DDF">
        <w:rPr>
          <w:rFonts w:ascii="Arial" w:hAnsi="Arial" w:cs="Arial"/>
          <w:color w:val="000000" w:themeColor="text1"/>
        </w:rPr>
        <w:t>)</w:t>
      </w:r>
      <w:r>
        <w:rPr>
          <w:rFonts w:ascii="Arial" w:hAnsi="Arial" w:cs="Arial"/>
          <w:color w:val="000000" w:themeColor="text1"/>
        </w:rPr>
        <w:t xml:space="preserve"> </w:t>
      </w:r>
      <w:r w:rsidRPr="00961D19">
        <w:rPr>
          <w:rFonts w:ascii="Arial" w:hAnsi="Arial" w:cs="Arial"/>
          <w:color w:val="000000" w:themeColor="text1"/>
        </w:rPr>
        <w:t xml:space="preserve">(Sigma-Aldrich, USA) </w:t>
      </w:r>
    </w:p>
    <w:p w14:paraId="38D42309" w14:textId="77777777" w:rsidR="0061193F" w:rsidRPr="00ED7E97" w:rsidRDefault="0061193F" w:rsidP="0061193F">
      <w:pPr>
        <w:pStyle w:val="ListParagraph"/>
        <w:numPr>
          <w:ilvl w:val="0"/>
          <w:numId w:val="13"/>
        </w:numPr>
        <w:spacing w:line="480" w:lineRule="auto"/>
        <w:jc w:val="both"/>
        <w:rPr>
          <w:rFonts w:ascii="Arial" w:hAnsi="Arial" w:cs="Arial"/>
          <w:color w:val="000000" w:themeColor="text1"/>
        </w:rPr>
      </w:pPr>
      <w:r>
        <w:rPr>
          <w:rFonts w:ascii="Arial" w:hAnsi="Arial" w:cs="Arial"/>
          <w:color w:val="000000" w:themeColor="text1"/>
        </w:rPr>
        <w:t>Distilled water (</w:t>
      </w:r>
      <w:r>
        <w:rPr>
          <w:rFonts w:ascii="Arial" w:eastAsiaTheme="minorHAnsi" w:hAnsi="Arial"/>
          <w:bCs/>
        </w:rPr>
        <w:t>dH</w:t>
      </w:r>
      <w:r>
        <w:rPr>
          <w:rFonts w:ascii="Arial" w:eastAsiaTheme="minorHAnsi" w:hAnsi="Arial"/>
          <w:bCs/>
          <w:vertAlign w:val="subscript"/>
        </w:rPr>
        <w:t>2</w:t>
      </w:r>
      <w:r>
        <w:rPr>
          <w:rFonts w:ascii="Arial" w:eastAsiaTheme="minorHAnsi" w:hAnsi="Arial"/>
          <w:bCs/>
        </w:rPr>
        <w:t>O)</w:t>
      </w:r>
    </w:p>
    <w:p w14:paraId="3D50D44E" w14:textId="77777777" w:rsidR="0061193F" w:rsidRPr="00F7753A" w:rsidRDefault="0061193F" w:rsidP="0061193F">
      <w:pPr>
        <w:pStyle w:val="ListParagraph"/>
        <w:numPr>
          <w:ilvl w:val="0"/>
          <w:numId w:val="13"/>
        </w:numPr>
        <w:spacing w:line="480" w:lineRule="auto"/>
        <w:jc w:val="both"/>
        <w:rPr>
          <w:rFonts w:ascii="Arial" w:hAnsi="Arial" w:cs="Arial"/>
        </w:rPr>
      </w:pPr>
      <w:r w:rsidRPr="00F7753A">
        <w:rPr>
          <w:rFonts w:ascii="Arial" w:hAnsi="Arial" w:cs="Arial"/>
        </w:rPr>
        <w:t>0</w:t>
      </w:r>
      <w:r w:rsidRPr="00F7753A">
        <w:rPr>
          <w:rFonts w:ascii="Arial" w:hAnsi="Arial" w:cs="Arial"/>
          <w:color w:val="000000" w:themeColor="text1"/>
        </w:rPr>
        <w:t>.22</w:t>
      </w:r>
      <w:r w:rsidRPr="00212AE6">
        <w:rPr>
          <w:color w:val="000000" w:themeColor="text1"/>
        </w:rPr>
        <w:sym w:font="Symbol" w:char="F06D"/>
      </w:r>
      <w:r w:rsidRPr="00F7753A">
        <w:rPr>
          <w:rFonts w:ascii="Arial" w:hAnsi="Arial" w:cs="Arial"/>
          <w:color w:val="000000" w:themeColor="text1"/>
        </w:rPr>
        <w:t>m bacterial filter</w:t>
      </w:r>
      <w:r w:rsidRPr="00F7753A">
        <w:rPr>
          <w:rFonts w:ascii="Arial" w:hAnsi="Arial" w:cs="Arial"/>
        </w:rPr>
        <w:t xml:space="preserve"> (Pall Corporation, Life Sciences, Portsmouth, UK)</w:t>
      </w:r>
    </w:p>
    <w:p w14:paraId="60ED8B7A" w14:textId="77777777" w:rsidR="0061193F" w:rsidRDefault="0061193F" w:rsidP="0061193F">
      <w:pPr>
        <w:pStyle w:val="ListParagraph"/>
        <w:numPr>
          <w:ilvl w:val="0"/>
          <w:numId w:val="13"/>
        </w:numPr>
        <w:spacing w:line="480" w:lineRule="auto"/>
        <w:jc w:val="both"/>
        <w:rPr>
          <w:rFonts w:ascii="Arial" w:hAnsi="Arial" w:cs="Arial"/>
        </w:rPr>
      </w:pPr>
      <w:r w:rsidRPr="00F7753A">
        <w:rPr>
          <w:rFonts w:ascii="Arial" w:hAnsi="Arial" w:cs="Arial"/>
        </w:rPr>
        <w:t>Ins</w:t>
      </w:r>
      <w:r w:rsidR="002D3448">
        <w:rPr>
          <w:rFonts w:ascii="Arial" w:hAnsi="Arial" w:cs="Arial"/>
        </w:rPr>
        <w:t>ulin syringes (100iu/ml 1ml 27G)</w:t>
      </w:r>
      <w:r w:rsidRPr="00F7753A">
        <w:rPr>
          <w:rFonts w:ascii="Arial" w:hAnsi="Arial" w:cs="Arial"/>
        </w:rPr>
        <w:t xml:space="preserve"> </w:t>
      </w:r>
      <w:r w:rsidR="002D3448">
        <w:rPr>
          <w:rFonts w:ascii="Arial" w:hAnsi="Arial" w:cs="Arial"/>
        </w:rPr>
        <w:t>(</w:t>
      </w:r>
      <w:r w:rsidRPr="00F7753A">
        <w:rPr>
          <w:rFonts w:ascii="Arial" w:hAnsi="Arial" w:cs="Arial"/>
        </w:rPr>
        <w:t>Terumo Europe, Belgium)</w:t>
      </w:r>
    </w:p>
    <w:p w14:paraId="140CAAAE" w14:textId="77777777" w:rsidR="0061193F" w:rsidRDefault="0061193F" w:rsidP="0061193F">
      <w:pPr>
        <w:spacing w:line="480" w:lineRule="auto"/>
        <w:jc w:val="both"/>
        <w:rPr>
          <w:rFonts w:ascii="Arial" w:hAnsi="Arial" w:cs="Arial"/>
          <w:b/>
        </w:rPr>
      </w:pPr>
      <w:r>
        <w:rPr>
          <w:rFonts w:ascii="Arial" w:hAnsi="Arial" w:cs="Arial"/>
          <w:b/>
        </w:rPr>
        <w:t>Equipment</w:t>
      </w:r>
    </w:p>
    <w:p w14:paraId="44FC8324" w14:textId="77777777" w:rsidR="0061193F" w:rsidRPr="002D47EC" w:rsidRDefault="0061193F" w:rsidP="0061193F">
      <w:pPr>
        <w:pStyle w:val="ListParagraph"/>
        <w:numPr>
          <w:ilvl w:val="0"/>
          <w:numId w:val="14"/>
        </w:numPr>
        <w:spacing w:line="480" w:lineRule="auto"/>
        <w:jc w:val="both"/>
        <w:rPr>
          <w:rFonts w:ascii="Arial" w:hAnsi="Arial" w:cs="Arial"/>
        </w:rPr>
      </w:pPr>
      <w:r>
        <w:rPr>
          <w:rFonts w:ascii="Arial" w:eastAsiaTheme="minorHAnsi" w:hAnsi="Arial"/>
          <w:bCs/>
        </w:rPr>
        <w:t>Advanced bench 3510 pH-meter (Jenway, Stone, UK)</w:t>
      </w:r>
    </w:p>
    <w:p w14:paraId="263FE32E" w14:textId="77777777" w:rsidR="0061193F" w:rsidRPr="00C241DC" w:rsidRDefault="0061193F" w:rsidP="0061193F">
      <w:pPr>
        <w:spacing w:line="480" w:lineRule="auto"/>
        <w:jc w:val="both"/>
        <w:rPr>
          <w:rFonts w:ascii="Arial" w:hAnsi="Arial" w:cs="Arial"/>
          <w:b/>
        </w:rPr>
      </w:pPr>
      <w:r w:rsidRPr="00B661A7">
        <w:rPr>
          <w:rFonts w:ascii="Arial" w:hAnsi="Arial" w:cs="Arial"/>
          <w:b/>
        </w:rPr>
        <w:t xml:space="preserve">Solutions </w:t>
      </w:r>
    </w:p>
    <w:p w14:paraId="7BFB3326" w14:textId="77777777" w:rsidR="00846E31" w:rsidRDefault="0061193F" w:rsidP="00846E31">
      <w:pPr>
        <w:spacing w:line="480" w:lineRule="auto"/>
        <w:jc w:val="both"/>
        <w:rPr>
          <w:rFonts w:ascii="Arial" w:eastAsiaTheme="minorHAnsi" w:hAnsi="Arial"/>
          <w:bCs/>
        </w:rPr>
      </w:pPr>
      <w:r>
        <w:rPr>
          <w:rFonts w:ascii="Arial" w:hAnsi="Arial" w:cs="Arial"/>
        </w:rPr>
        <w:t xml:space="preserve">150mg of calcein powder was added to 50ml </w:t>
      </w:r>
      <w:r>
        <w:rPr>
          <w:rFonts w:ascii="Arial" w:eastAsiaTheme="minorHAnsi" w:hAnsi="Arial"/>
          <w:bCs/>
        </w:rPr>
        <w:t>dH</w:t>
      </w:r>
      <w:r>
        <w:rPr>
          <w:rFonts w:ascii="Arial" w:eastAsiaTheme="minorHAnsi" w:hAnsi="Arial"/>
          <w:bCs/>
          <w:vertAlign w:val="subscript"/>
        </w:rPr>
        <w:t>2</w:t>
      </w:r>
      <w:r>
        <w:rPr>
          <w:rFonts w:ascii="Arial" w:eastAsiaTheme="minorHAnsi" w:hAnsi="Arial"/>
          <w:bCs/>
        </w:rPr>
        <w:t xml:space="preserve">O. 0.1g of </w:t>
      </w:r>
      <w:r w:rsidRPr="002D47EC">
        <w:rPr>
          <w:rFonts w:ascii="Arial" w:hAnsi="Arial" w:cs="Arial"/>
          <w:color w:val="000000" w:themeColor="text1"/>
          <w:lang w:eastAsia="en-GB"/>
        </w:rPr>
        <w:t>NaHCO</w:t>
      </w:r>
      <w:r w:rsidRPr="002D47EC">
        <w:rPr>
          <w:rFonts w:ascii="Arial" w:hAnsi="Arial" w:cs="Arial"/>
          <w:color w:val="000000" w:themeColor="text1"/>
          <w:vertAlign w:val="subscript"/>
          <w:lang w:eastAsia="en-GB"/>
        </w:rPr>
        <w:t>3</w:t>
      </w:r>
      <w:r>
        <w:rPr>
          <w:rFonts w:ascii="Arial" w:hAnsi="Arial" w:cs="Arial"/>
          <w:color w:val="424242"/>
          <w:vertAlign w:val="subscript"/>
          <w:lang w:eastAsia="en-GB"/>
        </w:rPr>
        <w:t xml:space="preserve"> </w:t>
      </w:r>
      <w:r w:rsidR="00846E31">
        <w:rPr>
          <w:rFonts w:ascii="Arial" w:eastAsiaTheme="minorHAnsi" w:hAnsi="Arial"/>
          <w:bCs/>
        </w:rPr>
        <w:t>was added to neutralis</w:t>
      </w:r>
      <w:r>
        <w:rPr>
          <w:rFonts w:ascii="Arial" w:eastAsiaTheme="minorHAnsi" w:hAnsi="Arial"/>
          <w:bCs/>
        </w:rPr>
        <w:t xml:space="preserve">e the pH of the solution. The solution was protected from light with aluminium foil and continuously stirred for approximately 30mins. After the solution was fully dissolved, it was filter-sterilized at </w:t>
      </w:r>
      <w:r w:rsidRPr="00212AE6">
        <w:rPr>
          <w:rFonts w:ascii="Arial" w:hAnsi="Arial" w:cs="Arial"/>
        </w:rPr>
        <w:t>0</w:t>
      </w:r>
      <w:r w:rsidRPr="00212AE6">
        <w:rPr>
          <w:rFonts w:ascii="Arial" w:hAnsi="Arial" w:cs="Arial"/>
          <w:color w:val="000000" w:themeColor="text1"/>
        </w:rPr>
        <w:t>.22</w:t>
      </w:r>
      <w:r w:rsidRPr="00212AE6">
        <w:rPr>
          <w:rFonts w:ascii="Arial" w:hAnsi="Arial" w:cs="Arial"/>
          <w:color w:val="000000" w:themeColor="text1"/>
        </w:rPr>
        <w:sym w:font="Symbol" w:char="F06D"/>
      </w:r>
      <w:r w:rsidRPr="00212AE6">
        <w:rPr>
          <w:rFonts w:ascii="Arial" w:hAnsi="Arial" w:cs="Arial"/>
          <w:color w:val="000000" w:themeColor="text1"/>
        </w:rPr>
        <w:t xml:space="preserve">m </w:t>
      </w:r>
      <w:r>
        <w:rPr>
          <w:rFonts w:ascii="Arial" w:hAnsi="Arial" w:cs="Arial"/>
          <w:color w:val="000000" w:themeColor="text1"/>
        </w:rPr>
        <w:t>into autoclaved vials also protected from light with aluminium foil.</w:t>
      </w:r>
      <w:r>
        <w:rPr>
          <w:rFonts w:ascii="Arial" w:eastAsiaTheme="minorHAnsi" w:hAnsi="Arial"/>
          <w:bCs/>
        </w:rPr>
        <w:t xml:space="preserve"> The pH of the solution was measured with a bench pH-meter and corrected to neutral pH 7 with HCl </w:t>
      </w:r>
      <w:r w:rsidR="00846E31">
        <w:rPr>
          <w:rFonts w:ascii="Arial" w:eastAsiaTheme="minorHAnsi" w:hAnsi="Arial"/>
          <w:bCs/>
        </w:rPr>
        <w:t>or</w:t>
      </w:r>
      <w:r>
        <w:rPr>
          <w:rFonts w:ascii="Arial" w:eastAsiaTheme="minorHAnsi" w:hAnsi="Arial"/>
          <w:bCs/>
        </w:rPr>
        <w:t xml:space="preserve"> NaOH. The calcein solutions were made on the same days prior the experiments ensuring no loss of fluorescence from the fluorochrome label.</w:t>
      </w:r>
    </w:p>
    <w:p w14:paraId="6EE63808" w14:textId="77777777" w:rsidR="0061193F" w:rsidRPr="00846E31" w:rsidRDefault="0061193F" w:rsidP="00846E31">
      <w:pPr>
        <w:spacing w:line="480" w:lineRule="auto"/>
        <w:jc w:val="both"/>
        <w:rPr>
          <w:rFonts w:ascii="Arial" w:eastAsiaTheme="minorHAnsi" w:hAnsi="Arial"/>
          <w:bCs/>
        </w:rPr>
      </w:pPr>
      <w:r w:rsidRPr="00E61972">
        <w:rPr>
          <w:rFonts w:ascii="Arial" w:hAnsi="Arial" w:cs="Arial"/>
          <w:b/>
        </w:rPr>
        <w:t>Method</w:t>
      </w:r>
    </w:p>
    <w:p w14:paraId="1100753C" w14:textId="77777777" w:rsidR="0061193F" w:rsidRDefault="00846E31" w:rsidP="00846E31">
      <w:pPr>
        <w:spacing w:line="480" w:lineRule="auto"/>
        <w:jc w:val="both"/>
        <w:rPr>
          <w:rFonts w:ascii="Arial" w:eastAsiaTheme="minorHAnsi" w:hAnsi="Arial"/>
          <w:bCs/>
        </w:rPr>
      </w:pPr>
      <w:r>
        <w:rPr>
          <w:rFonts w:ascii="Arial" w:eastAsiaTheme="minorHAnsi" w:hAnsi="Arial"/>
          <w:bCs/>
        </w:rPr>
        <w:t>Calcein was administer</w:t>
      </w:r>
      <w:r w:rsidR="0061193F">
        <w:rPr>
          <w:rFonts w:ascii="Arial" w:eastAsiaTheme="minorHAnsi" w:hAnsi="Arial"/>
          <w:bCs/>
        </w:rPr>
        <w:t xml:space="preserve">ed at a concentration of 30mg/kg in 0.2% </w:t>
      </w:r>
      <w:r w:rsidR="0061193F" w:rsidRPr="002D47EC">
        <w:rPr>
          <w:rFonts w:ascii="Arial" w:hAnsi="Arial" w:cs="Arial"/>
          <w:color w:val="000000" w:themeColor="text1"/>
          <w:lang w:eastAsia="en-GB"/>
        </w:rPr>
        <w:t>NaHCO</w:t>
      </w:r>
      <w:r w:rsidR="0061193F" w:rsidRPr="002D47EC">
        <w:rPr>
          <w:rFonts w:ascii="Arial" w:hAnsi="Arial" w:cs="Arial"/>
          <w:color w:val="000000" w:themeColor="text1"/>
          <w:vertAlign w:val="subscript"/>
          <w:lang w:eastAsia="en-GB"/>
        </w:rPr>
        <w:t>3</w:t>
      </w:r>
      <w:r w:rsidR="0061193F">
        <w:rPr>
          <w:rFonts w:ascii="Arial" w:hAnsi="Arial" w:cs="Arial"/>
          <w:color w:val="000000" w:themeColor="text1"/>
          <w:vertAlign w:val="subscript"/>
          <w:lang w:eastAsia="en-GB"/>
        </w:rPr>
        <w:t xml:space="preserve"> </w:t>
      </w:r>
      <w:r w:rsidR="0061193F" w:rsidRPr="00F86B8A">
        <w:rPr>
          <w:rFonts w:ascii="Arial" w:eastAsiaTheme="minorHAnsi" w:hAnsi="Arial"/>
          <w:bCs/>
        </w:rPr>
        <w:t>s</w:t>
      </w:r>
      <w:r w:rsidR="0061193F">
        <w:rPr>
          <w:rFonts w:ascii="Arial" w:eastAsiaTheme="minorHAnsi" w:hAnsi="Arial"/>
          <w:bCs/>
        </w:rPr>
        <w:t>olution s</w:t>
      </w:r>
      <w:r w:rsidR="0061193F" w:rsidRPr="00F86B8A">
        <w:rPr>
          <w:rFonts w:ascii="Arial" w:eastAsiaTheme="minorHAnsi" w:hAnsi="Arial"/>
          <w:bCs/>
        </w:rPr>
        <w:t>ubcutaneously on the first and last days of mechanical loading (days 1 and 12) using insulin syringes</w:t>
      </w:r>
      <w:r w:rsidR="00900BE6">
        <w:rPr>
          <w:rFonts w:ascii="Arial" w:eastAsiaTheme="minorHAnsi" w:hAnsi="Arial"/>
          <w:bCs/>
        </w:rPr>
        <w:t xml:space="preserve"> </w:t>
      </w:r>
      <w:r w:rsidR="00900BE6">
        <w:rPr>
          <w:rFonts w:ascii="Arial" w:eastAsiaTheme="minorHAnsi" w:hAnsi="Arial"/>
          <w:bCs/>
        </w:rPr>
        <w:fldChar w:fldCharType="begin"/>
      </w:r>
      <w:r w:rsidR="00651EFF">
        <w:rPr>
          <w:rFonts w:ascii="Arial" w:eastAsiaTheme="minorHAnsi" w:hAnsi="Arial"/>
          <w:bCs/>
        </w:rPr>
        <w:instrText xml:space="preserve"> ADDIN EN.CITE &lt;EndNote&gt;&lt;Cite&gt;&lt;Author&gt;Hillam&lt;/Author&gt;&lt;Year&gt;1995&lt;/Year&gt;&lt;RecNum&gt;103&lt;/RecNum&gt;&lt;DisplayText&gt;(Hillam and Skerry, 1995)&lt;/DisplayText&gt;&lt;record&gt;&lt;rec-number&gt;103&lt;/rec-number&gt;&lt;foreign-keys&gt;&lt;key app="EN" db-id="ae9rewfrpdttrheppfxxv0p4950wpd25r09x" timestamp="1520657867"&gt;103&lt;/key&gt;&lt;/foreign-keys&gt;&lt;ref-type name="Journal Article"&gt;17&lt;/ref-type&gt;&lt;contributors&gt;&lt;authors&gt;&lt;author&gt;Hillam, R. A.&lt;/author&gt;&lt;author&gt;Skerry, T. M. &lt;/author&gt;&lt;/authors&gt;&lt;/contributors&gt;&lt;titles&gt;&lt;title&gt;Inhibition of bone resorption and stimulation of formation by mechanical loading of the modeling rat ulna in vivo.&lt;/title&gt;&lt;secondary-title&gt;Journal of  Bone and Mineral Research&lt;/secondary-title&gt;&lt;/titles&gt;&lt;periodical&gt;&lt;full-title&gt;Journal of  Bone and Mineral Research&lt;/full-title&gt;&lt;/periodical&gt;&lt;pages&gt;683-9&lt;/pages&gt;&lt;volume&gt;10(5)&lt;/volume&gt;&lt;dates&gt;&lt;year&gt;1995&lt;/year&gt;&lt;/dates&gt;&lt;urls&gt;&lt;/urls&gt;&lt;/record&gt;&lt;/Cite&gt;&lt;/EndNote&gt;</w:instrText>
      </w:r>
      <w:r w:rsidR="00900BE6">
        <w:rPr>
          <w:rFonts w:ascii="Arial" w:eastAsiaTheme="minorHAnsi" w:hAnsi="Arial"/>
          <w:bCs/>
        </w:rPr>
        <w:fldChar w:fldCharType="separate"/>
      </w:r>
      <w:r w:rsidR="00900BE6">
        <w:rPr>
          <w:rFonts w:ascii="Arial" w:eastAsiaTheme="minorHAnsi" w:hAnsi="Arial"/>
          <w:bCs/>
          <w:noProof/>
        </w:rPr>
        <w:t>(Hillam and Skerry, 1995)</w:t>
      </w:r>
      <w:r w:rsidR="00900BE6">
        <w:rPr>
          <w:rFonts w:ascii="Arial" w:eastAsiaTheme="minorHAnsi" w:hAnsi="Arial"/>
          <w:bCs/>
        </w:rPr>
        <w:fldChar w:fldCharType="end"/>
      </w:r>
      <w:r w:rsidR="00900BE6">
        <w:rPr>
          <w:rFonts w:ascii="Arial" w:eastAsiaTheme="minorHAnsi" w:hAnsi="Arial"/>
          <w:bCs/>
        </w:rPr>
        <w:t>.</w:t>
      </w:r>
      <w:r w:rsidR="0061193F">
        <w:rPr>
          <w:rFonts w:ascii="Arial" w:eastAsiaTheme="minorHAnsi" w:hAnsi="Arial"/>
          <w:bCs/>
        </w:rPr>
        <w:t xml:space="preserve"> </w:t>
      </w:r>
    </w:p>
    <w:p w14:paraId="599E28AE" w14:textId="77777777" w:rsidR="0061193F" w:rsidRPr="006A4BEC" w:rsidRDefault="0061193F" w:rsidP="006A4BEC">
      <w:pPr>
        <w:pStyle w:val="Heading3"/>
        <w:spacing w:line="480" w:lineRule="auto"/>
        <w:jc w:val="both"/>
        <w:rPr>
          <w:rFonts w:ascii="Arial" w:hAnsi="Arial" w:cs="Arial"/>
          <w:color w:val="auto"/>
        </w:rPr>
      </w:pPr>
      <w:bookmarkStart w:id="49" w:name="_Toc383723865"/>
      <w:r w:rsidRPr="006A4BEC">
        <w:rPr>
          <w:rFonts w:ascii="Arial" w:hAnsi="Arial" w:cs="Arial"/>
          <w:color w:val="auto"/>
        </w:rPr>
        <w:t>2.1.5 Euthanasia and dissection</w:t>
      </w:r>
      <w:bookmarkEnd w:id="49"/>
    </w:p>
    <w:p w14:paraId="238B89A8" w14:textId="77777777" w:rsidR="0061193F" w:rsidRDefault="0061193F" w:rsidP="006A4BEC">
      <w:pPr>
        <w:spacing w:line="480" w:lineRule="auto"/>
        <w:jc w:val="both"/>
        <w:rPr>
          <w:rFonts w:ascii="Arial" w:eastAsiaTheme="minorHAnsi" w:hAnsi="Arial"/>
          <w:b/>
          <w:bCs/>
        </w:rPr>
      </w:pPr>
      <w:r w:rsidRPr="003C0A5D">
        <w:rPr>
          <w:rFonts w:ascii="Arial" w:eastAsiaTheme="minorHAnsi" w:hAnsi="Arial"/>
          <w:b/>
          <w:bCs/>
        </w:rPr>
        <w:t xml:space="preserve">Materials </w:t>
      </w:r>
    </w:p>
    <w:p w14:paraId="3B2CC1D5" w14:textId="77777777" w:rsidR="0061193F" w:rsidRPr="00D57010" w:rsidRDefault="006A4BEC" w:rsidP="0061193F">
      <w:pPr>
        <w:pStyle w:val="ListParagraph"/>
        <w:numPr>
          <w:ilvl w:val="0"/>
          <w:numId w:val="14"/>
        </w:numPr>
        <w:spacing w:line="480" w:lineRule="auto"/>
        <w:jc w:val="both"/>
        <w:rPr>
          <w:rFonts w:ascii="Arial" w:eastAsiaTheme="minorHAnsi" w:hAnsi="Arial"/>
          <w:bCs/>
        </w:rPr>
      </w:pPr>
      <w:r>
        <w:rPr>
          <w:rFonts w:ascii="Arial" w:eastAsiaTheme="minorHAnsi" w:hAnsi="Arial"/>
          <w:bCs/>
        </w:rPr>
        <w:t>E</w:t>
      </w:r>
      <w:r w:rsidR="0061193F" w:rsidRPr="00470A5F">
        <w:rPr>
          <w:rFonts w:ascii="Arial" w:eastAsiaTheme="minorHAnsi" w:hAnsi="Arial"/>
          <w:bCs/>
        </w:rPr>
        <w:t>thanol (EOH) diluted to 70% with dH</w:t>
      </w:r>
      <w:r w:rsidR="0061193F" w:rsidRPr="00470A5F">
        <w:rPr>
          <w:rFonts w:ascii="Arial" w:eastAsiaTheme="minorHAnsi" w:hAnsi="Arial"/>
          <w:bCs/>
          <w:vertAlign w:val="subscript"/>
        </w:rPr>
        <w:t>2</w:t>
      </w:r>
      <w:r w:rsidR="0061193F" w:rsidRPr="00470A5F">
        <w:rPr>
          <w:rFonts w:ascii="Arial" w:eastAsiaTheme="minorHAnsi" w:hAnsi="Arial"/>
          <w:bCs/>
        </w:rPr>
        <w:t xml:space="preserve">O </w:t>
      </w:r>
      <w:r w:rsidR="002D3448">
        <w:rPr>
          <w:rFonts w:ascii="Arial" w:eastAsiaTheme="minorHAnsi" w:hAnsi="Arial"/>
          <w:bCs/>
        </w:rPr>
        <w:t>(1704384, MW 46.07</w:t>
      </w:r>
      <w:r w:rsidR="00966161">
        <w:rPr>
          <w:rFonts w:ascii="Arial" w:eastAsiaTheme="minorHAnsi" w:hAnsi="Arial"/>
          <w:bCs/>
        </w:rPr>
        <w:t>g/mol</w:t>
      </w:r>
      <w:r w:rsidR="002D3448">
        <w:rPr>
          <w:rFonts w:ascii="Arial" w:eastAsiaTheme="minorHAnsi" w:hAnsi="Arial"/>
          <w:bCs/>
        </w:rPr>
        <w:t xml:space="preserve">) </w:t>
      </w:r>
      <w:r w:rsidR="0061193F" w:rsidRPr="00470A5F">
        <w:rPr>
          <w:rFonts w:ascii="Arial" w:eastAsiaTheme="minorHAnsi" w:hAnsi="Arial"/>
          <w:bCs/>
        </w:rPr>
        <w:t>(</w:t>
      </w:r>
      <w:r w:rsidR="002D3448">
        <w:rPr>
          <w:rFonts w:ascii="Arial" w:eastAsiaTheme="minorHAnsi" w:hAnsi="Arial"/>
          <w:bCs/>
        </w:rPr>
        <w:t xml:space="preserve">Fisher Scientific, Leicestershire, </w:t>
      </w:r>
      <w:r w:rsidR="0061193F" w:rsidRPr="00470A5F">
        <w:rPr>
          <w:rFonts w:ascii="Arial" w:eastAsiaTheme="minorHAnsi" w:hAnsi="Arial"/>
          <w:bCs/>
        </w:rPr>
        <w:t>UK)</w:t>
      </w:r>
    </w:p>
    <w:p w14:paraId="3F14CD03" w14:textId="77777777" w:rsidR="0061193F" w:rsidRPr="006A4BEC" w:rsidRDefault="0061193F" w:rsidP="0061193F">
      <w:pPr>
        <w:pStyle w:val="ListParagraph"/>
        <w:numPr>
          <w:ilvl w:val="0"/>
          <w:numId w:val="14"/>
        </w:numPr>
        <w:spacing w:line="480" w:lineRule="auto"/>
        <w:jc w:val="both"/>
        <w:rPr>
          <w:rFonts w:ascii="Arial" w:hAnsi="Arial" w:cs="Arial"/>
        </w:rPr>
      </w:pPr>
      <w:r>
        <w:rPr>
          <w:rFonts w:ascii="Arial" w:hAnsi="Arial" w:cs="Arial"/>
        </w:rPr>
        <w:lastRenderedPageBreak/>
        <w:t xml:space="preserve">Animal bone dissection tools - </w:t>
      </w:r>
      <w:r w:rsidRPr="007A7809">
        <w:rPr>
          <w:rFonts w:ascii="Arial" w:hAnsi="Arial" w:cs="Arial"/>
        </w:rPr>
        <w:t>forceps, surgical scissors, sterile surgical scalpels</w:t>
      </w:r>
      <w:r>
        <w:rPr>
          <w:rFonts w:ascii="Arial" w:hAnsi="Arial" w:cs="Arial"/>
        </w:rPr>
        <w:t xml:space="preserve"> (Swann-Morton, Sheffield, UK</w:t>
      </w:r>
      <w:r w:rsidRPr="007A7809">
        <w:rPr>
          <w:rFonts w:ascii="Arial" w:hAnsi="Arial" w:cs="Arial"/>
        </w:rPr>
        <w:t>)</w:t>
      </w:r>
    </w:p>
    <w:p w14:paraId="1C09D49E" w14:textId="77777777" w:rsidR="0061193F" w:rsidRPr="003C0A5D" w:rsidRDefault="0061193F" w:rsidP="0061193F">
      <w:pPr>
        <w:spacing w:line="480" w:lineRule="auto"/>
        <w:jc w:val="both"/>
        <w:rPr>
          <w:rFonts w:ascii="Arial" w:eastAsiaTheme="minorHAnsi" w:hAnsi="Arial"/>
          <w:b/>
          <w:bCs/>
        </w:rPr>
      </w:pPr>
      <w:r>
        <w:rPr>
          <w:rFonts w:ascii="Arial" w:eastAsiaTheme="minorHAnsi" w:hAnsi="Arial"/>
          <w:b/>
          <w:bCs/>
        </w:rPr>
        <w:t>Method</w:t>
      </w:r>
    </w:p>
    <w:p w14:paraId="402E73C9" w14:textId="77777777" w:rsidR="0061193F" w:rsidRPr="00F406A8" w:rsidRDefault="0061193F" w:rsidP="0061193F">
      <w:pPr>
        <w:spacing w:line="480" w:lineRule="auto"/>
        <w:jc w:val="both"/>
        <w:rPr>
          <w:rFonts w:ascii="Arial" w:eastAsiaTheme="minorHAnsi" w:hAnsi="Arial"/>
          <w:bCs/>
        </w:rPr>
      </w:pPr>
      <w:r>
        <w:rPr>
          <w:rFonts w:ascii="Arial" w:eastAsiaTheme="minorHAnsi" w:hAnsi="Arial"/>
          <w:bCs/>
        </w:rPr>
        <w:t>Mice were euthanized by the Schedule 1 method (concussion confirmed with cervical dislocation) on day 15. After euthanasia, mice were thoroughly sprayed with 70% EOH</w:t>
      </w:r>
      <w:r w:rsidR="005D2F4F">
        <w:rPr>
          <w:rFonts w:ascii="Arial" w:eastAsiaTheme="minorHAnsi" w:hAnsi="Arial"/>
          <w:bCs/>
        </w:rPr>
        <w:t xml:space="preserve"> to prevent any loose dry hair contamination</w:t>
      </w:r>
      <w:r>
        <w:rPr>
          <w:rFonts w:ascii="Arial" w:eastAsiaTheme="minorHAnsi" w:hAnsi="Arial"/>
          <w:bCs/>
        </w:rPr>
        <w:t xml:space="preserve">, the hind limbs were removed and dissected. A small incision was made to the midline in the lower abdomen, just above the hips and extended down the legs passing the ankle joints. The skin was pulled back and the tibiae were separated from femurs without damaging the bones and retaining fibulae by cutting through the flexed knee joints. After sectioning the ligaments with surgical scissors, the feet were removed by cutting through the flexed tibio-tarsal joints. The tibialis anterior, gastrocnemius and sartorius muscles were isolated by peeling the </w:t>
      </w:r>
      <w:proofErr w:type="gramStart"/>
      <w:r>
        <w:rPr>
          <w:rFonts w:ascii="Arial" w:eastAsiaTheme="minorHAnsi" w:hAnsi="Arial"/>
          <w:bCs/>
        </w:rPr>
        <w:t>achilles</w:t>
      </w:r>
      <w:proofErr w:type="gramEnd"/>
      <w:r>
        <w:rPr>
          <w:rFonts w:ascii="Arial" w:eastAsiaTheme="minorHAnsi" w:hAnsi="Arial"/>
          <w:bCs/>
        </w:rPr>
        <w:t xml:space="preserve"> tendons proximally and sectioning </w:t>
      </w:r>
      <w:r w:rsidR="0061127E">
        <w:rPr>
          <w:rFonts w:ascii="Arial" w:eastAsiaTheme="minorHAnsi" w:hAnsi="Arial"/>
          <w:bCs/>
        </w:rPr>
        <w:t xml:space="preserve">cut </w:t>
      </w:r>
      <w:r>
        <w:rPr>
          <w:rFonts w:ascii="Arial" w:eastAsiaTheme="minorHAnsi" w:hAnsi="Arial"/>
          <w:bCs/>
        </w:rPr>
        <w:t>muscle origins. The forceps, scissors and scalpels were used to remove any additional muscles or connective tissues before the tibiae were fixed in 70% EOH and stored protected from light at 4</w:t>
      </w:r>
      <w:r>
        <w:rPr>
          <w:rFonts w:ascii="Arial" w:eastAsiaTheme="minorHAnsi" w:hAnsi="Arial"/>
          <w:bCs/>
          <w:vertAlign w:val="superscript"/>
        </w:rPr>
        <w:t>0</w:t>
      </w:r>
      <w:r>
        <w:rPr>
          <w:rFonts w:ascii="Arial" w:eastAsiaTheme="minorHAnsi" w:hAnsi="Arial"/>
          <w:bCs/>
        </w:rPr>
        <w:t xml:space="preserve">C until time for </w:t>
      </w:r>
      <w:r w:rsidRPr="00F406A8">
        <w:rPr>
          <w:rFonts w:ascii="Arial" w:hAnsi="Arial" w:cs="Arial"/>
          <w:color w:val="000000" w:themeColor="text1"/>
        </w:rPr>
        <w:sym w:font="Symbol" w:char="F06D"/>
      </w:r>
      <w:r w:rsidRPr="00F406A8">
        <w:rPr>
          <w:rFonts w:ascii="Arial" w:hAnsi="Arial" w:cs="Arial"/>
          <w:color w:val="000000" w:themeColor="text1"/>
        </w:rPr>
        <w:t>CT analysis.</w:t>
      </w:r>
    </w:p>
    <w:p w14:paraId="511CBD4F" w14:textId="77777777" w:rsidR="0061193F" w:rsidRPr="00DD5CA2" w:rsidRDefault="0061193F" w:rsidP="00DD5CA2">
      <w:pPr>
        <w:pStyle w:val="Heading3"/>
        <w:spacing w:line="480" w:lineRule="auto"/>
        <w:jc w:val="both"/>
        <w:rPr>
          <w:rFonts w:ascii="Arial" w:hAnsi="Arial" w:cs="Arial"/>
          <w:color w:val="auto"/>
        </w:rPr>
      </w:pPr>
      <w:bookmarkStart w:id="50" w:name="_Toc383723866"/>
      <w:r w:rsidRPr="00DD5CA2">
        <w:rPr>
          <w:rFonts w:ascii="Arial" w:hAnsi="Arial" w:cs="Arial"/>
          <w:color w:val="auto"/>
        </w:rPr>
        <w:t>2.1.6 Micro-computed tomography (</w:t>
      </w:r>
      <w:r w:rsidRPr="00DD5CA2">
        <w:rPr>
          <w:rFonts w:ascii="Arial" w:hAnsi="Arial" w:cs="Arial"/>
          <w:color w:val="auto"/>
        </w:rPr>
        <w:sym w:font="Symbol" w:char="F06D"/>
      </w:r>
      <w:r w:rsidRPr="00DD5CA2">
        <w:rPr>
          <w:rFonts w:ascii="Arial" w:hAnsi="Arial" w:cs="Arial"/>
          <w:color w:val="auto"/>
        </w:rPr>
        <w:t>CT) analysis</w:t>
      </w:r>
      <w:bookmarkEnd w:id="50"/>
    </w:p>
    <w:p w14:paraId="569770FD" w14:textId="77777777" w:rsidR="0061193F" w:rsidRPr="0052395E" w:rsidRDefault="0061193F" w:rsidP="00DD5CA2">
      <w:pPr>
        <w:spacing w:line="480" w:lineRule="auto"/>
        <w:jc w:val="both"/>
        <w:rPr>
          <w:rFonts w:ascii="Arial" w:hAnsi="Arial" w:cs="Arial"/>
          <w:b/>
        </w:rPr>
      </w:pPr>
      <w:r w:rsidRPr="0052395E">
        <w:rPr>
          <w:rFonts w:ascii="Arial" w:hAnsi="Arial" w:cs="Arial"/>
          <w:b/>
        </w:rPr>
        <w:t xml:space="preserve">Materials </w:t>
      </w:r>
    </w:p>
    <w:p w14:paraId="0AD68C54" w14:textId="77777777" w:rsidR="0061193F" w:rsidRDefault="0061193F" w:rsidP="00DD5CA2">
      <w:pPr>
        <w:pStyle w:val="ListParagraph"/>
        <w:numPr>
          <w:ilvl w:val="0"/>
          <w:numId w:val="16"/>
        </w:numPr>
        <w:spacing w:line="480" w:lineRule="auto"/>
        <w:jc w:val="both"/>
        <w:rPr>
          <w:rFonts w:ascii="Arial" w:eastAsiaTheme="minorHAnsi" w:hAnsi="Arial"/>
          <w:bCs/>
        </w:rPr>
      </w:pPr>
      <w:r w:rsidRPr="0024611F">
        <w:rPr>
          <w:rFonts w:ascii="Arial" w:eastAsiaTheme="minorHAnsi" w:hAnsi="Arial"/>
          <w:bCs/>
        </w:rPr>
        <w:t>Non-PVC containing cling film (Sainsbury’s, UK)</w:t>
      </w:r>
    </w:p>
    <w:p w14:paraId="63D23400" w14:textId="77777777" w:rsidR="0061193F" w:rsidRPr="0024611F" w:rsidRDefault="00AE6670" w:rsidP="00DD5CA2">
      <w:pPr>
        <w:pStyle w:val="ListParagraph"/>
        <w:numPr>
          <w:ilvl w:val="0"/>
          <w:numId w:val="16"/>
        </w:numPr>
        <w:spacing w:line="480" w:lineRule="auto"/>
        <w:jc w:val="both"/>
        <w:rPr>
          <w:rFonts w:ascii="Arial" w:eastAsiaTheme="minorHAnsi" w:hAnsi="Arial"/>
          <w:bCs/>
        </w:rPr>
      </w:pPr>
      <w:r>
        <w:rPr>
          <w:rFonts w:ascii="Arial" w:eastAsiaTheme="minorHAnsi" w:hAnsi="Arial"/>
          <w:bCs/>
        </w:rPr>
        <w:t>Plastic</w:t>
      </w:r>
      <w:r w:rsidR="0061193F">
        <w:rPr>
          <w:rFonts w:ascii="Arial" w:eastAsiaTheme="minorHAnsi" w:hAnsi="Arial"/>
          <w:bCs/>
        </w:rPr>
        <w:t xml:space="preserve"> </w:t>
      </w:r>
      <w:r w:rsidR="00E64AC6">
        <w:rPr>
          <w:rFonts w:ascii="Arial" w:eastAsiaTheme="minorHAnsi" w:hAnsi="Arial"/>
          <w:bCs/>
        </w:rPr>
        <w:t>b</w:t>
      </w:r>
      <w:r w:rsidR="00F07B7D">
        <w:rPr>
          <w:rFonts w:ascii="Arial" w:eastAsiaTheme="minorHAnsi" w:hAnsi="Arial"/>
          <w:bCs/>
        </w:rPr>
        <w:t xml:space="preserve">ijou </w:t>
      </w:r>
      <w:r w:rsidR="00E64AC6">
        <w:rPr>
          <w:rFonts w:ascii="Arial" w:eastAsiaTheme="minorHAnsi" w:hAnsi="Arial"/>
          <w:bCs/>
        </w:rPr>
        <w:t>containers</w:t>
      </w:r>
      <w:r w:rsidR="00F07B7D">
        <w:rPr>
          <w:rFonts w:ascii="Arial" w:eastAsiaTheme="minorHAnsi" w:hAnsi="Arial"/>
          <w:bCs/>
        </w:rPr>
        <w:t xml:space="preserve"> </w:t>
      </w:r>
      <w:r w:rsidR="00E64AC6">
        <w:rPr>
          <w:rFonts w:ascii="Arial" w:eastAsiaTheme="minorHAnsi" w:hAnsi="Arial"/>
          <w:bCs/>
        </w:rPr>
        <w:t>(</w:t>
      </w:r>
      <w:r>
        <w:rPr>
          <w:rFonts w:ascii="Arial" w:hAnsi="Arial" w:cs="Arial"/>
          <w:color w:val="000000" w:themeColor="text1"/>
        </w:rPr>
        <w:t>7ml,</w:t>
      </w:r>
      <w:r>
        <w:rPr>
          <w:rFonts w:ascii="Arial" w:eastAsiaTheme="minorHAnsi" w:hAnsi="Arial"/>
          <w:bCs/>
        </w:rPr>
        <w:t xml:space="preserve"> Thermo Scientific, UK)</w:t>
      </w:r>
    </w:p>
    <w:p w14:paraId="1221DAC4" w14:textId="77777777" w:rsidR="0061193F" w:rsidRDefault="0061193F" w:rsidP="0061193F">
      <w:pPr>
        <w:spacing w:line="480" w:lineRule="auto"/>
        <w:jc w:val="both"/>
        <w:rPr>
          <w:rFonts w:ascii="Arial" w:eastAsiaTheme="minorHAnsi" w:hAnsi="Arial"/>
          <w:b/>
          <w:bCs/>
        </w:rPr>
      </w:pPr>
      <w:r w:rsidRPr="00386ECE">
        <w:rPr>
          <w:rFonts w:ascii="Arial" w:eastAsiaTheme="minorHAnsi" w:hAnsi="Arial"/>
          <w:b/>
          <w:bCs/>
        </w:rPr>
        <w:t xml:space="preserve">Equipment </w:t>
      </w:r>
    </w:p>
    <w:p w14:paraId="37D240DC" w14:textId="77777777" w:rsidR="0061193F" w:rsidRPr="0024611F" w:rsidRDefault="0061193F" w:rsidP="0061193F">
      <w:pPr>
        <w:pStyle w:val="ListParagraph"/>
        <w:numPr>
          <w:ilvl w:val="0"/>
          <w:numId w:val="16"/>
        </w:numPr>
        <w:spacing w:line="480" w:lineRule="auto"/>
        <w:jc w:val="both"/>
        <w:rPr>
          <w:rFonts w:ascii="Arial" w:hAnsi="Arial" w:cs="Arial"/>
          <w:color w:val="000000" w:themeColor="text1"/>
        </w:rPr>
      </w:pPr>
      <w:r w:rsidRPr="00F406A8">
        <w:sym w:font="Symbol" w:char="F06D"/>
      </w:r>
      <w:r w:rsidRPr="0024611F">
        <w:rPr>
          <w:rFonts w:ascii="Arial" w:hAnsi="Arial" w:cs="Arial"/>
          <w:color w:val="000000" w:themeColor="text1"/>
        </w:rPr>
        <w:t>CT scanner and software (SkyScan 1172, Bruker MicroCT, Kontich, Belgium)</w:t>
      </w:r>
    </w:p>
    <w:p w14:paraId="180EFF7B" w14:textId="77777777" w:rsidR="0061193F" w:rsidRPr="00386ECE" w:rsidRDefault="0061193F" w:rsidP="0061193F">
      <w:pPr>
        <w:spacing w:line="480" w:lineRule="auto"/>
        <w:jc w:val="both"/>
        <w:rPr>
          <w:rFonts w:ascii="Arial" w:eastAsiaTheme="minorHAnsi" w:hAnsi="Arial"/>
          <w:b/>
          <w:bCs/>
        </w:rPr>
      </w:pPr>
      <w:r>
        <w:rPr>
          <w:rFonts w:ascii="Arial" w:eastAsiaTheme="minorHAnsi" w:hAnsi="Arial"/>
          <w:b/>
          <w:bCs/>
        </w:rPr>
        <w:t>Method</w:t>
      </w:r>
    </w:p>
    <w:p w14:paraId="126BD712" w14:textId="77777777" w:rsidR="0061193F" w:rsidRDefault="0061193F" w:rsidP="0061193F">
      <w:pPr>
        <w:spacing w:line="480" w:lineRule="auto"/>
        <w:jc w:val="both"/>
        <w:rPr>
          <w:rFonts w:ascii="Arial" w:eastAsiaTheme="minorHAnsi" w:hAnsi="Arial"/>
          <w:bCs/>
        </w:rPr>
      </w:pPr>
      <w:r>
        <w:rPr>
          <w:rFonts w:ascii="Arial" w:eastAsiaTheme="minorHAnsi" w:hAnsi="Arial"/>
          <w:bCs/>
        </w:rPr>
        <w:t xml:space="preserve">The tibiae were collected after mice were culled, and </w:t>
      </w:r>
      <w:r w:rsidRPr="00ED4CD6">
        <w:rPr>
          <w:rFonts w:ascii="Arial" w:eastAsiaTheme="minorHAnsi" w:hAnsi="Arial"/>
          <w:bCs/>
        </w:rPr>
        <w:t xml:space="preserve">loading responses of bones determined by </w:t>
      </w:r>
      <w:r w:rsidRPr="00F406A8">
        <w:rPr>
          <w:rFonts w:ascii="Arial" w:hAnsi="Arial" w:cs="Arial"/>
          <w:color w:val="000000" w:themeColor="text1"/>
        </w:rPr>
        <w:sym w:font="Symbol" w:char="F06D"/>
      </w:r>
      <w:r w:rsidRPr="00F406A8">
        <w:rPr>
          <w:rFonts w:ascii="Arial" w:hAnsi="Arial" w:cs="Arial"/>
          <w:color w:val="000000" w:themeColor="text1"/>
        </w:rPr>
        <w:t>CT</w:t>
      </w:r>
      <w:r>
        <w:rPr>
          <w:rFonts w:ascii="Arial" w:eastAsiaTheme="minorHAnsi" w:hAnsi="Arial"/>
          <w:bCs/>
        </w:rPr>
        <w:t xml:space="preserve"> using a</w:t>
      </w:r>
      <w:r w:rsidR="00726183">
        <w:rPr>
          <w:rFonts w:ascii="Arial" w:eastAsiaTheme="minorHAnsi" w:hAnsi="Arial"/>
          <w:bCs/>
        </w:rPr>
        <w:t xml:space="preserve"> </w:t>
      </w:r>
      <w:r>
        <w:rPr>
          <w:rFonts w:ascii="Arial" w:eastAsiaTheme="minorHAnsi" w:hAnsi="Arial"/>
          <w:bCs/>
        </w:rPr>
        <w:t>SkyScan 1172 (</w:t>
      </w:r>
      <w:r w:rsidRPr="0024611F">
        <w:rPr>
          <w:rFonts w:ascii="Arial" w:hAnsi="Arial" w:cs="Arial"/>
          <w:color w:val="000000" w:themeColor="text1"/>
        </w:rPr>
        <w:t>SkyScan, Kontich, Belgium</w:t>
      </w:r>
      <w:r>
        <w:rPr>
          <w:rFonts w:ascii="Arial" w:hAnsi="Arial" w:cs="Arial"/>
          <w:color w:val="000000" w:themeColor="text1"/>
        </w:rPr>
        <w:t>)</w:t>
      </w:r>
      <w:r>
        <w:rPr>
          <w:rFonts w:ascii="Arial" w:eastAsiaTheme="minorHAnsi" w:hAnsi="Arial"/>
          <w:bCs/>
        </w:rPr>
        <w:t>. Since mouse bones are small</w:t>
      </w:r>
      <w:r w:rsidR="008462DB">
        <w:rPr>
          <w:rFonts w:ascii="Arial" w:eastAsiaTheme="minorHAnsi" w:hAnsi="Arial"/>
          <w:bCs/>
        </w:rPr>
        <w:t>,</w:t>
      </w:r>
      <w:r>
        <w:rPr>
          <w:rFonts w:ascii="Arial" w:eastAsiaTheme="minorHAnsi" w:hAnsi="Arial"/>
          <w:bCs/>
        </w:rPr>
        <w:t xml:space="preserve"> and axial loading related osteogenesis is site-specific, high-resolution </w:t>
      </w:r>
      <w:r w:rsidRPr="00F406A8">
        <w:rPr>
          <w:rFonts w:ascii="Arial" w:hAnsi="Arial" w:cs="Arial"/>
          <w:color w:val="000000" w:themeColor="text1"/>
        </w:rPr>
        <w:sym w:font="Symbol" w:char="F06D"/>
      </w:r>
      <w:r w:rsidRPr="00F406A8">
        <w:rPr>
          <w:rFonts w:ascii="Arial" w:hAnsi="Arial" w:cs="Arial"/>
          <w:color w:val="000000" w:themeColor="text1"/>
        </w:rPr>
        <w:t>CT</w:t>
      </w:r>
      <w:r>
        <w:rPr>
          <w:rFonts w:ascii="Arial" w:hAnsi="Arial" w:cs="Arial"/>
          <w:color w:val="000000" w:themeColor="text1"/>
        </w:rPr>
        <w:t xml:space="preserve"> </w:t>
      </w:r>
      <w:r>
        <w:rPr>
          <w:rFonts w:ascii="Arial" w:eastAsiaTheme="minorHAnsi" w:hAnsi="Arial"/>
          <w:bCs/>
        </w:rPr>
        <w:t xml:space="preserve">analysis was used primarily to quantify three-dimensional bone microarchitecture at </w:t>
      </w:r>
      <w:r>
        <w:rPr>
          <w:rFonts w:ascii="Arial" w:eastAsiaTheme="minorHAnsi" w:hAnsi="Arial"/>
          <w:bCs/>
        </w:rPr>
        <w:lastRenderedPageBreak/>
        <w:t>comparable sites (proximal and mid</w:t>
      </w:r>
      <w:r w:rsidR="00726183">
        <w:rPr>
          <w:rFonts w:ascii="Arial" w:eastAsiaTheme="minorHAnsi" w:hAnsi="Arial"/>
          <w:bCs/>
        </w:rPr>
        <w:t>-</w:t>
      </w:r>
      <w:r>
        <w:rPr>
          <w:rFonts w:ascii="Arial" w:eastAsiaTheme="minorHAnsi" w:hAnsi="Arial"/>
          <w:bCs/>
        </w:rPr>
        <w:t xml:space="preserve">shaft regions) of loaded and contralateral non-loaded control tibiae </w:t>
      </w:r>
      <w:r w:rsidRPr="00822D3B">
        <w:rPr>
          <w:rFonts w:ascii="Arial" w:eastAsiaTheme="minorHAnsi" w:hAnsi="Arial"/>
          <w:bCs/>
        </w:rPr>
        <w:fldChar w:fldCharType="begin">
          <w:fldData xml:space="preserve">PEVuZE5vdGU+PENpdGU+PEF1dGhvcj5TdWdpeWFtYTwvQXV0aG9yPjxZZWFyPjIwMTA8L1llYXI+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</w:fldData>
        </w:fldChar>
      </w:r>
      <w:r w:rsidR="00A108A1">
        <w:rPr>
          <w:rFonts w:ascii="Arial" w:eastAsiaTheme="minorHAnsi" w:hAnsi="Arial"/>
          <w:bCs/>
        </w:rPr>
        <w:instrText xml:space="preserve"> ADDIN EN.CITE </w:instrText>
      </w:r>
      <w:r w:rsidR="00A108A1">
        <w:rPr>
          <w:rFonts w:ascii="Arial" w:eastAsiaTheme="minorHAnsi" w:hAnsi="Arial"/>
          <w:bCs/>
        </w:rPr>
        <w:fldChar w:fldCharType="begin">
          <w:fldData xml:space="preserve">PEVuZE5vdGU+PENpdGU+PEF1dGhvcj5TdWdpeWFtYTwvQXV0aG9yPjxZZWFyPjIwMTA8L1llYXI+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</w:fldData>
        </w:fldChar>
      </w:r>
      <w:r w:rsidR="00A108A1">
        <w:rPr>
          <w:rFonts w:ascii="Arial" w:eastAsiaTheme="minorHAnsi" w:hAnsi="Arial"/>
          <w:bCs/>
        </w:rPr>
        <w:instrText xml:space="preserve"> ADDIN EN.CITE.DATA </w:instrText>
      </w:r>
      <w:r w:rsidR="00A108A1">
        <w:rPr>
          <w:rFonts w:ascii="Arial" w:eastAsiaTheme="minorHAnsi" w:hAnsi="Arial"/>
          <w:bCs/>
        </w:rPr>
      </w:r>
      <w:r w:rsidR="00A108A1">
        <w:rPr>
          <w:rFonts w:ascii="Arial" w:eastAsiaTheme="minorHAnsi" w:hAnsi="Arial"/>
          <w:bCs/>
        </w:rPr>
        <w:fldChar w:fldCharType="end"/>
      </w:r>
      <w:r w:rsidRPr="00822D3B">
        <w:rPr>
          <w:rFonts w:ascii="Arial" w:eastAsiaTheme="minorHAnsi" w:hAnsi="Arial"/>
          <w:bCs/>
        </w:rPr>
      </w:r>
      <w:r w:rsidRPr="00822D3B">
        <w:rPr>
          <w:rFonts w:ascii="Arial" w:eastAsiaTheme="minorHAnsi" w:hAnsi="Arial"/>
          <w:bCs/>
        </w:rPr>
        <w:fldChar w:fldCharType="separate"/>
      </w:r>
      <w:r w:rsidRPr="00822D3B">
        <w:rPr>
          <w:rFonts w:ascii="Arial" w:eastAsiaTheme="minorHAnsi" w:hAnsi="Arial"/>
          <w:bCs/>
          <w:noProof/>
        </w:rPr>
        <w:t>(Sugiyama et al., 2010, Sugiyama et al., 2012)</w:t>
      </w:r>
      <w:r w:rsidRPr="00822D3B">
        <w:rPr>
          <w:rFonts w:ascii="Arial" w:eastAsiaTheme="minorHAnsi" w:hAnsi="Arial"/>
          <w:bCs/>
        </w:rPr>
        <w:fldChar w:fldCharType="end"/>
      </w:r>
      <w:r w:rsidRPr="00822D3B">
        <w:rPr>
          <w:rFonts w:ascii="Arial" w:eastAsiaTheme="minorHAnsi" w:hAnsi="Arial"/>
          <w:bCs/>
        </w:rPr>
        <w:t xml:space="preserve">. Low-resolution images of the whole tibiae were also obtained. The tibiae were stored in 70% EOH and mounted in a plastic tube wrapped in </w:t>
      </w:r>
      <w:r w:rsidR="008462DB">
        <w:rPr>
          <w:rFonts w:ascii="Arial" w:eastAsiaTheme="minorHAnsi" w:hAnsi="Arial"/>
          <w:bCs/>
        </w:rPr>
        <w:t>cling</w:t>
      </w:r>
      <w:r w:rsidRPr="00822D3B">
        <w:rPr>
          <w:rFonts w:ascii="Arial" w:eastAsiaTheme="minorHAnsi" w:hAnsi="Arial"/>
          <w:bCs/>
        </w:rPr>
        <w:t xml:space="preserve"> film to prevent drying during scanning. The low-resolution scans were imaged with a pixel size of 17.2</w:t>
      </w:r>
      <w:r w:rsidRPr="00822D3B">
        <w:rPr>
          <w:rFonts w:ascii="Arial" w:hAnsi="Arial" w:cs="Arial"/>
          <w:color w:val="000000" w:themeColor="text1"/>
        </w:rPr>
        <w:sym w:font="Symbol" w:char="F06D"/>
      </w:r>
      <w:r w:rsidRPr="00822D3B">
        <w:rPr>
          <w:rFonts w:ascii="Arial" w:hAnsi="Arial" w:cs="Arial"/>
          <w:color w:val="000000" w:themeColor="text1"/>
        </w:rPr>
        <w:t>m and the high resolution scans with a pixel size of 4.3</w:t>
      </w:r>
      <w:r w:rsidRPr="00822D3B">
        <w:rPr>
          <w:rFonts w:ascii="Arial" w:hAnsi="Arial" w:cs="Arial"/>
          <w:color w:val="000000" w:themeColor="text1"/>
        </w:rPr>
        <w:sym w:font="Symbol" w:char="F06D"/>
      </w:r>
      <w:r w:rsidRPr="00822D3B">
        <w:rPr>
          <w:rFonts w:ascii="Arial" w:hAnsi="Arial" w:cs="Arial"/>
          <w:color w:val="000000" w:themeColor="text1"/>
        </w:rPr>
        <w:t xml:space="preserve">m. </w:t>
      </w:r>
      <w:r>
        <w:rPr>
          <w:rFonts w:ascii="Arial" w:eastAsiaTheme="minorHAnsi" w:hAnsi="Arial"/>
          <w:bCs/>
        </w:rPr>
        <w:t>The applied X</w:t>
      </w:r>
      <w:r w:rsidRPr="00822D3B">
        <w:rPr>
          <w:rFonts w:ascii="Arial" w:eastAsiaTheme="minorHAnsi" w:hAnsi="Arial"/>
          <w:bCs/>
        </w:rPr>
        <w:t xml:space="preserve">-ray voltage was 50kV, </w:t>
      </w:r>
      <w:r>
        <w:rPr>
          <w:rFonts w:ascii="Arial" w:eastAsiaTheme="minorHAnsi" w:hAnsi="Arial"/>
          <w:bCs/>
        </w:rPr>
        <w:t xml:space="preserve">X-ray intensity </w:t>
      </w:r>
      <w:r w:rsidRPr="00822D3B">
        <w:rPr>
          <w:rFonts w:ascii="Arial" w:eastAsiaTheme="minorHAnsi" w:hAnsi="Arial"/>
          <w:bCs/>
        </w:rPr>
        <w:t>200</w:t>
      </w:r>
      <w:r w:rsidRPr="00822D3B">
        <w:rPr>
          <w:rFonts w:ascii="Arial" w:hAnsi="Arial" w:cs="Arial"/>
          <w:color w:val="000000" w:themeColor="text1"/>
        </w:rPr>
        <w:sym w:font="Symbol" w:char="F06D"/>
      </w:r>
      <w:r w:rsidRPr="00822D3B">
        <w:rPr>
          <w:rFonts w:ascii="Arial" w:hAnsi="Arial" w:cs="Arial"/>
          <w:color w:val="000000" w:themeColor="text1"/>
        </w:rPr>
        <w:t>A</w:t>
      </w:r>
      <w:r w:rsidRPr="00822D3B">
        <w:rPr>
          <w:rFonts w:ascii="Arial" w:eastAsiaTheme="minorHAnsi" w:hAnsi="Arial"/>
          <w:bCs/>
        </w:rPr>
        <w:t xml:space="preserve"> with </w:t>
      </w:r>
      <w:r>
        <w:rPr>
          <w:rFonts w:ascii="Arial" w:eastAsiaTheme="minorHAnsi" w:hAnsi="Arial"/>
          <w:bCs/>
        </w:rPr>
        <w:t xml:space="preserve">a </w:t>
      </w:r>
      <w:r w:rsidRPr="00822D3B">
        <w:rPr>
          <w:rFonts w:ascii="Arial" w:eastAsiaTheme="minorHAnsi" w:hAnsi="Arial"/>
          <w:bCs/>
        </w:rPr>
        <w:t>0.5mm aluminium filtration. The scans were taken over 180</w:t>
      </w:r>
      <w:r>
        <w:rPr>
          <w:rFonts w:ascii="Arial" w:eastAsiaTheme="minorHAnsi" w:hAnsi="Arial"/>
          <w:bCs/>
        </w:rPr>
        <w:t xml:space="preserve"> </w:t>
      </w:r>
      <w:r w:rsidRPr="00822D3B">
        <w:rPr>
          <w:rFonts w:ascii="Arial" w:eastAsiaTheme="minorHAnsi" w:hAnsi="Arial"/>
          <w:bCs/>
        </w:rPr>
        <w:t>degrees with a 0.7-degree rotation step</w:t>
      </w:r>
      <w:r w:rsidR="00161FEA">
        <w:rPr>
          <w:rFonts w:ascii="Arial" w:eastAsiaTheme="minorHAnsi" w:hAnsi="Arial"/>
          <w:bCs/>
        </w:rPr>
        <w:t xml:space="preserve"> (Figure 1</w:t>
      </w:r>
      <w:r w:rsidR="00E30CCA">
        <w:rPr>
          <w:rFonts w:ascii="Arial" w:eastAsiaTheme="minorHAnsi" w:hAnsi="Arial"/>
          <w:bCs/>
        </w:rPr>
        <w:t>3</w:t>
      </w:r>
      <w:r>
        <w:rPr>
          <w:rFonts w:ascii="Arial" w:eastAsiaTheme="minorHAnsi" w:hAnsi="Arial"/>
          <w:bCs/>
        </w:rPr>
        <w:t>)</w:t>
      </w:r>
      <w:r w:rsidRPr="00822D3B">
        <w:rPr>
          <w:rFonts w:ascii="Arial" w:eastAsiaTheme="minorHAnsi" w:hAnsi="Arial"/>
          <w:bCs/>
        </w:rPr>
        <w:t xml:space="preserve">. The images were reconstructed and binarised with a threshold of 0 to </w:t>
      </w:r>
      <w:proofErr w:type="gramStart"/>
      <w:r w:rsidRPr="00822D3B">
        <w:rPr>
          <w:rFonts w:ascii="Arial" w:eastAsiaTheme="minorHAnsi" w:hAnsi="Arial"/>
          <w:bCs/>
        </w:rPr>
        <w:t>0.16</w:t>
      </w:r>
      <w:r>
        <w:rPr>
          <w:rFonts w:ascii="Arial" w:eastAsiaTheme="minorHAnsi" w:hAnsi="Arial"/>
          <w:bCs/>
        </w:rPr>
        <w:t>,</w:t>
      </w:r>
      <w:proofErr w:type="gramEnd"/>
      <w:r>
        <w:rPr>
          <w:rFonts w:ascii="Arial" w:eastAsiaTheme="minorHAnsi" w:hAnsi="Arial"/>
          <w:bCs/>
        </w:rPr>
        <w:t xml:space="preserve"> ring </w:t>
      </w:r>
      <w:r w:rsidR="00E30CCA">
        <w:rPr>
          <w:rFonts w:ascii="Arial" w:eastAsiaTheme="minorHAnsi" w:hAnsi="Arial"/>
          <w:bCs/>
        </w:rPr>
        <w:t>artefact</w:t>
      </w:r>
      <w:r>
        <w:rPr>
          <w:rFonts w:ascii="Arial" w:eastAsiaTheme="minorHAnsi" w:hAnsi="Arial"/>
          <w:bCs/>
        </w:rPr>
        <w:t xml:space="preserve"> reduction was set at 10 and beam hardening correction at 0% </w:t>
      </w:r>
      <w:r w:rsidRPr="00822D3B">
        <w:rPr>
          <w:rFonts w:ascii="Arial" w:eastAsiaTheme="minorHAnsi" w:hAnsi="Arial"/>
          <w:bCs/>
        </w:rPr>
        <w:t>using the SkyScan NRecon software package</w:t>
      </w:r>
      <w:r>
        <w:rPr>
          <w:rFonts w:ascii="Arial" w:eastAsiaTheme="minorHAnsi" w:hAnsi="Arial"/>
          <w:bCs/>
        </w:rPr>
        <w:t xml:space="preserve"> (SkyScan version 1.6.9.4, </w:t>
      </w:r>
      <w:r w:rsidRPr="0024611F">
        <w:rPr>
          <w:rFonts w:ascii="Arial" w:hAnsi="Arial" w:cs="Arial"/>
          <w:color w:val="000000" w:themeColor="text1"/>
        </w:rPr>
        <w:t>Bruker MicroCT, Kontich, Belgium</w:t>
      </w:r>
      <w:r>
        <w:rPr>
          <w:rFonts w:ascii="Arial" w:eastAsiaTheme="minorHAnsi" w:hAnsi="Arial"/>
          <w:bCs/>
        </w:rPr>
        <w:t>)</w:t>
      </w:r>
      <w:r w:rsidRPr="00822D3B">
        <w:rPr>
          <w:rFonts w:ascii="Arial" w:eastAsiaTheme="minorHAnsi" w:hAnsi="Arial"/>
          <w:bCs/>
        </w:rPr>
        <w:t xml:space="preserve">. </w:t>
      </w:r>
      <w:r>
        <w:rPr>
          <w:rFonts w:ascii="Arial" w:eastAsiaTheme="minorHAnsi" w:hAnsi="Arial"/>
          <w:bCs/>
        </w:rPr>
        <w:t>The images then were realigned vertically using DataViewer software (version 1.5.1.2 64-bit).</w:t>
      </w:r>
    </w:p>
    <w:p w14:paraId="4E2688A8" w14:textId="77777777" w:rsidR="003E6B93" w:rsidRPr="00D66A65" w:rsidRDefault="003E6B93" w:rsidP="003E6B93">
      <w:pPr>
        <w:spacing w:line="480" w:lineRule="auto"/>
        <w:jc w:val="both"/>
        <w:rPr>
          <w:rFonts w:ascii="Arial" w:eastAsiaTheme="minorHAnsi" w:hAnsi="Arial"/>
          <w:b/>
          <w:bCs/>
        </w:rPr>
      </w:pPr>
      <w:r w:rsidRPr="00A16BF7">
        <w:rPr>
          <w:rFonts w:ascii="Arial" w:eastAsiaTheme="minorHAnsi" w:hAnsi="Arial"/>
          <w:b/>
          <w:bCs/>
        </w:rPr>
        <w:t>3D Analysis</w:t>
      </w:r>
    </w:p>
    <w:p w14:paraId="37557AEF" w14:textId="77777777" w:rsidR="00493080" w:rsidRDefault="003E6B93" w:rsidP="003E6B93">
      <w:pPr>
        <w:spacing w:line="480" w:lineRule="auto"/>
        <w:jc w:val="both"/>
        <w:rPr>
          <w:rFonts w:ascii="Arial" w:eastAsiaTheme="minorHAnsi" w:hAnsi="Arial"/>
          <w:bCs/>
        </w:rPr>
      </w:pPr>
      <w:r w:rsidRPr="00822D3B">
        <w:rPr>
          <w:rFonts w:ascii="Arial" w:eastAsiaTheme="minorHAnsi" w:hAnsi="Arial"/>
          <w:bCs/>
        </w:rPr>
        <w:t xml:space="preserve">Structural parameters were calculated using SkyScan Ct.An software </w:t>
      </w:r>
      <w:r>
        <w:rPr>
          <w:rFonts w:ascii="Arial" w:eastAsiaTheme="minorHAnsi" w:hAnsi="Arial"/>
          <w:bCs/>
        </w:rPr>
        <w:t>(</w:t>
      </w:r>
      <w:r w:rsidRPr="0024611F">
        <w:rPr>
          <w:rFonts w:ascii="Arial" w:hAnsi="Arial" w:cs="Arial"/>
          <w:color w:val="000000" w:themeColor="text1"/>
        </w:rPr>
        <w:t>Bruker MicroCT, Kontich, Belgium</w:t>
      </w:r>
      <w:r>
        <w:rPr>
          <w:rFonts w:ascii="Arial" w:eastAsiaTheme="minorHAnsi" w:hAnsi="Arial"/>
          <w:bCs/>
        </w:rPr>
        <w:t>) for cortical bone</w:t>
      </w:r>
      <w:r w:rsidRPr="00822D3B">
        <w:rPr>
          <w:rFonts w:ascii="Arial" w:eastAsiaTheme="minorHAnsi" w:hAnsi="Arial"/>
          <w:bCs/>
        </w:rPr>
        <w:t xml:space="preserve"> 1-mm-long section at the mid</w:t>
      </w:r>
      <w:r>
        <w:rPr>
          <w:rFonts w:ascii="Arial" w:eastAsiaTheme="minorHAnsi" w:hAnsi="Arial"/>
          <w:bCs/>
        </w:rPr>
        <w:t>-</w:t>
      </w:r>
      <w:r w:rsidRPr="00822D3B">
        <w:rPr>
          <w:rFonts w:ascii="Arial" w:eastAsiaTheme="minorHAnsi" w:hAnsi="Arial"/>
          <w:bCs/>
        </w:rPr>
        <w:t>shaft of t</w:t>
      </w:r>
      <w:r>
        <w:rPr>
          <w:rFonts w:ascii="Arial" w:eastAsiaTheme="minorHAnsi" w:hAnsi="Arial"/>
          <w:bCs/>
        </w:rPr>
        <w:t>he tibia wi</w:t>
      </w:r>
      <w:r w:rsidR="00161FEA">
        <w:rPr>
          <w:rFonts w:ascii="Arial" w:eastAsiaTheme="minorHAnsi" w:hAnsi="Arial"/>
          <w:bCs/>
        </w:rPr>
        <w:t>th an offset of 0.5mm (Figure 1</w:t>
      </w:r>
      <w:r>
        <w:rPr>
          <w:rFonts w:ascii="Arial" w:eastAsiaTheme="minorHAnsi" w:hAnsi="Arial"/>
          <w:bCs/>
        </w:rPr>
        <w:t>4B),</w:t>
      </w:r>
      <w:r w:rsidRPr="00822D3B">
        <w:rPr>
          <w:rFonts w:ascii="Arial" w:eastAsiaTheme="minorHAnsi" w:hAnsi="Arial"/>
          <w:bCs/>
        </w:rPr>
        <w:t xml:space="preserve"> and </w:t>
      </w:r>
      <w:r>
        <w:rPr>
          <w:rFonts w:ascii="Arial" w:eastAsiaTheme="minorHAnsi" w:hAnsi="Arial"/>
          <w:bCs/>
        </w:rPr>
        <w:t>for trabecular bone - secondary spongiosa,</w:t>
      </w:r>
      <w:r w:rsidRPr="00822D3B">
        <w:rPr>
          <w:rFonts w:ascii="Arial" w:eastAsiaTheme="minorHAnsi" w:hAnsi="Arial"/>
          <w:bCs/>
        </w:rPr>
        <w:t xml:space="preserve"> 1mm distal to the tibial </w:t>
      </w:r>
      <w:r>
        <w:rPr>
          <w:rFonts w:ascii="Arial" w:eastAsiaTheme="minorHAnsi" w:hAnsi="Arial"/>
          <w:bCs/>
        </w:rPr>
        <w:t xml:space="preserve">proximal </w:t>
      </w:r>
      <w:r w:rsidRPr="00822D3B">
        <w:rPr>
          <w:rFonts w:ascii="Arial" w:eastAsiaTheme="minorHAnsi" w:hAnsi="Arial"/>
          <w:bCs/>
        </w:rPr>
        <w:t>growth plate with an of</w:t>
      </w:r>
      <w:r>
        <w:rPr>
          <w:rFonts w:ascii="Arial" w:eastAsiaTheme="minorHAnsi" w:hAnsi="Arial"/>
          <w:bCs/>
        </w:rPr>
        <w:t>fset of 0.2mm ensuring the growth plate was not included in the an</w:t>
      </w:r>
      <w:r w:rsidR="00161FEA">
        <w:rPr>
          <w:rFonts w:ascii="Arial" w:eastAsiaTheme="minorHAnsi" w:hAnsi="Arial"/>
          <w:bCs/>
        </w:rPr>
        <w:t>alysis (Figure 1</w:t>
      </w:r>
      <w:r>
        <w:rPr>
          <w:rFonts w:ascii="Arial" w:eastAsiaTheme="minorHAnsi" w:hAnsi="Arial"/>
          <w:bCs/>
        </w:rPr>
        <w:t>4A)</w:t>
      </w:r>
      <w:r w:rsidRPr="00822D3B">
        <w:rPr>
          <w:rFonts w:ascii="Arial" w:eastAsiaTheme="minorHAnsi" w:hAnsi="Arial"/>
          <w:bCs/>
        </w:rPr>
        <w:t xml:space="preserve">. </w:t>
      </w:r>
    </w:p>
    <w:p w14:paraId="6559FDDC" w14:textId="77777777" w:rsidR="00493080" w:rsidRDefault="00493080" w:rsidP="003E6B93">
      <w:pPr>
        <w:spacing w:line="480" w:lineRule="auto"/>
        <w:jc w:val="both"/>
        <w:rPr>
          <w:rFonts w:ascii="Arial" w:eastAsiaTheme="minorHAnsi" w:hAnsi="Arial"/>
          <w:bCs/>
        </w:rPr>
      </w:pPr>
    </w:p>
    <w:p w14:paraId="486CD55C" w14:textId="77777777" w:rsidR="003E6B93" w:rsidRDefault="003E6B93" w:rsidP="003E6B93">
      <w:pPr>
        <w:spacing w:line="480" w:lineRule="auto"/>
        <w:jc w:val="both"/>
        <w:rPr>
          <w:rFonts w:ascii="Arial" w:eastAsiaTheme="minorHAnsi" w:hAnsi="Arial"/>
          <w:bCs/>
        </w:rPr>
      </w:pPr>
      <w:r w:rsidRPr="00822D3B">
        <w:rPr>
          <w:rFonts w:ascii="Arial" w:eastAsiaTheme="minorHAnsi" w:hAnsi="Arial"/>
          <w:bCs/>
        </w:rPr>
        <w:t xml:space="preserve">In the trabecular region, an irregular, anatomic region of interest (ROI) adjacent to the </w:t>
      </w:r>
      <w:r>
        <w:rPr>
          <w:rFonts w:ascii="Arial" w:eastAsiaTheme="minorHAnsi" w:hAnsi="Arial"/>
          <w:bCs/>
        </w:rPr>
        <w:t>endocortical boundary was analys</w:t>
      </w:r>
      <w:r w:rsidRPr="00822D3B">
        <w:rPr>
          <w:rFonts w:ascii="Arial" w:eastAsiaTheme="minorHAnsi" w:hAnsi="Arial"/>
          <w:bCs/>
        </w:rPr>
        <w:t>ed. Two ROIs were drawn to analyse the cortical region</w:t>
      </w:r>
      <w:r>
        <w:rPr>
          <w:rFonts w:ascii="Arial" w:eastAsiaTheme="minorHAnsi" w:hAnsi="Arial"/>
          <w:bCs/>
        </w:rPr>
        <w:t xml:space="preserve"> including ‘</w:t>
      </w:r>
      <w:r w:rsidRPr="00822D3B">
        <w:rPr>
          <w:rFonts w:ascii="Arial" w:eastAsiaTheme="minorHAnsi" w:hAnsi="Arial"/>
          <w:bCs/>
        </w:rPr>
        <w:t>doughnut</w:t>
      </w:r>
      <w:r>
        <w:rPr>
          <w:rFonts w:ascii="Arial" w:eastAsiaTheme="minorHAnsi" w:hAnsi="Arial"/>
          <w:bCs/>
        </w:rPr>
        <w:t>’</w:t>
      </w:r>
      <w:r w:rsidRPr="00822D3B">
        <w:rPr>
          <w:rFonts w:ascii="Arial" w:eastAsiaTheme="minorHAnsi" w:hAnsi="Arial"/>
          <w:bCs/>
        </w:rPr>
        <w:t xml:space="preserve"> shaped ROI and </w:t>
      </w:r>
      <w:r>
        <w:rPr>
          <w:rFonts w:ascii="Arial" w:eastAsiaTheme="minorHAnsi" w:hAnsi="Arial"/>
          <w:bCs/>
        </w:rPr>
        <w:t>‘</w:t>
      </w:r>
      <w:r w:rsidRPr="00822D3B">
        <w:rPr>
          <w:rFonts w:ascii="Arial" w:eastAsiaTheme="minorHAnsi" w:hAnsi="Arial"/>
          <w:bCs/>
        </w:rPr>
        <w:t>crude</w:t>
      </w:r>
      <w:r>
        <w:rPr>
          <w:rFonts w:ascii="Arial" w:eastAsiaTheme="minorHAnsi" w:hAnsi="Arial"/>
          <w:bCs/>
        </w:rPr>
        <w:t>’</w:t>
      </w:r>
      <w:r w:rsidRPr="00822D3B">
        <w:rPr>
          <w:rFonts w:ascii="Arial" w:eastAsiaTheme="minorHAnsi" w:hAnsi="Arial"/>
          <w:bCs/>
        </w:rPr>
        <w:t xml:space="preserve"> ROI around the outside of the bone</w:t>
      </w:r>
      <w:r w:rsidR="00161FEA">
        <w:rPr>
          <w:rFonts w:ascii="Arial" w:eastAsiaTheme="minorHAnsi" w:hAnsi="Arial"/>
          <w:bCs/>
        </w:rPr>
        <w:t xml:space="preserve"> as shown in Figure 1</w:t>
      </w:r>
      <w:r>
        <w:rPr>
          <w:rFonts w:ascii="Arial" w:eastAsiaTheme="minorHAnsi" w:hAnsi="Arial"/>
          <w:bCs/>
        </w:rPr>
        <w:t>5</w:t>
      </w:r>
      <w:r w:rsidRPr="00822D3B">
        <w:rPr>
          <w:rFonts w:ascii="Arial" w:eastAsiaTheme="minorHAnsi" w:hAnsi="Arial"/>
          <w:bCs/>
        </w:rPr>
        <w:t>. For the whole tibiae scans, every slice was con</w:t>
      </w:r>
      <w:r>
        <w:rPr>
          <w:rFonts w:ascii="Arial" w:eastAsiaTheme="minorHAnsi" w:hAnsi="Arial"/>
          <w:bCs/>
        </w:rPr>
        <w:t>sidered and included in the ROI</w:t>
      </w:r>
      <w:r w:rsidRPr="00822D3B">
        <w:rPr>
          <w:rFonts w:ascii="Arial" w:eastAsiaTheme="minorHAnsi" w:hAnsi="Arial"/>
          <w:bCs/>
        </w:rPr>
        <w:t>.</w:t>
      </w:r>
    </w:p>
    <w:p w14:paraId="12420E9B" w14:textId="77777777" w:rsidR="003E6B93" w:rsidRDefault="003E6B93" w:rsidP="0061193F">
      <w:pPr>
        <w:spacing w:line="480" w:lineRule="auto"/>
        <w:jc w:val="both"/>
        <w:rPr>
          <w:rFonts w:ascii="Arial" w:eastAsiaTheme="minorHAnsi" w:hAnsi="Arial"/>
          <w:bCs/>
        </w:rPr>
      </w:pPr>
    </w:p>
    <w:p w14:paraId="0B36FE2B" w14:textId="77777777" w:rsidR="00493080" w:rsidRDefault="00493080" w:rsidP="0061193F">
      <w:pPr>
        <w:spacing w:line="480" w:lineRule="auto"/>
        <w:jc w:val="both"/>
        <w:rPr>
          <w:rFonts w:ascii="Arial" w:eastAsiaTheme="minorHAnsi" w:hAnsi="Arial"/>
          <w:bCs/>
        </w:rPr>
      </w:pPr>
    </w:p>
    <w:p w14:paraId="57C17164" w14:textId="77777777" w:rsidR="00726183" w:rsidRDefault="0061193F" w:rsidP="00726183">
      <w:pPr>
        <w:keepNext/>
        <w:spacing w:line="480" w:lineRule="auto"/>
        <w:jc w:val="both"/>
      </w:pPr>
      <w:r>
        <w:rPr>
          <w:rFonts w:ascii="Arial" w:eastAsiaTheme="minorHAnsi" w:hAnsi="Arial"/>
          <w:bCs/>
          <w:noProof/>
          <w:lang w:val="en-US"/>
        </w:rPr>
        <w:lastRenderedPageBreak/>
        <w:drawing>
          <wp:inline distT="0" distB="0" distL="0" distR="0" wp14:anchorId="10C41F6C" wp14:editId="4EF61C45">
            <wp:extent cx="6106538" cy="3166511"/>
            <wp:effectExtent l="0" t="0" r="0" b="8890"/>
            <wp:docPr id="6" name="Picture 6" descr="JASMINE:micro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SMINE:microCT.png"/>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06538" cy="3166511"/>
                    </a:xfrm>
                    <a:prstGeom prst="rect">
                      <a:avLst/>
                    </a:prstGeom>
                    <a:noFill/>
                    <a:ln>
                      <a:noFill/>
                    </a:ln>
                  </pic:spPr>
                </pic:pic>
              </a:graphicData>
            </a:graphic>
          </wp:inline>
        </w:drawing>
      </w:r>
    </w:p>
    <w:p w14:paraId="3327E4E4" w14:textId="77777777" w:rsidR="0061193F" w:rsidRPr="00447F3A" w:rsidRDefault="0061193F" w:rsidP="00447F3A">
      <w:pPr>
        <w:jc w:val="both"/>
        <w:rPr>
          <w:rFonts w:ascii="Arial" w:eastAsiaTheme="minorHAnsi" w:hAnsi="Arial"/>
          <w:bCs/>
        </w:rPr>
      </w:pPr>
      <w:r w:rsidRPr="00447F3A">
        <w:rPr>
          <w:rFonts w:ascii="Arial" w:eastAsiaTheme="minorHAnsi" w:hAnsi="Arial"/>
          <w:bCs/>
        </w:rPr>
        <w:t xml:space="preserve">Micro-focus X-ray tube   </w:t>
      </w:r>
      <w:r w:rsidR="00447F3A">
        <w:rPr>
          <w:rFonts w:ascii="Arial" w:eastAsiaTheme="minorHAnsi" w:hAnsi="Arial"/>
          <w:bCs/>
        </w:rPr>
        <w:t xml:space="preserve">           </w:t>
      </w:r>
      <w:r w:rsidRPr="00447F3A">
        <w:rPr>
          <w:rFonts w:ascii="Arial" w:eastAsiaTheme="minorHAnsi" w:hAnsi="Arial"/>
          <w:bCs/>
        </w:rPr>
        <w:t xml:space="preserve">Collimator           </w:t>
      </w:r>
      <w:r w:rsidR="00447F3A">
        <w:rPr>
          <w:rFonts w:ascii="Arial" w:eastAsiaTheme="minorHAnsi" w:hAnsi="Arial"/>
          <w:bCs/>
        </w:rPr>
        <w:t xml:space="preserve">        </w:t>
      </w:r>
      <w:r w:rsidRPr="00447F3A">
        <w:rPr>
          <w:rFonts w:ascii="Arial" w:eastAsiaTheme="minorHAnsi" w:hAnsi="Arial"/>
          <w:bCs/>
        </w:rPr>
        <w:t xml:space="preserve">Rotating      </w:t>
      </w:r>
      <w:r w:rsidR="00447F3A">
        <w:rPr>
          <w:rFonts w:ascii="Arial" w:eastAsiaTheme="minorHAnsi" w:hAnsi="Arial"/>
          <w:bCs/>
        </w:rPr>
        <w:t xml:space="preserve">      </w:t>
      </w:r>
      <w:r w:rsidRPr="00447F3A">
        <w:rPr>
          <w:rFonts w:ascii="Arial" w:eastAsiaTheme="minorHAnsi" w:hAnsi="Arial"/>
          <w:bCs/>
        </w:rPr>
        <w:t>Phosphor-detector</w:t>
      </w:r>
    </w:p>
    <w:p w14:paraId="1C84D752" w14:textId="77777777" w:rsidR="0061193F" w:rsidRPr="00447F3A" w:rsidRDefault="0061193F" w:rsidP="00447F3A">
      <w:pPr>
        <w:jc w:val="both"/>
        <w:rPr>
          <w:rFonts w:ascii="Arial" w:eastAsiaTheme="minorHAnsi" w:hAnsi="Arial"/>
          <w:bCs/>
        </w:rPr>
      </w:pPr>
      <w:r w:rsidRPr="00447F3A">
        <w:rPr>
          <w:rFonts w:ascii="Arial" w:eastAsiaTheme="minorHAnsi" w:hAnsi="Arial"/>
          <w:bCs/>
        </w:rPr>
        <w:t xml:space="preserve">                                                                      </w:t>
      </w:r>
      <w:r w:rsidR="00447F3A">
        <w:rPr>
          <w:rFonts w:ascii="Arial" w:eastAsiaTheme="minorHAnsi" w:hAnsi="Arial"/>
          <w:bCs/>
        </w:rPr>
        <w:t xml:space="preserve">              </w:t>
      </w:r>
      <w:r w:rsidRPr="00447F3A">
        <w:rPr>
          <w:rFonts w:ascii="Arial" w:eastAsiaTheme="minorHAnsi" w:hAnsi="Arial"/>
          <w:bCs/>
        </w:rPr>
        <w:t xml:space="preserve">Specimen       </w:t>
      </w:r>
      <w:r w:rsidR="00447F3A">
        <w:rPr>
          <w:rFonts w:ascii="Arial" w:eastAsiaTheme="minorHAnsi" w:hAnsi="Arial"/>
          <w:bCs/>
        </w:rPr>
        <w:t xml:space="preserve">    </w:t>
      </w:r>
      <w:r w:rsidRPr="00447F3A">
        <w:rPr>
          <w:rFonts w:ascii="Arial" w:eastAsiaTheme="minorHAnsi" w:hAnsi="Arial"/>
          <w:bCs/>
        </w:rPr>
        <w:t xml:space="preserve">and CCD Camera      </w:t>
      </w:r>
    </w:p>
    <w:p w14:paraId="2F452C1F" w14:textId="77777777" w:rsidR="0061193F" w:rsidRPr="00447F3A" w:rsidRDefault="0061193F" w:rsidP="0061193F">
      <w:pPr>
        <w:jc w:val="both"/>
        <w:rPr>
          <w:rFonts w:ascii="Arial" w:eastAsiaTheme="minorHAnsi" w:hAnsi="Arial"/>
          <w:bCs/>
        </w:rPr>
      </w:pPr>
    </w:p>
    <w:p w14:paraId="0BBA781B" w14:textId="77777777" w:rsidR="0061193F" w:rsidRDefault="0061193F" w:rsidP="0061193F">
      <w:pPr>
        <w:widowControl w:val="0"/>
        <w:autoSpaceDE w:val="0"/>
        <w:autoSpaceDN w:val="0"/>
        <w:adjustRightInd w:val="0"/>
        <w:rPr>
          <w:rFonts w:ascii="Times" w:hAnsi="Times" w:cs="Times"/>
        </w:rPr>
      </w:pPr>
    </w:p>
    <w:p w14:paraId="0B9E6B4B" w14:textId="77777777" w:rsidR="00F52ABC" w:rsidRDefault="00F52ABC" w:rsidP="00726183">
      <w:pPr>
        <w:pStyle w:val="Caption"/>
        <w:spacing w:line="360" w:lineRule="auto"/>
        <w:jc w:val="both"/>
        <w:rPr>
          <w:rFonts w:ascii="Arial" w:hAnsi="Arial" w:cs="Arial"/>
          <w:color w:val="244061" w:themeColor="accent1" w:themeShade="80"/>
          <w:sz w:val="24"/>
          <w:szCs w:val="24"/>
        </w:rPr>
      </w:pPr>
      <w:bookmarkStart w:id="51" w:name="_Toc383544604"/>
    </w:p>
    <w:p w14:paraId="5786DAA9" w14:textId="77777777" w:rsidR="00726183" w:rsidRPr="00726183" w:rsidRDefault="00726183" w:rsidP="00726183">
      <w:pPr>
        <w:pStyle w:val="Caption"/>
        <w:spacing w:line="360" w:lineRule="auto"/>
        <w:jc w:val="both"/>
        <w:rPr>
          <w:rFonts w:ascii="Arial" w:eastAsiaTheme="minorHAnsi" w:hAnsi="Arial" w:cs="Arial"/>
          <w:bCs w:val="0"/>
          <w:color w:val="244061" w:themeColor="accent1" w:themeShade="80"/>
          <w:sz w:val="24"/>
          <w:szCs w:val="24"/>
        </w:rPr>
      </w:pPr>
      <w:r w:rsidRPr="00726183">
        <w:rPr>
          <w:rFonts w:ascii="Arial" w:hAnsi="Arial" w:cs="Arial"/>
          <w:color w:val="244061" w:themeColor="accent1" w:themeShade="80"/>
          <w:sz w:val="24"/>
          <w:szCs w:val="24"/>
        </w:rPr>
        <w:t>Figure</w:t>
      </w:r>
      <w:r w:rsidR="00DF6917">
        <w:rPr>
          <w:rFonts w:ascii="Arial" w:hAnsi="Arial" w:cs="Arial"/>
          <w:color w:val="244061" w:themeColor="accent1" w:themeShade="80"/>
          <w:sz w:val="24"/>
          <w:szCs w:val="24"/>
        </w:rPr>
        <w:t xml:space="preserve"> </w:t>
      </w:r>
      <w:r w:rsidRPr="00726183">
        <w:rPr>
          <w:rFonts w:ascii="Arial" w:hAnsi="Arial" w:cs="Arial"/>
          <w:color w:val="244061" w:themeColor="accent1" w:themeShade="80"/>
          <w:sz w:val="24"/>
          <w:szCs w:val="24"/>
        </w:rPr>
        <w:fldChar w:fldCharType="begin"/>
      </w:r>
      <w:r w:rsidRPr="00726183">
        <w:rPr>
          <w:rFonts w:ascii="Arial" w:hAnsi="Arial" w:cs="Arial"/>
          <w:color w:val="244061" w:themeColor="accent1" w:themeShade="80"/>
          <w:sz w:val="24"/>
          <w:szCs w:val="24"/>
        </w:rPr>
        <w:instrText xml:space="preserve"> SEQ Figure \* ARABIC </w:instrText>
      </w:r>
      <w:r w:rsidRPr="00726183">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13</w:t>
      </w:r>
      <w:r w:rsidRPr="00726183">
        <w:rPr>
          <w:rFonts w:ascii="Arial" w:hAnsi="Arial" w:cs="Arial"/>
          <w:color w:val="244061" w:themeColor="accent1" w:themeShade="80"/>
          <w:sz w:val="24"/>
          <w:szCs w:val="24"/>
        </w:rPr>
        <w:fldChar w:fldCharType="end"/>
      </w:r>
      <w:r w:rsidRPr="00726183">
        <w:rPr>
          <w:rFonts w:ascii="Arial" w:hAnsi="Arial" w:cs="Arial"/>
          <w:color w:val="244061" w:themeColor="accent1" w:themeShade="80"/>
          <w:sz w:val="24"/>
          <w:szCs w:val="24"/>
        </w:rPr>
        <w:t xml:space="preserve"> The</w:t>
      </w:r>
      <w:r w:rsidRPr="00726183">
        <w:rPr>
          <w:rFonts w:ascii="Arial" w:eastAsiaTheme="minorHAnsi" w:hAnsi="Arial" w:cs="Arial"/>
          <w:bCs w:val="0"/>
          <w:color w:val="244061" w:themeColor="accent1" w:themeShade="80"/>
          <w:sz w:val="24"/>
          <w:szCs w:val="24"/>
        </w:rPr>
        <w:t xml:space="preserve"> main components and operating principle of desktop micro</w:t>
      </w:r>
      <w:r>
        <w:rPr>
          <w:rFonts w:ascii="Arial" w:eastAsiaTheme="minorHAnsi" w:hAnsi="Arial" w:cs="Arial"/>
          <w:bCs w:val="0"/>
          <w:color w:val="244061" w:themeColor="accent1" w:themeShade="80"/>
          <w:sz w:val="24"/>
          <w:szCs w:val="24"/>
        </w:rPr>
        <w:t>-</w:t>
      </w:r>
      <w:r w:rsidRPr="00726183">
        <w:rPr>
          <w:rFonts w:ascii="Arial" w:eastAsiaTheme="minorHAnsi" w:hAnsi="Arial" w:cs="Arial"/>
          <w:bCs w:val="0"/>
          <w:color w:val="244061" w:themeColor="accent1" w:themeShade="80"/>
          <w:sz w:val="24"/>
          <w:szCs w:val="24"/>
        </w:rPr>
        <w:t>computed tomography (</w:t>
      </w:r>
      <w:r w:rsidRPr="00726183">
        <w:rPr>
          <w:rFonts w:ascii="Arial" w:hAnsi="Arial" w:cs="Arial"/>
          <w:color w:val="244061" w:themeColor="accent1" w:themeShade="80"/>
          <w:sz w:val="24"/>
          <w:szCs w:val="24"/>
        </w:rPr>
        <w:sym w:font="Symbol" w:char="F06D"/>
      </w:r>
      <w:r w:rsidRPr="00726183">
        <w:rPr>
          <w:rFonts w:ascii="Arial" w:hAnsi="Arial" w:cs="Arial"/>
          <w:color w:val="244061" w:themeColor="accent1" w:themeShade="80"/>
          <w:sz w:val="24"/>
          <w:szCs w:val="24"/>
        </w:rPr>
        <w:t>CT) scanner</w:t>
      </w:r>
      <w:bookmarkEnd w:id="51"/>
    </w:p>
    <w:p w14:paraId="6B7F6AFF" w14:textId="77777777" w:rsidR="0061193F" w:rsidRPr="00B07D67" w:rsidRDefault="0061193F" w:rsidP="0061193F">
      <w:pPr>
        <w:spacing w:line="360" w:lineRule="auto"/>
        <w:jc w:val="both"/>
        <w:rPr>
          <w:rFonts w:ascii="Arial" w:hAnsi="Arial" w:cs="Arial"/>
          <w:sz w:val="22"/>
          <w:szCs w:val="22"/>
        </w:rPr>
      </w:pPr>
      <w:r>
        <w:rPr>
          <w:rFonts w:ascii="Arial" w:hAnsi="Arial" w:cs="Arial"/>
          <w:sz w:val="22"/>
          <w:szCs w:val="22"/>
        </w:rPr>
        <w:t xml:space="preserve">The micro-focus X-ray </w:t>
      </w:r>
      <w:r w:rsidR="00E941E8">
        <w:rPr>
          <w:rFonts w:ascii="Arial" w:hAnsi="Arial" w:cs="Arial"/>
          <w:sz w:val="22"/>
          <w:szCs w:val="22"/>
        </w:rPr>
        <w:t>tube produces radiation, emits X</w:t>
      </w:r>
      <w:r w:rsidRPr="00B07D67">
        <w:rPr>
          <w:rFonts w:ascii="Arial" w:hAnsi="Arial" w:cs="Arial"/>
          <w:sz w:val="22"/>
          <w:szCs w:val="22"/>
        </w:rPr>
        <w:t>-rays</w:t>
      </w:r>
      <w:r>
        <w:rPr>
          <w:rFonts w:ascii="Arial" w:hAnsi="Arial" w:cs="Arial"/>
          <w:sz w:val="22"/>
          <w:szCs w:val="22"/>
        </w:rPr>
        <w:t xml:space="preserve"> </w:t>
      </w:r>
      <w:r w:rsidRPr="00B07D67">
        <w:rPr>
          <w:rFonts w:ascii="Arial" w:hAnsi="Arial" w:cs="Arial"/>
          <w:sz w:val="22"/>
          <w:szCs w:val="22"/>
        </w:rPr>
        <w:t>that are collimated and filtered narrowing energy spectrum to pass through the sample that slowly rotates in the sample holder through 360</w:t>
      </w:r>
      <w:r w:rsidRPr="00B07D67">
        <w:rPr>
          <w:rFonts w:ascii="Arial" w:hAnsi="Arial" w:cs="Arial"/>
          <w:sz w:val="22"/>
          <w:szCs w:val="22"/>
          <w:vertAlign w:val="superscript"/>
        </w:rPr>
        <w:t xml:space="preserve"> </w:t>
      </w:r>
      <w:r w:rsidRPr="00B07D67">
        <w:rPr>
          <w:rFonts w:ascii="Arial" w:hAnsi="Arial" w:cs="Arial"/>
          <w:sz w:val="22"/>
          <w:szCs w:val="22"/>
        </w:rPr>
        <w:t xml:space="preserve">degrees. </w:t>
      </w:r>
      <w:r>
        <w:rPr>
          <w:rFonts w:ascii="Arial" w:hAnsi="Arial" w:cs="Arial"/>
          <w:sz w:val="22"/>
          <w:szCs w:val="22"/>
        </w:rPr>
        <w:t>The radiation attenuated by the sample is measured with a charge-coupled device (CCD) camera with phospholayer coating to convert the X-rays to visible light.</w:t>
      </w:r>
      <w:r w:rsidR="00653639">
        <w:rPr>
          <w:rFonts w:ascii="Arial" w:hAnsi="Arial" w:cs="Arial"/>
          <w:sz w:val="22"/>
          <w:szCs w:val="22"/>
        </w:rPr>
        <w:t xml:space="preserve"> </w:t>
      </w:r>
      <w:r w:rsidRPr="00B07D67">
        <w:rPr>
          <w:rFonts w:ascii="Arial" w:hAnsi="Arial" w:cs="Arial"/>
          <w:sz w:val="22"/>
          <w:szCs w:val="22"/>
        </w:rPr>
        <w:t xml:space="preserve">A full scan is composed of </w:t>
      </w:r>
      <w:r w:rsidR="00E941E8">
        <w:rPr>
          <w:rFonts w:ascii="Arial" w:hAnsi="Arial" w:cs="Arial"/>
          <w:sz w:val="22"/>
          <w:szCs w:val="22"/>
        </w:rPr>
        <w:t>set of acquired X</w:t>
      </w:r>
      <w:r w:rsidRPr="00B07D67">
        <w:rPr>
          <w:rFonts w:ascii="Arial" w:hAnsi="Arial" w:cs="Arial"/>
          <w:sz w:val="22"/>
          <w:szCs w:val="22"/>
        </w:rPr>
        <w:t>-ray images of the rotating sample, which then are processed using appropriate computer software.</w:t>
      </w:r>
    </w:p>
    <w:p w14:paraId="12389E2B" w14:textId="77777777" w:rsidR="0061193F" w:rsidRPr="00B07D67" w:rsidRDefault="0061193F" w:rsidP="0061193F">
      <w:pPr>
        <w:spacing w:line="360" w:lineRule="auto"/>
        <w:jc w:val="both"/>
        <w:rPr>
          <w:rFonts w:ascii="Arial" w:hAnsi="Arial"/>
          <w:sz w:val="22"/>
          <w:szCs w:val="22"/>
        </w:rPr>
      </w:pPr>
      <w:r>
        <w:rPr>
          <w:rFonts w:ascii="Arial" w:hAnsi="Arial" w:cs="Arial"/>
          <w:sz w:val="22"/>
          <w:szCs w:val="22"/>
        </w:rPr>
        <w:t>Image reproduced</w:t>
      </w:r>
      <w:r w:rsidRPr="00B07D67">
        <w:rPr>
          <w:rFonts w:ascii="Arial" w:hAnsi="Arial" w:cs="Arial"/>
          <w:sz w:val="22"/>
          <w:szCs w:val="22"/>
        </w:rPr>
        <w:t xml:space="preserve"> with permission from </w:t>
      </w:r>
      <w:r w:rsidR="004F1E96">
        <w:rPr>
          <w:rFonts w:ascii="Arial" w:hAnsi="Arial" w:cs="Arial"/>
          <w:sz w:val="22"/>
          <w:szCs w:val="22"/>
        </w:rPr>
        <w:fldChar w:fldCharType="begin"/>
      </w:r>
      <w:r w:rsidR="00B97465">
        <w:rPr>
          <w:rFonts w:ascii="Arial" w:hAnsi="Arial" w:cs="Arial"/>
          <w:sz w:val="22"/>
          <w:szCs w:val="22"/>
        </w:rPr>
        <w:instrText xml:space="preserve"> ADDIN EN.CITE &lt;EndNote&gt;&lt;Cite&gt;&lt;Author&gt;Boerckel&lt;/Author&gt;&lt;Year&gt;2014&lt;/Year&gt;&lt;RecNum&gt;408&lt;/RecNum&gt;&lt;DisplayText&gt;(Boerckel et al., 2014)&lt;/DisplayText&gt;&lt;record&gt;&lt;rec-number&gt;408&lt;/rec-number&gt;&lt;foreign-keys&gt;&lt;key app="EN" db-id="ae9rewfrpdttrheppfxxv0p4950wpd25r09x" timestamp="1520658304"&gt;408&lt;/key&gt;&lt;/foreign-keys&gt;&lt;ref-type name="Journal Article"&gt;17&lt;/ref-type&gt;&lt;contributors&gt;&lt;authors&gt;&lt;author&gt;Boerckel, J. D.&lt;/author&gt;&lt;author&gt;Mason, De&lt;/author&gt;&lt;author&gt;McDermott, Am&lt;/author&gt;&lt;author&gt;Alsberg, E.&lt;/author&gt;&lt;/authors&gt;&lt;/contributors&gt;&lt;titles&gt;&lt;title&gt;Microcomputed tomography: approaches and applications in bioengineering&lt;/title&gt;&lt;secondary-title&gt;Stem Cell Research and Therapy&lt;/secondary-title&gt;&lt;/titles&gt;&lt;pages&gt;1-12&lt;/pages&gt;&lt;volume&gt;5&lt;/volume&gt;&lt;keywords&gt;&lt;keyword&gt;Tissue Engineering -- Methods&lt;/keyword&gt;&lt;keyword&gt;X-Ray Microtomography -- Methods&lt;/keyword&gt;&lt;/keywords&gt;&lt;dates&gt;&lt;year&gt;2014&lt;/year&gt;&lt;/dates&gt;&lt;isbn&gt;1757-6512&lt;/isbn&gt;&lt;urls&gt;&lt;/urls&gt;&lt;electronic-resource-num&gt;10.1186/scrt534&lt;/electronic-resource-num&gt;&lt;/record&gt;&lt;/Cite&gt;&lt;/EndNote&gt;</w:instrText>
      </w:r>
      <w:r w:rsidR="004F1E96">
        <w:rPr>
          <w:rFonts w:ascii="Arial" w:hAnsi="Arial" w:cs="Arial"/>
          <w:sz w:val="22"/>
          <w:szCs w:val="22"/>
        </w:rPr>
        <w:fldChar w:fldCharType="separate"/>
      </w:r>
      <w:r w:rsidR="004F1E96">
        <w:rPr>
          <w:rFonts w:ascii="Arial" w:hAnsi="Arial" w:cs="Arial"/>
          <w:noProof/>
          <w:sz w:val="22"/>
          <w:szCs w:val="22"/>
        </w:rPr>
        <w:t>(Boerckel et al., 2014)</w:t>
      </w:r>
      <w:r w:rsidR="004F1E96">
        <w:rPr>
          <w:rFonts w:ascii="Arial" w:hAnsi="Arial" w:cs="Arial"/>
          <w:sz w:val="22"/>
          <w:szCs w:val="22"/>
        </w:rPr>
        <w:fldChar w:fldCharType="end"/>
      </w:r>
    </w:p>
    <w:p w14:paraId="21188FE5" w14:textId="77777777" w:rsidR="0061193F" w:rsidRDefault="0061193F" w:rsidP="0061193F">
      <w:pPr>
        <w:spacing w:line="360" w:lineRule="auto"/>
        <w:jc w:val="both"/>
        <w:rPr>
          <w:rFonts w:ascii="Arial" w:hAnsi="Arial"/>
        </w:rPr>
      </w:pPr>
    </w:p>
    <w:p w14:paraId="4655077A" w14:textId="77777777" w:rsidR="004F1E96" w:rsidRDefault="004F1E96" w:rsidP="0061193F">
      <w:pPr>
        <w:spacing w:line="480" w:lineRule="auto"/>
        <w:jc w:val="both"/>
        <w:rPr>
          <w:rFonts w:ascii="Arial" w:hAnsi="Arial"/>
        </w:rPr>
      </w:pPr>
    </w:p>
    <w:p w14:paraId="470CB181" w14:textId="77777777" w:rsidR="007405A7" w:rsidRDefault="007405A7" w:rsidP="0061193F">
      <w:pPr>
        <w:spacing w:line="480" w:lineRule="auto"/>
        <w:jc w:val="both"/>
        <w:rPr>
          <w:rFonts w:ascii="Arial" w:eastAsiaTheme="minorHAnsi" w:hAnsi="Arial"/>
          <w:bCs/>
        </w:rPr>
      </w:pPr>
    </w:p>
    <w:p w14:paraId="4D028811" w14:textId="77777777" w:rsidR="003E6B93" w:rsidRDefault="003E6B93" w:rsidP="0061193F">
      <w:pPr>
        <w:spacing w:line="480" w:lineRule="auto"/>
        <w:jc w:val="both"/>
        <w:rPr>
          <w:rFonts w:ascii="Arial" w:eastAsiaTheme="minorHAnsi" w:hAnsi="Arial"/>
          <w:b/>
          <w:bCs/>
          <w:color w:val="244061" w:themeColor="accent1" w:themeShade="80"/>
          <w:sz w:val="28"/>
          <w:szCs w:val="28"/>
        </w:rPr>
      </w:pPr>
    </w:p>
    <w:p w14:paraId="752AC4B9" w14:textId="77777777" w:rsidR="003E6B93" w:rsidRDefault="003E6B93" w:rsidP="0061193F">
      <w:pPr>
        <w:spacing w:line="480" w:lineRule="auto"/>
        <w:jc w:val="both"/>
        <w:rPr>
          <w:rFonts w:ascii="Arial" w:eastAsiaTheme="minorHAnsi" w:hAnsi="Arial"/>
          <w:b/>
          <w:bCs/>
          <w:color w:val="244061" w:themeColor="accent1" w:themeShade="80"/>
          <w:sz w:val="28"/>
          <w:szCs w:val="28"/>
        </w:rPr>
      </w:pPr>
    </w:p>
    <w:p w14:paraId="04C9D12A" w14:textId="77777777" w:rsidR="003E6B93" w:rsidRDefault="003E6B93" w:rsidP="004A37C7">
      <w:pPr>
        <w:tabs>
          <w:tab w:val="left" w:pos="1985"/>
        </w:tabs>
        <w:spacing w:line="480" w:lineRule="auto"/>
        <w:jc w:val="both"/>
        <w:rPr>
          <w:rFonts w:ascii="Arial" w:eastAsiaTheme="minorHAnsi" w:hAnsi="Arial"/>
          <w:b/>
          <w:bCs/>
          <w:color w:val="244061" w:themeColor="accent1" w:themeShade="80"/>
          <w:sz w:val="28"/>
          <w:szCs w:val="28"/>
        </w:rPr>
      </w:pPr>
    </w:p>
    <w:p w14:paraId="4D69F7B9" w14:textId="77777777" w:rsidR="003E6B93" w:rsidRDefault="003E6B93" w:rsidP="0061193F">
      <w:pPr>
        <w:spacing w:line="480" w:lineRule="auto"/>
        <w:jc w:val="both"/>
        <w:rPr>
          <w:rFonts w:ascii="Arial" w:eastAsiaTheme="minorHAnsi" w:hAnsi="Arial"/>
          <w:b/>
          <w:bCs/>
          <w:color w:val="244061" w:themeColor="accent1" w:themeShade="80"/>
          <w:sz w:val="28"/>
          <w:szCs w:val="28"/>
        </w:rPr>
      </w:pPr>
    </w:p>
    <w:p w14:paraId="75514846" w14:textId="77777777" w:rsidR="0061193F" w:rsidRPr="00947EE3" w:rsidRDefault="0061193F" w:rsidP="0061193F">
      <w:pPr>
        <w:spacing w:line="480" w:lineRule="auto"/>
        <w:jc w:val="both"/>
        <w:rPr>
          <w:rFonts w:ascii="Arial" w:eastAsiaTheme="minorHAnsi" w:hAnsi="Arial"/>
          <w:b/>
          <w:bCs/>
          <w:sz w:val="28"/>
          <w:szCs w:val="28"/>
        </w:rPr>
      </w:pPr>
      <w:r w:rsidRPr="00947EE3">
        <w:rPr>
          <w:rFonts w:ascii="Arial" w:eastAsiaTheme="minorHAnsi" w:hAnsi="Arial"/>
          <w:b/>
          <w:bCs/>
          <w:sz w:val="28"/>
          <w:szCs w:val="28"/>
        </w:rPr>
        <w:lastRenderedPageBreak/>
        <w:t>A</w:t>
      </w:r>
      <w:r w:rsidR="007405A7" w:rsidRPr="00947EE3">
        <w:rPr>
          <w:rFonts w:ascii="Arial" w:eastAsiaTheme="minorHAnsi" w:hAnsi="Arial"/>
          <w:b/>
          <w:bCs/>
          <w:sz w:val="28"/>
          <w:szCs w:val="28"/>
        </w:rPr>
        <w:t xml:space="preserve">                                                             </w:t>
      </w:r>
    </w:p>
    <w:p w14:paraId="4A4E9DFD" w14:textId="77777777" w:rsidR="003E6B93" w:rsidRDefault="00973B27" w:rsidP="003E6B93">
      <w:pPr>
        <w:pStyle w:val="NormalWeb"/>
        <w:keepNext/>
        <w:spacing w:before="0" w:beforeAutospacing="0" w:after="0" w:afterAutospacing="0"/>
      </w:pPr>
      <w:r>
        <w:rPr>
          <w:rFonts w:ascii="Arial" w:eastAsiaTheme="minorHAnsi" w:hAnsi="Arial"/>
          <w:b/>
          <w:bCs/>
          <w:noProof/>
          <w:color w:val="1F497D" w:themeColor="text2"/>
          <w:lang w:val="en-US"/>
        </w:rPr>
        <mc:AlternateContent>
          <mc:Choice Requires="wps">
            <w:drawing>
              <wp:anchor distT="0" distB="0" distL="114300" distR="114300" simplePos="0" relativeHeight="251672576" behindDoc="0" locked="0" layoutInCell="1" allowOverlap="1" wp14:anchorId="52A75915" wp14:editId="7911688C">
                <wp:simplePos x="0" y="0"/>
                <wp:positionH relativeFrom="column">
                  <wp:posOffset>3223895</wp:posOffset>
                </wp:positionH>
                <wp:positionV relativeFrom="page">
                  <wp:posOffset>1863090</wp:posOffset>
                </wp:positionV>
                <wp:extent cx="0" cy="558800"/>
                <wp:effectExtent l="101600" t="50800" r="76200" b="76200"/>
                <wp:wrapNone/>
                <wp:docPr id="58"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58800"/>
                        </a:xfrm>
                        <a:prstGeom prst="straightConnector1">
                          <a:avLst/>
                        </a:prstGeom>
                        <a:noFill/>
                        <a:ln w="19050" cmpd="sng">
                          <a:solidFill>
                            <a:srgbClr val="FF0000"/>
                          </a:solidFill>
                          <a:round/>
                          <a:headEnd type="arrow" w="med" len="med"/>
                          <a:tailEnd type="arrow" w="med" len="med"/>
                        </a:ln>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32" coordsize="21600,21600" o:spt="32" o:oned="t" path="m0,0l21600,21600e" filled="f">
                <v:path arrowok="t" fillok="f" o:connecttype="none"/>
                <o:lock v:ext="edit" shapetype="t"/>
              </v:shapetype>
              <v:shape id="Straight Arrow Connector 22" o:spid="_x0000_s1026" type="#_x0000_t32" style="position:absolute;margin-left:253.85pt;margin-top:146.7pt;width:0;height: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" strokecolor="red" strokeweight="1.5pt">
                <v:stroke startarrow="open" endarrow="open"/>
                <o:lock v:ext="edit" shapetype="f"/>
                <w10:wrap anchory="page"/>
              </v:shape>
            </w:pict>
          </mc:Fallback>
        </mc:AlternateContent>
      </w:r>
      <w:r w:rsidR="00DF6917">
        <w:rPr>
          <w:rFonts w:ascii="Arial" w:eastAsiaTheme="minorHAnsi" w:hAnsi="Arial"/>
          <w:b/>
          <w:bCs/>
          <w:noProof/>
          <w:color w:val="1F497D" w:themeColor="text2"/>
          <w:lang w:val="en-US"/>
        </w:rPr>
        <mc:AlternateContent>
          <mc:Choice Requires="wps">
            <w:drawing>
              <wp:anchor distT="0" distB="0" distL="114300" distR="114300" simplePos="0" relativeHeight="251657216" behindDoc="0" locked="0" layoutInCell="1" allowOverlap="1" wp14:anchorId="2BE4AE9C" wp14:editId="7F0B51F0">
                <wp:simplePos x="0" y="0"/>
                <wp:positionH relativeFrom="column">
                  <wp:posOffset>3528695</wp:posOffset>
                </wp:positionH>
                <wp:positionV relativeFrom="paragraph">
                  <wp:posOffset>866140</wp:posOffset>
                </wp:positionV>
                <wp:extent cx="600075" cy="279400"/>
                <wp:effectExtent l="0" t="0" r="0" b="0"/>
                <wp:wrapSquare wrapText="bothSides"/>
                <wp:docPr id="28"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279400"/>
                        </a:xfrm>
                        <a:prstGeom prst="rect">
                          <a:avLst/>
                        </a:prstGeom>
                        <a:noFill/>
                      </wps:spPr>
                      <wps:txbx>
                        <w:txbxContent>
                          <w:p w14:paraId="33F89FF3" w14:textId="77777777" w:rsidR="003D0847" w:rsidRPr="00E60414" w:rsidRDefault="003D0847" w:rsidP="0061193F">
                            <w:pPr>
                              <w:pStyle w:val="NormalWeb"/>
                              <w:spacing w:before="0" w:beforeAutospacing="0" w:after="0" w:afterAutospacing="0"/>
                              <w:rPr>
                                <w:rFonts w:ascii="Arial" w:hAnsi="Arial" w:cs="Arial"/>
                                <w:b/>
                                <w:color w:val="FF0000"/>
                                <w:sz w:val="24"/>
                                <w:szCs w:val="24"/>
                              </w:rPr>
                            </w:pPr>
                            <w:r w:rsidRPr="00E60414">
                              <w:rPr>
                                <w:rFonts w:ascii="Arial" w:hAnsi="Arial" w:cs="Arial"/>
                                <w:b/>
                                <w:color w:val="FF0000"/>
                                <w:sz w:val="24"/>
                                <w:szCs w:val="24"/>
                              </w:rPr>
                              <w:t>1mm</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966661D" id="_x0000_t202" coordsize="21600,21600" o:spt="202" path="m0,0l0,21600,21600,21600,21600,0xe">
                <v:stroke joinstyle="miter"/>
                <v:path gradientshapeok="t" o:connecttype="rect"/>
              </v:shapetype>
              <v:shape id="TextBox 3" o:spid="_x0000_s1026" type="#_x0000_t202" style="position:absolute;margin-left:277.85pt;margin-top:68.2pt;width:47.25pt;height:2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" filled="f" stroked="f">
                <v:path arrowok="t"/>
                <v:textbox>
                  <w:txbxContent>
                    <w:p w14:paraId="062F344E" w14:textId="77777777" w:rsidR="003A3AA9" w:rsidRPr="00E60414" w:rsidRDefault="003A3AA9" w:rsidP="0061193F">
                      <w:pPr>
                        <w:pStyle w:val="NormalWeb"/>
                        <w:spacing w:before="0" w:beforeAutospacing="0" w:after="0" w:afterAutospacing="0"/>
                        <w:rPr>
                          <w:rFonts w:ascii="Arial" w:hAnsi="Arial" w:cs="Arial"/>
                          <w:b/>
                          <w:color w:val="FF0000"/>
                          <w:sz w:val="24"/>
                          <w:szCs w:val="24"/>
                        </w:rPr>
                      </w:pPr>
                      <w:r w:rsidRPr="00E60414">
                        <w:rPr>
                          <w:rFonts w:ascii="Arial" w:hAnsi="Arial" w:cs="Arial"/>
                          <w:b/>
                          <w:color w:val="FF0000"/>
                          <w:sz w:val="24"/>
                          <w:szCs w:val="24"/>
                        </w:rPr>
                        <w:t>1mm</w:t>
                      </w:r>
                    </w:p>
                  </w:txbxContent>
                </v:textbox>
                <w10:wrap type="square"/>
              </v:shape>
            </w:pict>
          </mc:Fallback>
        </mc:AlternateContent>
      </w:r>
      <w:r w:rsidR="00872437">
        <w:rPr>
          <w:rFonts w:ascii="Arial" w:eastAsiaTheme="minorHAnsi" w:hAnsi="Arial"/>
          <w:b/>
          <w:bCs/>
          <w:noProof/>
          <w:color w:val="1F497D" w:themeColor="text2"/>
          <w:lang w:val="en-US"/>
        </w:rPr>
        <w:drawing>
          <wp:inline distT="0" distB="0" distL="0" distR="0" wp14:anchorId="70535806" wp14:editId="4864D77D">
            <wp:extent cx="3408947" cy="2560320"/>
            <wp:effectExtent l="0" t="0" r="0" b="5080"/>
            <wp:docPr id="31" name="Picture 31" descr="JASMINE:Methods:Methods pics:tib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ASMINE:Methods:Methods pics:tibia.png"/>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0740" t="4607" r="25454" b="168"/>
                    <a:stretch/>
                  </pic:blipFill>
                  <pic:spPr bwMode="auto">
                    <a:xfrm>
                      <a:off x="0" y="0"/>
                      <a:ext cx="3408947" cy="2560320"/>
                    </a:xfrm>
                    <a:prstGeom prst="rect">
                      <a:avLst/>
                    </a:prstGeom>
                    <a:noFill/>
                    <a:ln>
                      <a:noFill/>
                    </a:ln>
                    <a:extLst>
                      <a:ext uri="{53640926-AAD7-44d8-BBD7-CCE9431645EC}">
                        <a14:shadowObscured xmlns:a14="http://schemas.microsoft.com/office/drawing/2010/main"/>
                      </a:ext>
                    </a:extLst>
                  </pic:spPr>
                </pic:pic>
              </a:graphicData>
            </a:graphic>
          </wp:inline>
        </w:drawing>
      </w:r>
    </w:p>
    <w:p w14:paraId="450FD6CA" w14:textId="77777777" w:rsidR="00872437" w:rsidRDefault="00872437" w:rsidP="005A7F28">
      <w:pPr>
        <w:tabs>
          <w:tab w:val="left" w:pos="9072"/>
        </w:tabs>
        <w:spacing w:line="480" w:lineRule="auto"/>
        <w:jc w:val="both"/>
        <w:rPr>
          <w:rFonts w:ascii="Arial" w:eastAsiaTheme="minorHAnsi" w:hAnsi="Arial"/>
          <w:b/>
          <w:bCs/>
          <w:color w:val="244061" w:themeColor="accent1" w:themeShade="80"/>
          <w:sz w:val="28"/>
          <w:szCs w:val="28"/>
        </w:rPr>
      </w:pPr>
    </w:p>
    <w:p w14:paraId="0BAFE218" w14:textId="77777777" w:rsidR="0061193F" w:rsidRPr="00947EE3" w:rsidRDefault="00872437" w:rsidP="005A7F28">
      <w:pPr>
        <w:tabs>
          <w:tab w:val="left" w:pos="9072"/>
        </w:tabs>
        <w:spacing w:line="480" w:lineRule="auto"/>
        <w:jc w:val="both"/>
        <w:rPr>
          <w:rFonts w:ascii="Arial" w:eastAsiaTheme="minorHAnsi" w:hAnsi="Arial"/>
          <w:b/>
          <w:bCs/>
        </w:rPr>
      </w:pPr>
      <w:r w:rsidRPr="00947EE3">
        <w:rPr>
          <w:rFonts w:ascii="Arial" w:eastAsiaTheme="minorHAnsi" w:hAnsi="Arial"/>
          <w:b/>
          <w:bCs/>
          <w:sz w:val="28"/>
          <w:szCs w:val="28"/>
        </w:rPr>
        <w:t>B</w:t>
      </w:r>
    </w:p>
    <w:p w14:paraId="75817CF8" w14:textId="77777777" w:rsidR="00DF6917" w:rsidRDefault="00805605" w:rsidP="00DF6917">
      <w:pPr>
        <w:keepNext/>
        <w:spacing w:line="480" w:lineRule="auto"/>
        <w:jc w:val="both"/>
      </w:pPr>
      <w:r>
        <w:rPr>
          <w:rFonts w:ascii="Arial" w:eastAsiaTheme="minorHAnsi" w:hAnsi="Arial"/>
          <w:b/>
          <w:bCs/>
          <w:noProof/>
          <w:color w:val="1F497D" w:themeColor="text2"/>
          <w:lang w:val="en-US"/>
        </w:rPr>
        <mc:AlternateContent>
          <mc:Choice Requires="wps">
            <w:drawing>
              <wp:anchor distT="0" distB="0" distL="114300" distR="114300" simplePos="0" relativeHeight="251650048" behindDoc="0" locked="0" layoutInCell="1" allowOverlap="1" wp14:anchorId="5FABB33F" wp14:editId="590853BF">
                <wp:simplePos x="0" y="0"/>
                <wp:positionH relativeFrom="column">
                  <wp:posOffset>3227070</wp:posOffset>
                </wp:positionH>
                <wp:positionV relativeFrom="page">
                  <wp:posOffset>5584190</wp:posOffset>
                </wp:positionV>
                <wp:extent cx="0" cy="555625"/>
                <wp:effectExtent l="101600" t="50800" r="76200" b="79375"/>
                <wp:wrapNone/>
                <wp:docPr id="25"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55625"/>
                        </a:xfrm>
                        <a:prstGeom prst="straightConnector1">
                          <a:avLst/>
                        </a:prstGeom>
                        <a:noFill/>
                        <a:ln w="19050" cmpd="sng">
                          <a:solidFill>
                            <a:srgbClr val="FF0000"/>
                          </a:solidFill>
                          <a:round/>
                          <a:headEnd type="arrow" w="med" len="med"/>
                          <a:tailEnd type="arrow" w="med" len="med"/>
                        </a:ln>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Straight Arrow Connector 22" o:spid="_x0000_s1026" type="#_x0000_t32" style="position:absolute;margin-left:254.1pt;margin-top:439.7pt;width:0;height:43.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" strokecolor="red" strokeweight="1.5pt">
                <v:stroke startarrow="open" endarrow="open"/>
                <o:lock v:ext="edit" shapetype="f"/>
                <w10:wrap anchory="page"/>
              </v:shape>
            </w:pict>
          </mc:Fallback>
        </mc:AlternateContent>
      </w:r>
      <w:r w:rsidR="00973B27">
        <w:rPr>
          <w:rFonts w:ascii="Arial" w:eastAsiaTheme="minorHAnsi" w:hAnsi="Arial"/>
          <w:b/>
          <w:bCs/>
          <w:noProof/>
          <w:color w:val="1F497D" w:themeColor="text2"/>
          <w:lang w:val="en-US"/>
        </w:rPr>
        <mc:AlternateContent>
          <mc:Choice Requires="wps">
            <w:drawing>
              <wp:anchor distT="0" distB="0" distL="114300" distR="114300" simplePos="0" relativeHeight="251674624" behindDoc="0" locked="0" layoutInCell="1" allowOverlap="1" wp14:anchorId="2F81BAC0" wp14:editId="1EE634F7">
                <wp:simplePos x="0" y="0"/>
                <wp:positionH relativeFrom="column">
                  <wp:posOffset>3557270</wp:posOffset>
                </wp:positionH>
                <wp:positionV relativeFrom="paragraph">
                  <wp:posOffset>1196340</wp:posOffset>
                </wp:positionV>
                <wp:extent cx="600710" cy="279400"/>
                <wp:effectExtent l="0" t="0" r="0" b="0"/>
                <wp:wrapSquare wrapText="bothSides"/>
                <wp:docPr id="98"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710" cy="279400"/>
                        </a:xfrm>
                        <a:prstGeom prst="rect">
                          <a:avLst/>
                        </a:prstGeom>
                        <a:noFill/>
                      </wps:spPr>
                      <wps:txbx>
                        <w:txbxContent>
                          <w:p w14:paraId="48F19835" w14:textId="77777777" w:rsidR="003D0847" w:rsidRPr="00E60414" w:rsidRDefault="003D0847" w:rsidP="00DF6917">
                            <w:pPr>
                              <w:pStyle w:val="NormalWeb"/>
                              <w:spacing w:before="0" w:beforeAutospacing="0" w:after="0" w:afterAutospacing="0"/>
                              <w:ind w:right="-51"/>
                              <w:rPr>
                                <w:rFonts w:ascii="Arial" w:hAnsi="Arial" w:cs="Arial"/>
                                <w:b/>
                                <w:color w:val="FF0000"/>
                                <w:sz w:val="24"/>
                                <w:szCs w:val="24"/>
                              </w:rPr>
                            </w:pPr>
                            <w:r w:rsidRPr="00E60414">
                              <w:rPr>
                                <w:rFonts w:ascii="Arial" w:hAnsi="Arial" w:cs="Arial"/>
                                <w:b/>
                                <w:color w:val="FF0000"/>
                                <w:sz w:val="24"/>
                                <w:szCs w:val="24"/>
                              </w:rPr>
                              <w:t>1mm</w:t>
                            </w:r>
                          </w:p>
                        </w:txbxContent>
                      </wps:txbx>
                      <wps:bodyPr vert="horz" wrap="square" rtlCol="0">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203F3C8" id="_x0000_s1027" type="#_x0000_t202" style="position:absolute;left:0;text-align:left;margin-left:280.1pt;margin-top:94.2pt;width:47.3pt;height:2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" filled="f" stroked="f">
                <v:path arrowok="t"/>
                <v:textbox>
                  <w:txbxContent>
                    <w:p w14:paraId="13B4B6A6" w14:textId="77777777" w:rsidR="003A3AA9" w:rsidRPr="00E60414" w:rsidRDefault="003A3AA9" w:rsidP="00DF6917">
                      <w:pPr>
                        <w:pStyle w:val="NormalWeb"/>
                        <w:spacing w:before="0" w:beforeAutospacing="0" w:after="0" w:afterAutospacing="0"/>
                        <w:ind w:right="-51"/>
                        <w:rPr>
                          <w:rFonts w:ascii="Arial" w:hAnsi="Arial" w:cs="Arial"/>
                          <w:b/>
                          <w:color w:val="FF0000"/>
                          <w:sz w:val="24"/>
                          <w:szCs w:val="24"/>
                        </w:rPr>
                      </w:pPr>
                      <w:r w:rsidRPr="00E60414">
                        <w:rPr>
                          <w:rFonts w:ascii="Arial" w:hAnsi="Arial" w:cs="Arial"/>
                          <w:b/>
                          <w:color w:val="FF0000"/>
                          <w:sz w:val="24"/>
                          <w:szCs w:val="24"/>
                        </w:rPr>
                        <w:t>1mm</w:t>
                      </w:r>
                    </w:p>
                  </w:txbxContent>
                </v:textbox>
                <w10:wrap type="square"/>
              </v:shape>
            </w:pict>
          </mc:Fallback>
        </mc:AlternateContent>
      </w:r>
      <w:r w:rsidR="00DF6917">
        <w:rPr>
          <w:rFonts w:ascii="Arial" w:eastAsiaTheme="minorHAnsi" w:hAnsi="Arial"/>
          <w:bCs/>
          <w:noProof/>
          <w:lang w:val="en-US"/>
        </w:rPr>
        <w:drawing>
          <wp:inline distT="0" distB="0" distL="0" distR="0" wp14:anchorId="008A99B6" wp14:editId="60379483">
            <wp:extent cx="3408947" cy="2565040"/>
            <wp:effectExtent l="0" t="0" r="0" b="635"/>
            <wp:docPr id="57" name="Picture 57" descr="JASMINE:Methods:Methods pics:cort r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ASMINE:Methods:Methods pics:cort roi.pn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1211" t="-1" r="23941" b="1308"/>
                    <a:stretch/>
                  </pic:blipFill>
                  <pic:spPr bwMode="auto">
                    <a:xfrm>
                      <a:off x="0" y="0"/>
                      <a:ext cx="3408947" cy="2565040"/>
                    </a:xfrm>
                    <a:prstGeom prst="rect">
                      <a:avLst/>
                    </a:prstGeom>
                    <a:noFill/>
                    <a:ln>
                      <a:noFill/>
                    </a:ln>
                    <a:extLst>
                      <a:ext uri="{53640926-AAD7-44d8-BBD7-CCE9431645EC}">
                        <a14:shadowObscured xmlns:a14="http://schemas.microsoft.com/office/drawing/2010/main"/>
                      </a:ext>
                    </a:extLst>
                  </pic:spPr>
                </pic:pic>
              </a:graphicData>
            </a:graphic>
          </wp:inline>
        </w:drawing>
      </w:r>
    </w:p>
    <w:p w14:paraId="03A43686" w14:textId="77777777" w:rsidR="00397586" w:rsidRDefault="00397586" w:rsidP="00DF6917">
      <w:pPr>
        <w:pStyle w:val="Caption"/>
        <w:spacing w:line="360" w:lineRule="auto"/>
        <w:jc w:val="both"/>
        <w:rPr>
          <w:rFonts w:ascii="Arial" w:hAnsi="Arial" w:cs="Arial"/>
          <w:color w:val="244061" w:themeColor="accent1" w:themeShade="80"/>
          <w:sz w:val="24"/>
          <w:szCs w:val="24"/>
        </w:rPr>
      </w:pPr>
    </w:p>
    <w:p w14:paraId="4DCC730B" w14:textId="77777777" w:rsidR="0061193F" w:rsidRPr="00DF6917" w:rsidRDefault="00DF6917" w:rsidP="00DF6917">
      <w:pPr>
        <w:pStyle w:val="Caption"/>
        <w:spacing w:line="360" w:lineRule="auto"/>
        <w:jc w:val="both"/>
        <w:rPr>
          <w:rFonts w:ascii="Arial" w:eastAsiaTheme="minorHAnsi" w:hAnsi="Arial" w:cs="Arial"/>
          <w:bCs w:val="0"/>
          <w:color w:val="244061" w:themeColor="accent1" w:themeShade="80"/>
          <w:sz w:val="24"/>
          <w:szCs w:val="24"/>
        </w:rPr>
      </w:pPr>
      <w:bookmarkStart w:id="52" w:name="_Toc383544605"/>
      <w:r w:rsidRPr="00DF6917">
        <w:rPr>
          <w:rFonts w:ascii="Arial" w:hAnsi="Arial" w:cs="Arial"/>
          <w:color w:val="244061" w:themeColor="accent1" w:themeShade="80"/>
          <w:sz w:val="24"/>
          <w:szCs w:val="24"/>
        </w:rPr>
        <w:t xml:space="preserve">Figure </w:t>
      </w:r>
      <w:r w:rsidRPr="00DF6917">
        <w:rPr>
          <w:rFonts w:ascii="Arial" w:hAnsi="Arial" w:cs="Arial"/>
          <w:color w:val="244061" w:themeColor="accent1" w:themeShade="80"/>
          <w:sz w:val="24"/>
          <w:szCs w:val="24"/>
        </w:rPr>
        <w:fldChar w:fldCharType="begin"/>
      </w:r>
      <w:r w:rsidRPr="00DF6917">
        <w:rPr>
          <w:rFonts w:ascii="Arial" w:hAnsi="Arial" w:cs="Arial"/>
          <w:color w:val="244061" w:themeColor="accent1" w:themeShade="80"/>
          <w:sz w:val="24"/>
          <w:szCs w:val="24"/>
        </w:rPr>
        <w:instrText xml:space="preserve"> SEQ Figure \* ARABIC </w:instrText>
      </w:r>
      <w:r w:rsidRPr="00DF6917">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14</w:t>
      </w:r>
      <w:r w:rsidRPr="00DF6917">
        <w:rPr>
          <w:rFonts w:ascii="Arial" w:hAnsi="Arial" w:cs="Arial"/>
          <w:color w:val="244061" w:themeColor="accent1" w:themeShade="80"/>
          <w:sz w:val="24"/>
          <w:szCs w:val="24"/>
        </w:rPr>
        <w:fldChar w:fldCharType="end"/>
      </w:r>
      <w:r w:rsidRPr="00DF6917">
        <w:rPr>
          <w:rFonts w:ascii="Arial" w:hAnsi="Arial" w:cs="Arial"/>
          <w:color w:val="244061" w:themeColor="accent1" w:themeShade="80"/>
          <w:sz w:val="24"/>
          <w:szCs w:val="24"/>
        </w:rPr>
        <w:t xml:space="preserve"> </w:t>
      </w:r>
      <w:r w:rsidR="0061193F" w:rsidRPr="00DF6917">
        <w:rPr>
          <w:rFonts w:ascii="Arial" w:eastAsiaTheme="minorHAnsi" w:hAnsi="Arial" w:cs="Arial"/>
          <w:bCs w:val="0"/>
          <w:color w:val="244061" w:themeColor="accent1" w:themeShade="80"/>
          <w:sz w:val="24"/>
          <w:szCs w:val="24"/>
        </w:rPr>
        <w:t xml:space="preserve">Selection of the tibial trabecular (A) and cortical bone (B) 1mm-long ROIs for </w:t>
      </w:r>
      <w:r w:rsidR="0061193F" w:rsidRPr="00DF6917">
        <w:rPr>
          <w:rFonts w:ascii="Arial" w:hAnsi="Arial" w:cs="Arial"/>
          <w:color w:val="244061" w:themeColor="accent1" w:themeShade="80"/>
          <w:sz w:val="24"/>
          <w:szCs w:val="24"/>
        </w:rPr>
        <w:t xml:space="preserve">3D analysis using </w:t>
      </w:r>
      <w:r w:rsidR="0061193F" w:rsidRPr="00DF6917">
        <w:rPr>
          <w:rFonts w:ascii="Arial" w:eastAsiaTheme="minorHAnsi" w:hAnsi="Arial" w:cs="Arial"/>
          <w:bCs w:val="0"/>
          <w:color w:val="244061" w:themeColor="accent1" w:themeShade="80"/>
          <w:sz w:val="24"/>
          <w:szCs w:val="24"/>
        </w:rPr>
        <w:t>SkyScan Ct.An software</w:t>
      </w:r>
      <w:bookmarkEnd w:id="52"/>
    </w:p>
    <w:p w14:paraId="376647F6" w14:textId="77777777" w:rsidR="0061193F" w:rsidRPr="00D756E2" w:rsidRDefault="0061193F" w:rsidP="0061193F">
      <w:pPr>
        <w:spacing w:line="360" w:lineRule="auto"/>
        <w:jc w:val="both"/>
        <w:rPr>
          <w:rFonts w:ascii="Arial" w:eastAsiaTheme="minorHAnsi" w:hAnsi="Arial" w:cs="Arial"/>
          <w:bCs/>
          <w:sz w:val="22"/>
          <w:szCs w:val="22"/>
        </w:rPr>
      </w:pPr>
      <w:r>
        <w:rPr>
          <w:rFonts w:ascii="Arial" w:eastAsiaTheme="minorHAnsi" w:hAnsi="Arial" w:cs="Arial"/>
          <w:bCs/>
          <w:sz w:val="22"/>
          <w:szCs w:val="22"/>
        </w:rPr>
        <w:t xml:space="preserve">After the </w:t>
      </w:r>
      <w:r w:rsidR="00DF6917">
        <w:rPr>
          <w:rFonts w:ascii="Arial" w:eastAsiaTheme="minorHAnsi" w:hAnsi="Arial" w:cs="Arial"/>
          <w:bCs/>
          <w:sz w:val="22"/>
          <w:szCs w:val="22"/>
        </w:rPr>
        <w:t xml:space="preserve">cone-beam reconstruction, </w:t>
      </w:r>
      <w:r w:rsidR="00657E2A" w:rsidRPr="00F406A8">
        <w:rPr>
          <w:rFonts w:ascii="Arial" w:hAnsi="Arial" w:cs="Arial"/>
          <w:color w:val="000000" w:themeColor="text1"/>
        </w:rPr>
        <w:sym w:font="Symbol" w:char="F06D"/>
      </w:r>
      <w:r>
        <w:rPr>
          <w:rFonts w:ascii="Arial" w:eastAsiaTheme="minorHAnsi" w:hAnsi="Arial" w:cs="Arial"/>
          <w:bCs/>
          <w:sz w:val="22"/>
          <w:szCs w:val="22"/>
        </w:rPr>
        <w:t xml:space="preserve">CT scans of the bones were analysed using Ct.An </w:t>
      </w:r>
      <w:r w:rsidRPr="00AD1E26">
        <w:rPr>
          <w:rFonts w:ascii="Arial" w:eastAsiaTheme="minorHAnsi" w:hAnsi="Arial" w:cs="Arial"/>
          <w:bCs/>
          <w:sz w:val="22"/>
          <w:szCs w:val="22"/>
        </w:rPr>
        <w:t xml:space="preserve">software </w:t>
      </w:r>
      <w:r w:rsidRPr="00AD1E26">
        <w:rPr>
          <w:rFonts w:ascii="Arial" w:eastAsiaTheme="minorHAnsi" w:hAnsi="Arial"/>
          <w:bCs/>
          <w:sz w:val="22"/>
          <w:szCs w:val="22"/>
        </w:rPr>
        <w:t>(</w:t>
      </w:r>
      <w:r w:rsidRPr="00AD1E26">
        <w:rPr>
          <w:rFonts w:ascii="Arial" w:hAnsi="Arial" w:cs="Arial"/>
          <w:color w:val="000000" w:themeColor="text1"/>
          <w:sz w:val="22"/>
          <w:szCs w:val="22"/>
        </w:rPr>
        <w:t>Bruker MicroCT, Kontich, Belgium</w:t>
      </w:r>
      <w:r w:rsidRPr="00AD1E26">
        <w:rPr>
          <w:rFonts w:ascii="Arial" w:eastAsiaTheme="minorHAnsi" w:hAnsi="Arial"/>
          <w:bCs/>
          <w:sz w:val="22"/>
          <w:szCs w:val="22"/>
        </w:rPr>
        <w:t>)</w:t>
      </w:r>
      <w:r>
        <w:rPr>
          <w:rFonts w:ascii="Arial" w:eastAsiaTheme="minorHAnsi" w:hAnsi="Arial"/>
          <w:bCs/>
          <w:sz w:val="22"/>
          <w:szCs w:val="22"/>
        </w:rPr>
        <w:t xml:space="preserve">. </w:t>
      </w:r>
      <w:r w:rsidRPr="00D756E2">
        <w:rPr>
          <w:rFonts w:ascii="Arial" w:eastAsiaTheme="minorHAnsi" w:hAnsi="Arial" w:cs="Arial"/>
          <w:bCs/>
          <w:sz w:val="22"/>
          <w:szCs w:val="22"/>
        </w:rPr>
        <w:t>(A)</w:t>
      </w:r>
      <w:r>
        <w:rPr>
          <w:rFonts w:ascii="Arial" w:eastAsiaTheme="minorHAnsi" w:hAnsi="Arial" w:cs="Arial"/>
          <w:bCs/>
          <w:sz w:val="22"/>
          <w:szCs w:val="22"/>
        </w:rPr>
        <w:t xml:space="preserve"> </w:t>
      </w:r>
      <w:r w:rsidRPr="00D756E2">
        <w:rPr>
          <w:rFonts w:ascii="Arial" w:eastAsiaTheme="minorHAnsi" w:hAnsi="Arial" w:cs="Arial"/>
          <w:bCs/>
          <w:sz w:val="22"/>
          <w:szCs w:val="22"/>
        </w:rPr>
        <w:t>For trabecular bone the region of interest was selected 1mm distal to the proximal tibial growth plate</w:t>
      </w:r>
      <w:r>
        <w:rPr>
          <w:rFonts w:ascii="Arial" w:eastAsiaTheme="minorHAnsi" w:hAnsi="Arial" w:cs="Arial"/>
          <w:bCs/>
          <w:sz w:val="22"/>
          <w:szCs w:val="22"/>
        </w:rPr>
        <w:t>. An offset of 0.2mm was set to ensure the growth plate was not included in the analysis. (B) For cortical bone 1mm-long section was selected at the mid-shaft of tibia with an offset of 0.5mm.</w:t>
      </w:r>
    </w:p>
    <w:p w14:paraId="69E36F79" w14:textId="77777777" w:rsidR="0061193F" w:rsidRDefault="0061193F" w:rsidP="0061193F">
      <w:pPr>
        <w:spacing w:line="480" w:lineRule="auto"/>
        <w:jc w:val="both"/>
        <w:rPr>
          <w:rFonts w:ascii="Arial" w:eastAsiaTheme="minorHAnsi" w:hAnsi="Arial"/>
          <w:b/>
          <w:bCs/>
          <w:color w:val="1F497D" w:themeColor="text2"/>
        </w:rPr>
      </w:pPr>
    </w:p>
    <w:p w14:paraId="55385D42" w14:textId="77777777" w:rsidR="0061193F" w:rsidRPr="00947EE3" w:rsidRDefault="0061193F" w:rsidP="0061193F">
      <w:pPr>
        <w:spacing w:line="480" w:lineRule="auto"/>
        <w:jc w:val="both"/>
        <w:rPr>
          <w:rFonts w:ascii="Arial" w:eastAsiaTheme="minorHAnsi" w:hAnsi="Arial"/>
          <w:b/>
          <w:bCs/>
          <w:sz w:val="28"/>
          <w:szCs w:val="28"/>
        </w:rPr>
      </w:pPr>
      <w:r w:rsidRPr="00947EE3">
        <w:rPr>
          <w:rFonts w:ascii="Arial" w:eastAsiaTheme="minorHAnsi" w:hAnsi="Arial"/>
          <w:b/>
          <w:bCs/>
          <w:sz w:val="28"/>
          <w:szCs w:val="28"/>
        </w:rPr>
        <w:lastRenderedPageBreak/>
        <w:t>A</w:t>
      </w:r>
    </w:p>
    <w:p w14:paraId="6E5E80D2" w14:textId="77777777" w:rsidR="0061193F" w:rsidRDefault="00BA6B25" w:rsidP="00E941E8">
      <w:pPr>
        <w:spacing w:line="480" w:lineRule="auto"/>
        <w:ind w:left="567"/>
        <w:jc w:val="both"/>
        <w:rPr>
          <w:rFonts w:ascii="Arial" w:eastAsiaTheme="minorHAnsi" w:hAnsi="Arial"/>
          <w:bCs/>
        </w:rPr>
      </w:pPr>
      <w:r w:rsidRPr="00EE68BD">
        <w:rPr>
          <w:rFonts w:ascii="Arial" w:eastAsiaTheme="minorHAnsi" w:hAnsi="Arial"/>
          <w:bCs/>
          <w:noProof/>
          <w:lang w:val="en-US"/>
        </w:rPr>
        <mc:AlternateContent>
          <mc:Choice Requires="wps">
            <w:drawing>
              <wp:anchor distT="0" distB="0" distL="114300" distR="114300" simplePos="0" relativeHeight="251682816" behindDoc="0" locked="0" layoutInCell="1" allowOverlap="1" wp14:anchorId="4F4944AD" wp14:editId="48DC730B">
                <wp:simplePos x="0" y="0"/>
                <wp:positionH relativeFrom="column">
                  <wp:posOffset>489710</wp:posOffset>
                </wp:positionH>
                <wp:positionV relativeFrom="paragraph">
                  <wp:posOffset>2473335</wp:posOffset>
                </wp:positionV>
                <wp:extent cx="183515" cy="2540"/>
                <wp:effectExtent l="50800" t="25400" r="70485" b="99060"/>
                <wp:wrapNone/>
                <wp:docPr id="103" name="Straight Connector 20"/>
                <wp:cNvGraphicFramePr/>
                <a:graphic xmlns:a="http://schemas.openxmlformats.org/drawingml/2006/main">
                  <a:graphicData uri="http://schemas.microsoft.com/office/word/2010/wordprocessingShape">
                    <wps:wsp>
                      <wps:cNvCnPr/>
                      <wps:spPr>
                        <a:xfrm flipH="1" flipV="1">
                          <a:off x="0" y="0"/>
                          <a:ext cx="183515" cy="2540"/>
                        </a:xfrm>
                        <a:prstGeom prst="line">
                          <a:avLst/>
                        </a:prstGeom>
                        <a:ln w="19050" cmpd="sng">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Straight Connector 20" o:spid="_x0000_s1026" style="position:absolute;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5pt,194.75pt" to="53pt,194.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" strokecolor="white [3212]" strokeweight="1.5pt">
                <v:shadow on="t" opacity="24903f" mv:blur="40000f" origin=",.5" offset="0,20000emu"/>
              </v:line>
            </w:pict>
          </mc:Fallback>
        </mc:AlternateContent>
      </w:r>
      <w:r w:rsidR="0061193F">
        <w:rPr>
          <w:rFonts w:ascii="Arial" w:eastAsiaTheme="minorHAnsi" w:hAnsi="Arial"/>
          <w:bCs/>
          <w:noProof/>
          <w:lang w:val="en-US"/>
        </w:rPr>
        <w:drawing>
          <wp:inline distT="0" distB="0" distL="0" distR="0" wp14:anchorId="4C3650CD" wp14:editId="5AC6A036">
            <wp:extent cx="3403656" cy="2591240"/>
            <wp:effectExtent l="0" t="0" r="0" b="0"/>
            <wp:docPr id="33" name="Picture 33" descr="JASMINE:Methods:Methods pics:tibia r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ASMINE:Methods:Methods pics:tibia roi.png"/>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1635" t="18827" r="3652" b="455"/>
                    <a:stretch/>
                  </pic:blipFill>
                  <pic:spPr bwMode="auto">
                    <a:xfrm>
                      <a:off x="0" y="0"/>
                      <a:ext cx="3403656" cy="2591240"/>
                    </a:xfrm>
                    <a:prstGeom prst="rect">
                      <a:avLst/>
                    </a:prstGeom>
                    <a:noFill/>
                    <a:ln>
                      <a:noFill/>
                    </a:ln>
                    <a:extLst>
                      <a:ext uri="{53640926-AAD7-44d8-BBD7-CCE9431645EC}">
                        <a14:shadowObscured xmlns:a14="http://schemas.microsoft.com/office/drawing/2010/main"/>
                      </a:ext>
                    </a:extLst>
                  </pic:spPr>
                </pic:pic>
              </a:graphicData>
            </a:graphic>
          </wp:inline>
        </w:drawing>
      </w:r>
    </w:p>
    <w:p w14:paraId="3A80DBF2" w14:textId="77777777" w:rsidR="00973B27" w:rsidRDefault="00973B27" w:rsidP="0061193F">
      <w:pPr>
        <w:spacing w:line="480" w:lineRule="auto"/>
        <w:jc w:val="both"/>
        <w:rPr>
          <w:rFonts w:ascii="Arial" w:eastAsiaTheme="minorHAnsi" w:hAnsi="Arial"/>
          <w:b/>
          <w:bCs/>
          <w:color w:val="1F497D" w:themeColor="text2"/>
          <w:sz w:val="28"/>
          <w:szCs w:val="28"/>
        </w:rPr>
      </w:pPr>
    </w:p>
    <w:p w14:paraId="7C829CDD" w14:textId="77777777" w:rsidR="0061193F" w:rsidRPr="00947EE3" w:rsidRDefault="0061193F" w:rsidP="0061193F">
      <w:pPr>
        <w:spacing w:line="480" w:lineRule="auto"/>
        <w:jc w:val="both"/>
        <w:rPr>
          <w:rFonts w:ascii="Arial" w:eastAsiaTheme="minorHAnsi" w:hAnsi="Arial"/>
          <w:b/>
          <w:bCs/>
          <w:sz w:val="28"/>
          <w:szCs w:val="28"/>
        </w:rPr>
      </w:pPr>
      <w:r w:rsidRPr="00947EE3">
        <w:rPr>
          <w:rFonts w:ascii="Arial" w:eastAsiaTheme="minorHAnsi" w:hAnsi="Arial"/>
          <w:b/>
          <w:bCs/>
          <w:sz w:val="28"/>
          <w:szCs w:val="28"/>
        </w:rPr>
        <w:t>B</w:t>
      </w:r>
    </w:p>
    <w:p w14:paraId="39C8D534" w14:textId="77777777" w:rsidR="0061193F" w:rsidRPr="001766CA" w:rsidRDefault="0006326C" w:rsidP="00E941E8">
      <w:pPr>
        <w:tabs>
          <w:tab w:val="left" w:pos="2410"/>
        </w:tabs>
        <w:spacing w:line="480" w:lineRule="auto"/>
        <w:ind w:left="567"/>
        <w:jc w:val="both"/>
        <w:rPr>
          <w:rFonts w:ascii="Arial" w:eastAsiaTheme="minorHAnsi" w:hAnsi="Arial"/>
          <w:b/>
          <w:bCs/>
          <w:color w:val="1F497D" w:themeColor="text2"/>
        </w:rPr>
      </w:pPr>
      <w:r w:rsidRPr="00EE68BD">
        <w:rPr>
          <w:rFonts w:ascii="Arial" w:eastAsiaTheme="minorHAnsi" w:hAnsi="Arial"/>
          <w:bCs/>
          <w:noProof/>
          <w:lang w:val="en-US"/>
        </w:rPr>
        <mc:AlternateContent>
          <mc:Choice Requires="wps">
            <w:drawing>
              <wp:anchor distT="0" distB="0" distL="114300" distR="114300" simplePos="0" relativeHeight="251678720" behindDoc="0" locked="0" layoutInCell="1" allowOverlap="1" wp14:anchorId="10FD2C5C" wp14:editId="5B9B78BF">
                <wp:simplePos x="0" y="0"/>
                <wp:positionH relativeFrom="column">
                  <wp:posOffset>487045</wp:posOffset>
                </wp:positionH>
                <wp:positionV relativeFrom="paragraph">
                  <wp:posOffset>2452505</wp:posOffset>
                </wp:positionV>
                <wp:extent cx="183515" cy="0"/>
                <wp:effectExtent l="50800" t="25400" r="70485" b="101600"/>
                <wp:wrapNone/>
                <wp:docPr id="101" name="Straight Connector 20"/>
                <wp:cNvGraphicFramePr/>
                <a:graphic xmlns:a="http://schemas.openxmlformats.org/drawingml/2006/main">
                  <a:graphicData uri="http://schemas.microsoft.com/office/word/2010/wordprocessingShape">
                    <wps:wsp>
                      <wps:cNvCnPr/>
                      <wps:spPr>
                        <a:xfrm flipH="1" flipV="1">
                          <a:off x="0" y="0"/>
                          <a:ext cx="183515" cy="0"/>
                        </a:xfrm>
                        <a:prstGeom prst="line">
                          <a:avLst/>
                        </a:prstGeom>
                        <a:ln w="19050" cmpd="sng">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Straight Connector 20" o:spid="_x0000_s1026" style="position:absolute;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5pt,193.1pt" to="52.8pt,19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" strokecolor="white [3212]" strokeweight="1.5pt">
                <v:shadow on="t" opacity="24903f" mv:blur="40000f" origin=",.5" offset="0,20000emu"/>
              </v:line>
            </w:pict>
          </mc:Fallback>
        </mc:AlternateContent>
      </w:r>
      <w:r>
        <w:rPr>
          <w:rFonts w:ascii="Arial" w:eastAsiaTheme="minorHAnsi" w:hAnsi="Arial"/>
          <w:b/>
          <w:bCs/>
          <w:noProof/>
          <w:color w:val="1F497D" w:themeColor="text2"/>
          <w:lang w:val="en-US"/>
        </w:rPr>
        <w:drawing>
          <wp:inline distT="0" distB="0" distL="0" distR="0" wp14:anchorId="7674217B" wp14:editId="603573AD">
            <wp:extent cx="3405056" cy="2555435"/>
            <wp:effectExtent l="0" t="0" r="0" b="10160"/>
            <wp:docPr id="35" name="Picture 35" descr="JASMINE:Methods:Methods pics:cort marr r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ASMINE:Methods:Methods pics:cort marr roi.png"/>
                    <pic:cNvPicPr>
                      <a:picLocks noChangeAspect="1" noChangeArrowheads="1"/>
                    </pic:cNvPicPr>
                  </pic:nvPicPr>
                  <pic:blipFill rotWithShape="1">
                    <a:blip r:embed="rId46">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l="5762" t="21304" r="7818" b="7061"/>
                    <a:stretch/>
                  </pic:blipFill>
                  <pic:spPr bwMode="auto">
                    <a:xfrm>
                      <a:off x="0" y="0"/>
                      <a:ext cx="3405056" cy="2555435"/>
                    </a:xfrm>
                    <a:prstGeom prst="rect">
                      <a:avLst/>
                    </a:prstGeom>
                    <a:noFill/>
                    <a:ln>
                      <a:noFill/>
                    </a:ln>
                    <a:extLst>
                      <a:ext uri="{53640926-AAD7-44d8-BBD7-CCE9431645EC}">
                        <a14:shadowObscured xmlns:a14="http://schemas.microsoft.com/office/drawing/2010/main"/>
                      </a:ext>
                    </a:extLst>
                  </pic:spPr>
                </pic:pic>
              </a:graphicData>
            </a:graphic>
          </wp:inline>
        </w:drawing>
      </w:r>
    </w:p>
    <w:p w14:paraId="68A7FCBC" w14:textId="77777777" w:rsidR="0061193F" w:rsidRDefault="0061193F" w:rsidP="0061193F">
      <w:pPr>
        <w:spacing w:line="480" w:lineRule="auto"/>
        <w:jc w:val="both"/>
        <w:rPr>
          <w:rFonts w:ascii="Arial" w:hAnsi="Arial" w:cs="Arial"/>
          <w:b/>
          <w:noProof/>
          <w:color w:val="1F497D" w:themeColor="text2"/>
          <w:sz w:val="28"/>
          <w:szCs w:val="28"/>
        </w:rPr>
      </w:pPr>
    </w:p>
    <w:p w14:paraId="0F97B821" w14:textId="77777777" w:rsidR="0061193F" w:rsidRDefault="0061193F" w:rsidP="0061193F">
      <w:pPr>
        <w:spacing w:line="480" w:lineRule="auto"/>
        <w:jc w:val="both"/>
        <w:rPr>
          <w:rFonts w:ascii="Arial" w:hAnsi="Arial" w:cs="Arial"/>
          <w:b/>
          <w:noProof/>
          <w:color w:val="1F497D" w:themeColor="text2"/>
          <w:sz w:val="28"/>
          <w:szCs w:val="28"/>
        </w:rPr>
      </w:pPr>
    </w:p>
    <w:p w14:paraId="4A7F78D1" w14:textId="77777777" w:rsidR="00397586" w:rsidRDefault="00397586" w:rsidP="0061193F">
      <w:pPr>
        <w:spacing w:line="480" w:lineRule="auto"/>
        <w:jc w:val="both"/>
        <w:rPr>
          <w:rFonts w:ascii="Arial" w:hAnsi="Arial" w:cs="Arial"/>
          <w:b/>
          <w:noProof/>
          <w:color w:val="1F497D" w:themeColor="text2"/>
          <w:sz w:val="28"/>
          <w:szCs w:val="28"/>
        </w:rPr>
      </w:pPr>
    </w:p>
    <w:p w14:paraId="174AD7EC" w14:textId="77777777" w:rsidR="00397586" w:rsidRDefault="00397586" w:rsidP="0061193F">
      <w:pPr>
        <w:spacing w:line="480" w:lineRule="auto"/>
        <w:jc w:val="both"/>
        <w:rPr>
          <w:rFonts w:ascii="Arial" w:hAnsi="Arial" w:cs="Arial"/>
          <w:b/>
          <w:noProof/>
          <w:color w:val="1F497D" w:themeColor="text2"/>
          <w:sz w:val="28"/>
          <w:szCs w:val="28"/>
        </w:rPr>
      </w:pPr>
    </w:p>
    <w:p w14:paraId="2D4A4516" w14:textId="77777777" w:rsidR="00397586" w:rsidRDefault="00397586" w:rsidP="0061193F">
      <w:pPr>
        <w:spacing w:line="480" w:lineRule="auto"/>
        <w:jc w:val="both"/>
        <w:rPr>
          <w:rFonts w:ascii="Arial" w:hAnsi="Arial" w:cs="Arial"/>
          <w:b/>
          <w:noProof/>
          <w:color w:val="1F497D" w:themeColor="text2"/>
          <w:sz w:val="28"/>
          <w:szCs w:val="28"/>
        </w:rPr>
      </w:pPr>
    </w:p>
    <w:p w14:paraId="15493A5B" w14:textId="77777777" w:rsidR="0006326C" w:rsidRDefault="0006326C" w:rsidP="0061193F">
      <w:pPr>
        <w:spacing w:line="480" w:lineRule="auto"/>
        <w:jc w:val="both"/>
        <w:rPr>
          <w:rFonts w:ascii="Arial" w:hAnsi="Arial" w:cs="Arial"/>
          <w:b/>
          <w:noProof/>
          <w:color w:val="1F497D" w:themeColor="text2"/>
          <w:sz w:val="28"/>
          <w:szCs w:val="28"/>
        </w:rPr>
      </w:pPr>
    </w:p>
    <w:p w14:paraId="355074F9" w14:textId="77777777" w:rsidR="0061193F" w:rsidRPr="00947EE3" w:rsidRDefault="0061193F" w:rsidP="0061193F">
      <w:pPr>
        <w:spacing w:line="480" w:lineRule="auto"/>
        <w:jc w:val="both"/>
        <w:rPr>
          <w:rFonts w:ascii="Arial" w:eastAsiaTheme="minorHAnsi" w:hAnsi="Arial" w:cs="Arial"/>
          <w:b/>
          <w:bCs/>
          <w:sz w:val="28"/>
          <w:szCs w:val="28"/>
        </w:rPr>
      </w:pPr>
      <w:r w:rsidRPr="00947EE3">
        <w:rPr>
          <w:rFonts w:ascii="Arial" w:hAnsi="Arial" w:cs="Arial"/>
          <w:b/>
          <w:noProof/>
          <w:sz w:val="28"/>
          <w:szCs w:val="28"/>
        </w:rPr>
        <w:lastRenderedPageBreak/>
        <w:t>C</w:t>
      </w:r>
    </w:p>
    <w:p w14:paraId="6AA44BF9" w14:textId="77777777" w:rsidR="00397586" w:rsidRDefault="00BA6B25" w:rsidP="00460793">
      <w:pPr>
        <w:keepNext/>
        <w:tabs>
          <w:tab w:val="left" w:pos="1276"/>
        </w:tabs>
        <w:spacing w:line="480" w:lineRule="auto"/>
        <w:ind w:left="567"/>
        <w:jc w:val="both"/>
      </w:pPr>
      <w:r w:rsidRPr="00EE68BD">
        <w:rPr>
          <w:rFonts w:ascii="Arial" w:eastAsiaTheme="minorHAnsi" w:hAnsi="Arial"/>
          <w:bCs/>
          <w:noProof/>
          <w:lang w:val="en-US"/>
        </w:rPr>
        <mc:AlternateContent>
          <mc:Choice Requires="wps">
            <w:drawing>
              <wp:anchor distT="0" distB="0" distL="114300" distR="114300" simplePos="0" relativeHeight="251680768" behindDoc="0" locked="0" layoutInCell="1" allowOverlap="1" wp14:anchorId="7DA3A7C2" wp14:editId="0A67BD9C">
                <wp:simplePos x="0" y="0"/>
                <wp:positionH relativeFrom="column">
                  <wp:posOffset>488638</wp:posOffset>
                </wp:positionH>
                <wp:positionV relativeFrom="paragraph">
                  <wp:posOffset>2445895</wp:posOffset>
                </wp:positionV>
                <wp:extent cx="183515" cy="2640"/>
                <wp:effectExtent l="50800" t="25400" r="70485" b="99060"/>
                <wp:wrapNone/>
                <wp:docPr id="102" name="Straight Connector 20"/>
                <wp:cNvGraphicFramePr/>
                <a:graphic xmlns:a="http://schemas.openxmlformats.org/drawingml/2006/main">
                  <a:graphicData uri="http://schemas.microsoft.com/office/word/2010/wordprocessingShape">
                    <wps:wsp>
                      <wps:cNvCnPr/>
                      <wps:spPr>
                        <a:xfrm flipH="1" flipV="1">
                          <a:off x="0" y="0"/>
                          <a:ext cx="183515" cy="2640"/>
                        </a:xfrm>
                        <a:prstGeom prst="line">
                          <a:avLst/>
                        </a:prstGeom>
                        <a:ln w="19050" cmpd="sng">
                          <a:solidFill>
                            <a:schemeClr val="bg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id="Straight Connector 20" o:spid="_x0000_s1026" style="position:absolute;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pt,192.6pt" to="52.95pt,19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" strokecolor="white [3212]" strokeweight="1.5pt">
                <v:shadow on="t" opacity="24903f" mv:blur="40000f" origin=",.5" offset="0,20000emu"/>
              </v:line>
            </w:pict>
          </mc:Fallback>
        </mc:AlternateContent>
      </w:r>
      <w:r w:rsidR="0061193F">
        <w:rPr>
          <w:rFonts w:ascii="Arial" w:eastAsiaTheme="minorHAnsi" w:hAnsi="Arial" w:cs="Arial"/>
          <w:b/>
          <w:bCs/>
          <w:noProof/>
          <w:color w:val="1F497D" w:themeColor="text2"/>
          <w:lang w:val="en-US"/>
        </w:rPr>
        <w:drawing>
          <wp:inline distT="0" distB="0" distL="0" distR="0" wp14:anchorId="48E1AE29" wp14:editId="14E34658">
            <wp:extent cx="3410678" cy="2559490"/>
            <wp:effectExtent l="0" t="0" r="0" b="6350"/>
            <wp:docPr id="36" name="Picture 36" descr="JASMINE:Methods:Methods pics:dnt r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ASMINE:Methods:Methods pics:dnt roi.png"/>
                    <pic:cNvPicPr>
                      <a:picLocks noChangeAspect="1" noChangeArrowheads="1"/>
                    </pic:cNvPicPr>
                  </pic:nvPicPr>
                  <pic:blipFill rotWithShape="1">
                    <a:blip r:embed="rId48">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rcRect l="11887" t="19450" r="6063" b="9300"/>
                    <a:stretch/>
                  </pic:blipFill>
                  <pic:spPr bwMode="auto">
                    <a:xfrm>
                      <a:off x="0" y="0"/>
                      <a:ext cx="3410678" cy="2559490"/>
                    </a:xfrm>
                    <a:prstGeom prst="rect">
                      <a:avLst/>
                    </a:prstGeom>
                    <a:noFill/>
                    <a:ln>
                      <a:noFill/>
                    </a:ln>
                    <a:extLst>
                      <a:ext uri="{53640926-AAD7-44d8-BBD7-CCE9431645EC}">
                        <a14:shadowObscured xmlns:a14="http://schemas.microsoft.com/office/drawing/2010/main"/>
                      </a:ext>
                    </a:extLst>
                  </pic:spPr>
                </pic:pic>
              </a:graphicData>
            </a:graphic>
          </wp:inline>
        </w:drawing>
      </w:r>
    </w:p>
    <w:p w14:paraId="3C036F4A" w14:textId="77777777" w:rsidR="00AB2DB9" w:rsidRDefault="00AB2DB9" w:rsidP="00397586">
      <w:pPr>
        <w:pStyle w:val="Caption"/>
        <w:spacing w:line="360" w:lineRule="auto"/>
        <w:jc w:val="both"/>
        <w:rPr>
          <w:rFonts w:ascii="Arial" w:hAnsi="Arial" w:cs="Arial"/>
          <w:color w:val="244061" w:themeColor="accent1" w:themeShade="80"/>
          <w:sz w:val="24"/>
          <w:szCs w:val="24"/>
        </w:rPr>
      </w:pPr>
    </w:p>
    <w:p w14:paraId="6AD14FEF" w14:textId="77777777" w:rsidR="0061193F" w:rsidRPr="00397586" w:rsidRDefault="00397586" w:rsidP="00397586">
      <w:pPr>
        <w:pStyle w:val="Caption"/>
        <w:spacing w:line="360" w:lineRule="auto"/>
        <w:jc w:val="both"/>
        <w:rPr>
          <w:rFonts w:ascii="Arial" w:eastAsiaTheme="minorHAnsi" w:hAnsi="Arial" w:cs="Arial"/>
          <w:bCs w:val="0"/>
          <w:color w:val="244061" w:themeColor="accent1" w:themeShade="80"/>
          <w:sz w:val="24"/>
          <w:szCs w:val="24"/>
        </w:rPr>
      </w:pPr>
      <w:bookmarkStart w:id="53" w:name="_Toc383544606"/>
      <w:r w:rsidRPr="00397586">
        <w:rPr>
          <w:rFonts w:ascii="Arial" w:hAnsi="Arial" w:cs="Arial"/>
          <w:color w:val="244061" w:themeColor="accent1" w:themeShade="80"/>
          <w:sz w:val="24"/>
          <w:szCs w:val="24"/>
        </w:rPr>
        <w:t xml:space="preserve">Figure </w:t>
      </w:r>
      <w:r w:rsidRPr="00397586">
        <w:rPr>
          <w:rFonts w:ascii="Arial" w:hAnsi="Arial" w:cs="Arial"/>
          <w:color w:val="244061" w:themeColor="accent1" w:themeShade="80"/>
          <w:sz w:val="24"/>
          <w:szCs w:val="24"/>
        </w:rPr>
        <w:fldChar w:fldCharType="begin"/>
      </w:r>
      <w:r w:rsidRPr="00397586">
        <w:rPr>
          <w:rFonts w:ascii="Arial" w:hAnsi="Arial" w:cs="Arial"/>
          <w:color w:val="244061" w:themeColor="accent1" w:themeShade="80"/>
          <w:sz w:val="24"/>
          <w:szCs w:val="24"/>
        </w:rPr>
        <w:instrText xml:space="preserve"> SEQ Figure \* ARABIC </w:instrText>
      </w:r>
      <w:r w:rsidRPr="00397586">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15</w:t>
      </w:r>
      <w:r w:rsidRPr="00397586">
        <w:rPr>
          <w:rFonts w:ascii="Arial" w:hAnsi="Arial" w:cs="Arial"/>
          <w:color w:val="244061" w:themeColor="accent1" w:themeShade="80"/>
          <w:sz w:val="24"/>
          <w:szCs w:val="24"/>
        </w:rPr>
        <w:fldChar w:fldCharType="end"/>
      </w:r>
      <w:r w:rsidRPr="00397586">
        <w:rPr>
          <w:rFonts w:ascii="Arial" w:hAnsi="Arial" w:cs="Arial"/>
          <w:color w:val="244061" w:themeColor="accent1" w:themeShade="80"/>
          <w:sz w:val="24"/>
          <w:szCs w:val="24"/>
        </w:rPr>
        <w:t xml:space="preserve"> </w:t>
      </w:r>
      <w:r w:rsidR="0061193F" w:rsidRPr="00397586">
        <w:rPr>
          <w:rFonts w:ascii="Arial" w:eastAsiaTheme="minorHAnsi" w:hAnsi="Arial" w:cs="Arial"/>
          <w:bCs w:val="0"/>
          <w:color w:val="244061" w:themeColor="accent1" w:themeShade="80"/>
          <w:sz w:val="24"/>
          <w:szCs w:val="24"/>
        </w:rPr>
        <w:t>Representative images of the trabecular (A), cortical ‘crude’ (B) and ‘doughnut’ (C) regions of interests drawn to analyse trabecular and cortical bones respectively</w:t>
      </w:r>
      <w:bookmarkEnd w:id="53"/>
    </w:p>
    <w:p w14:paraId="7AF46CCC" w14:textId="77777777" w:rsidR="0061193F" w:rsidRPr="00FA1E45" w:rsidRDefault="0061193F" w:rsidP="0061193F">
      <w:pPr>
        <w:spacing w:line="360" w:lineRule="auto"/>
        <w:jc w:val="both"/>
        <w:rPr>
          <w:rFonts w:ascii="Arial" w:eastAsiaTheme="minorHAnsi" w:hAnsi="Arial"/>
          <w:bCs/>
          <w:sz w:val="22"/>
          <w:szCs w:val="22"/>
        </w:rPr>
      </w:pPr>
      <w:r w:rsidRPr="00D756E2">
        <w:rPr>
          <w:rFonts w:ascii="Arial" w:hAnsi="Arial" w:cs="Arial"/>
          <w:sz w:val="22"/>
          <w:szCs w:val="22"/>
        </w:rPr>
        <w:t>The ROI</w:t>
      </w:r>
      <w:r>
        <w:rPr>
          <w:rFonts w:ascii="Arial" w:hAnsi="Arial" w:cs="Arial"/>
          <w:sz w:val="22"/>
          <w:szCs w:val="22"/>
        </w:rPr>
        <w:t>s</w:t>
      </w:r>
      <w:r w:rsidRPr="00D756E2">
        <w:rPr>
          <w:rFonts w:ascii="Arial" w:hAnsi="Arial" w:cs="Arial"/>
          <w:sz w:val="22"/>
          <w:szCs w:val="22"/>
        </w:rPr>
        <w:t xml:space="preserve"> were processed using </w:t>
      </w:r>
      <w:r>
        <w:rPr>
          <w:rFonts w:ascii="Arial" w:hAnsi="Arial" w:cs="Arial"/>
          <w:sz w:val="22"/>
          <w:szCs w:val="22"/>
        </w:rPr>
        <w:t xml:space="preserve">micro CT analysis </w:t>
      </w:r>
      <w:r w:rsidRPr="00D756E2">
        <w:rPr>
          <w:rFonts w:ascii="Arial" w:hAnsi="Arial" w:cs="Arial"/>
          <w:sz w:val="22"/>
          <w:szCs w:val="22"/>
        </w:rPr>
        <w:t>Batch</w:t>
      </w:r>
      <w:r>
        <w:rPr>
          <w:rFonts w:ascii="Arial" w:hAnsi="Arial" w:cs="Arial"/>
          <w:sz w:val="22"/>
          <w:szCs w:val="22"/>
        </w:rPr>
        <w:t xml:space="preserve"> </w:t>
      </w:r>
      <w:r w:rsidRPr="00D756E2">
        <w:rPr>
          <w:rFonts w:ascii="Arial" w:hAnsi="Arial" w:cs="Arial"/>
          <w:sz w:val="22"/>
          <w:szCs w:val="22"/>
        </w:rPr>
        <w:t>Manager</w:t>
      </w:r>
      <w:r>
        <w:rPr>
          <w:rFonts w:ascii="Arial" w:hAnsi="Arial" w:cs="Arial"/>
          <w:sz w:val="22"/>
          <w:szCs w:val="22"/>
        </w:rPr>
        <w:t xml:space="preserve"> software </w:t>
      </w:r>
      <w:r w:rsidRPr="00AD1E26">
        <w:rPr>
          <w:rFonts w:ascii="Arial" w:eastAsiaTheme="minorHAnsi" w:hAnsi="Arial"/>
          <w:bCs/>
          <w:sz w:val="22"/>
          <w:szCs w:val="22"/>
        </w:rPr>
        <w:t>(</w:t>
      </w:r>
      <w:r w:rsidRPr="00AD1E26">
        <w:rPr>
          <w:rFonts w:ascii="Arial" w:hAnsi="Arial" w:cs="Arial"/>
          <w:color w:val="000000" w:themeColor="text1"/>
          <w:sz w:val="22"/>
          <w:szCs w:val="22"/>
        </w:rPr>
        <w:t>Bruker MicroCT, Kontich, Belgium</w:t>
      </w:r>
      <w:r w:rsidRPr="00AD1E26">
        <w:rPr>
          <w:rFonts w:ascii="Arial" w:eastAsiaTheme="minorHAnsi" w:hAnsi="Arial"/>
          <w:bCs/>
          <w:sz w:val="22"/>
          <w:szCs w:val="22"/>
        </w:rPr>
        <w:t>)</w:t>
      </w:r>
      <w:r>
        <w:rPr>
          <w:rFonts w:ascii="Arial" w:eastAsiaTheme="minorHAnsi" w:hAnsi="Arial"/>
          <w:bCs/>
          <w:sz w:val="22"/>
          <w:szCs w:val="22"/>
        </w:rPr>
        <w:t xml:space="preserve">. The tasks used to analyse the ROIs included </w:t>
      </w:r>
      <w:r w:rsidRPr="004E5DC8">
        <w:rPr>
          <w:rFonts w:ascii="Arial" w:eastAsiaTheme="minorHAnsi" w:hAnsi="Arial"/>
          <w:bCs/>
          <w:i/>
          <w:sz w:val="22"/>
          <w:szCs w:val="22"/>
        </w:rPr>
        <w:t>Thresholding</w:t>
      </w:r>
      <w:r>
        <w:rPr>
          <w:rFonts w:ascii="Arial" w:eastAsiaTheme="minorHAnsi" w:hAnsi="Arial"/>
          <w:bCs/>
          <w:sz w:val="22"/>
          <w:szCs w:val="22"/>
        </w:rPr>
        <w:t xml:space="preserve"> of the image, </w:t>
      </w:r>
      <w:r w:rsidRPr="004E5DC8">
        <w:rPr>
          <w:rFonts w:ascii="Arial" w:eastAsiaTheme="minorHAnsi" w:hAnsi="Arial"/>
          <w:bCs/>
          <w:i/>
          <w:sz w:val="22"/>
          <w:szCs w:val="22"/>
        </w:rPr>
        <w:t>Despeckle</w:t>
      </w:r>
      <w:r>
        <w:rPr>
          <w:rFonts w:ascii="Arial" w:eastAsiaTheme="minorHAnsi" w:hAnsi="Arial"/>
          <w:bCs/>
          <w:sz w:val="22"/>
          <w:szCs w:val="22"/>
        </w:rPr>
        <w:t xml:space="preserve"> to remove the white specs (&lt;10 voxels) in 3D space of the image, </w:t>
      </w:r>
      <w:r w:rsidRPr="004E5DC8">
        <w:rPr>
          <w:rFonts w:ascii="Arial" w:eastAsiaTheme="minorHAnsi" w:hAnsi="Arial"/>
          <w:bCs/>
          <w:i/>
          <w:sz w:val="22"/>
          <w:szCs w:val="22"/>
        </w:rPr>
        <w:t>ROI – Shrinkwrap</w:t>
      </w:r>
      <w:r>
        <w:rPr>
          <w:rFonts w:ascii="Arial" w:eastAsiaTheme="minorHAnsi" w:hAnsi="Arial"/>
          <w:bCs/>
          <w:sz w:val="22"/>
          <w:szCs w:val="22"/>
        </w:rPr>
        <w:t xml:space="preserve"> to shrink the ROI drawn outer edge of the bone ensuring only the bone is measured and analysed and </w:t>
      </w:r>
      <w:r w:rsidRPr="004E5DC8">
        <w:rPr>
          <w:rFonts w:ascii="Arial" w:eastAsiaTheme="minorHAnsi" w:hAnsi="Arial"/>
          <w:bCs/>
          <w:i/>
          <w:sz w:val="22"/>
          <w:szCs w:val="22"/>
        </w:rPr>
        <w:t>3D Analysis</w:t>
      </w:r>
      <w:r>
        <w:rPr>
          <w:rFonts w:ascii="Arial" w:eastAsiaTheme="minorHAnsi" w:hAnsi="Arial"/>
          <w:bCs/>
          <w:sz w:val="22"/>
          <w:szCs w:val="22"/>
        </w:rPr>
        <w:t xml:space="preserve"> to analyse bone parameters according to the guidelines </w:t>
      </w:r>
      <w:r w:rsidRPr="00FA1E45">
        <w:rPr>
          <w:rFonts w:ascii="Arial" w:eastAsiaTheme="minorHAnsi" w:hAnsi="Arial"/>
          <w:bCs/>
          <w:sz w:val="22"/>
          <w:szCs w:val="22"/>
        </w:rPr>
        <w:t xml:space="preserve">for the assessment of bone microstructure in rodents using </w:t>
      </w:r>
      <w:r w:rsidRPr="00FA1E45">
        <w:rPr>
          <w:rFonts w:ascii="Arial" w:hAnsi="Arial" w:cs="Arial"/>
          <w:color w:val="000000" w:themeColor="text1"/>
          <w:sz w:val="22"/>
          <w:szCs w:val="22"/>
        </w:rPr>
        <w:sym w:font="Symbol" w:char="F06D"/>
      </w:r>
      <w:r w:rsidRPr="00FA1E45">
        <w:rPr>
          <w:rFonts w:ascii="Arial" w:hAnsi="Arial" w:cs="Arial"/>
          <w:color w:val="000000" w:themeColor="text1"/>
          <w:sz w:val="22"/>
          <w:szCs w:val="22"/>
        </w:rPr>
        <w:t xml:space="preserve">CT </w:t>
      </w:r>
      <w:r w:rsidRPr="00FA1E45">
        <w:rPr>
          <w:rFonts w:ascii="Arial" w:hAnsi="Arial" w:cs="Arial"/>
          <w:color w:val="000000" w:themeColor="text1"/>
          <w:sz w:val="22"/>
          <w:szCs w:val="22"/>
        </w:rPr>
        <w:fldChar w:fldCharType="begin"/>
      </w:r>
      <w:r w:rsidR="00A108A1">
        <w:rPr>
          <w:rFonts w:ascii="Arial" w:hAnsi="Arial" w:cs="Arial"/>
          <w:color w:val="000000" w:themeColor="text1"/>
          <w:sz w:val="22"/>
          <w:szCs w:val="22"/>
        </w:rPr>
        <w:instrText xml:space="preserve"> ADDIN EN.CITE &lt;EndNote&gt;&lt;Cite&gt;&lt;Author&gt;Bouxsein&lt;/Author&gt;&lt;Year&gt;2010&lt;/Year&gt;&lt;RecNum&gt;86&lt;/RecNum&gt;&lt;DisplayText&gt;(Bouxsein et al., 2010)&lt;/DisplayText&gt;&lt;record&gt;&lt;rec-number&gt;86&lt;/rec-number&gt;&lt;foreign-keys&gt;&lt;key app="EN" db-id="ae9rewfrpdttrheppfxxv0p4950wpd25r09x" timestamp="1520657811"&gt;86&lt;/key&gt;&lt;key app="ENWeb" db-id=""&gt;0&lt;/key&gt;&lt;/foreign-keys&gt;&lt;ref-type name="Journal Article"&gt;17&lt;/ref-type&gt;&lt;contributors&gt;&lt;authors&gt;&lt;author&gt;Bouxsein, Mary L.&lt;/author&gt;&lt;author&gt;Christiansen, Blaine A.&lt;/author&gt;&lt;author&gt;Boyd, Stephen K.&lt;/author&gt;&lt;author&gt;Guldberg, Robert E.&lt;/author&gt;&lt;author&gt;Jepsen, Karl J.&lt;/author&gt;&lt;author&gt;Müller, Ralph&lt;/author&gt;&lt;/authors&gt;&lt;/contributors&gt;&lt;titles&gt;&lt;title&gt;Guidelines for assessment of bone microstructure in rodents using micro-computed tomography&lt;/title&gt;&lt;secondary-title&gt;Journal of Bone and Mineral Research&lt;/secondary-title&gt;&lt;/titles&gt;&lt;periodical&gt;&lt;full-title&gt;Journal of Bone and Mineral Research&lt;/full-title&gt;&lt;/periodical&gt;&lt;pages&gt;1468-1486&lt;/pages&gt;&lt;volume&gt;25&lt;/volume&gt;&lt;number&gt;7&lt;/number&gt;&lt;keywords&gt;&lt;keyword&gt;Μct&lt;/keyword&gt;&lt;keyword&gt;Guidelines&lt;/keyword&gt;&lt;keyword&gt;Micro-Computed Tomography&lt;/keyword&gt;&lt;keyword&gt;Nomenclature&lt;/keyword&gt;&lt;/keywords&gt;&lt;dates&gt;&lt;year&gt;2010&lt;/year&gt;&lt;/dates&gt;&lt;isbn&gt;08840431&lt;/isbn&gt;&lt;urls&gt;&lt;/urls&gt;&lt;electronic-resource-num&gt;10.1002/jbmr.141&lt;/electronic-resource-num&gt;&lt;/record&gt;&lt;/Cite&gt;&lt;/EndNote&gt;</w:instrText>
      </w:r>
      <w:r w:rsidRPr="00FA1E45">
        <w:rPr>
          <w:rFonts w:ascii="Arial" w:hAnsi="Arial" w:cs="Arial"/>
          <w:color w:val="000000" w:themeColor="text1"/>
          <w:sz w:val="22"/>
          <w:szCs w:val="22"/>
        </w:rPr>
        <w:fldChar w:fldCharType="separate"/>
      </w:r>
      <w:r w:rsidRPr="00FA1E45">
        <w:rPr>
          <w:rFonts w:ascii="Arial" w:hAnsi="Arial" w:cs="Arial"/>
          <w:noProof/>
          <w:color w:val="000000" w:themeColor="text1"/>
          <w:sz w:val="22"/>
          <w:szCs w:val="22"/>
        </w:rPr>
        <w:t>(Bouxsein et al., 2010)</w:t>
      </w:r>
      <w:r w:rsidRPr="00FA1E45">
        <w:rPr>
          <w:rFonts w:ascii="Arial" w:hAnsi="Arial" w:cs="Arial"/>
          <w:color w:val="000000" w:themeColor="text1"/>
          <w:sz w:val="22"/>
          <w:szCs w:val="22"/>
        </w:rPr>
        <w:fldChar w:fldCharType="end"/>
      </w:r>
      <w:r>
        <w:rPr>
          <w:rFonts w:ascii="Arial" w:hAnsi="Arial" w:cs="Arial"/>
          <w:color w:val="000000" w:themeColor="text1"/>
          <w:sz w:val="22"/>
          <w:szCs w:val="22"/>
        </w:rPr>
        <w:t>.</w:t>
      </w:r>
      <w:r w:rsidR="00BA6B25" w:rsidRPr="00BA6B25">
        <w:rPr>
          <w:rFonts w:ascii="Arial" w:hAnsi="Arial" w:cs="Arial"/>
          <w:sz w:val="22"/>
          <w:szCs w:val="22"/>
        </w:rPr>
        <w:t xml:space="preserve"> </w:t>
      </w:r>
      <w:r w:rsidR="00BA6B25">
        <w:rPr>
          <w:rFonts w:ascii="Arial" w:hAnsi="Arial" w:cs="Arial"/>
          <w:sz w:val="22"/>
          <w:szCs w:val="22"/>
        </w:rPr>
        <w:t>Scale bar = 2</w:t>
      </w:r>
      <w:r w:rsidR="00BA6B25" w:rsidRPr="002B0557">
        <w:rPr>
          <w:rFonts w:ascii="Arial" w:hAnsi="Arial" w:cs="Arial"/>
          <w:sz w:val="22"/>
          <w:szCs w:val="22"/>
        </w:rPr>
        <w:t>00</w:t>
      </w:r>
      <w:r w:rsidR="00BA6B25" w:rsidRPr="002B0557">
        <w:rPr>
          <w:rFonts w:ascii="Arial" w:hAnsi="Arial" w:cs="Arial"/>
          <w:color w:val="000000" w:themeColor="text1"/>
        </w:rPr>
        <w:sym w:font="Symbol" w:char="F06D"/>
      </w:r>
      <w:r w:rsidR="00BA6B25" w:rsidRPr="002B0557">
        <w:rPr>
          <w:rFonts w:ascii="Arial" w:hAnsi="Arial" w:cs="Arial"/>
          <w:color w:val="000000" w:themeColor="text1"/>
        </w:rPr>
        <w:t>m</w:t>
      </w:r>
    </w:p>
    <w:p w14:paraId="0DFEBA62" w14:textId="77777777" w:rsidR="0061193F" w:rsidRPr="00FA1E45" w:rsidRDefault="0061193F" w:rsidP="0061193F">
      <w:pPr>
        <w:spacing w:line="360" w:lineRule="auto"/>
        <w:jc w:val="both"/>
        <w:rPr>
          <w:rFonts w:ascii="Arial" w:eastAsiaTheme="minorHAnsi" w:hAnsi="Arial"/>
          <w:bCs/>
          <w:sz w:val="22"/>
          <w:szCs w:val="22"/>
        </w:rPr>
      </w:pPr>
    </w:p>
    <w:p w14:paraId="00410737" w14:textId="77777777" w:rsidR="00397586" w:rsidRDefault="00397586" w:rsidP="0061193F">
      <w:pPr>
        <w:spacing w:line="480" w:lineRule="auto"/>
        <w:jc w:val="both"/>
        <w:rPr>
          <w:rFonts w:ascii="Arial" w:eastAsiaTheme="minorHAnsi" w:hAnsi="Arial"/>
          <w:bCs/>
        </w:rPr>
      </w:pPr>
    </w:p>
    <w:p w14:paraId="59BE72A4" w14:textId="77777777" w:rsidR="0061193F" w:rsidRPr="008D1675" w:rsidRDefault="0061193F" w:rsidP="008D1675">
      <w:pPr>
        <w:spacing w:line="480" w:lineRule="auto"/>
        <w:jc w:val="both"/>
        <w:rPr>
          <w:rFonts w:ascii="Arial" w:hAnsi="Arial" w:cs="Arial"/>
          <w:color w:val="000000" w:themeColor="text1"/>
        </w:rPr>
      </w:pPr>
      <w:r>
        <w:rPr>
          <w:rFonts w:ascii="Arial" w:eastAsiaTheme="minorHAnsi" w:hAnsi="Arial"/>
          <w:bCs/>
        </w:rPr>
        <w:t xml:space="preserve">According to the guidelines for the assessment of bone microstructure in rodents using </w:t>
      </w:r>
      <w:r w:rsidRPr="00F406A8">
        <w:rPr>
          <w:rFonts w:ascii="Arial" w:hAnsi="Arial" w:cs="Arial"/>
          <w:color w:val="000000" w:themeColor="text1"/>
        </w:rPr>
        <w:sym w:font="Symbol" w:char="F06D"/>
      </w:r>
      <w:r w:rsidRPr="00F406A8">
        <w:rPr>
          <w:rFonts w:ascii="Arial" w:hAnsi="Arial" w:cs="Arial"/>
          <w:color w:val="000000" w:themeColor="text1"/>
        </w:rPr>
        <w:t>CT</w:t>
      </w:r>
      <w:r>
        <w:rPr>
          <w:rFonts w:ascii="Arial" w:hAnsi="Arial" w:cs="Arial"/>
          <w:color w:val="000000" w:themeColor="text1"/>
        </w:rPr>
        <w:t xml:space="preserve"> </w:t>
      </w:r>
      <w:r>
        <w:rPr>
          <w:rFonts w:ascii="Arial" w:hAnsi="Arial" w:cs="Arial"/>
          <w:color w:val="000000" w:themeColor="text1"/>
        </w:rPr>
        <w:fldChar w:fldCharType="begin"/>
      </w:r>
      <w:r w:rsidR="00A108A1">
        <w:rPr>
          <w:rFonts w:ascii="Arial" w:hAnsi="Arial" w:cs="Arial"/>
          <w:color w:val="000000" w:themeColor="text1"/>
        </w:rPr>
        <w:instrText xml:space="preserve"> ADDIN EN.CITE &lt;EndNote&gt;&lt;Cite&gt;&lt;Author&gt;Bouxsein&lt;/Author&gt;&lt;Year&gt;2010&lt;/Year&gt;&lt;RecNum&gt;86&lt;/RecNum&gt;&lt;DisplayText&gt;(Bouxsein et al., 2010)&lt;/DisplayText&gt;&lt;record&gt;&lt;rec-number&gt;86&lt;/rec-number&gt;&lt;foreign-keys&gt;&lt;key app="EN" db-id="ae9rewfrpdttrheppfxxv0p4950wpd25r09x" timestamp="1520657811"&gt;86&lt;/key&gt;&lt;key app="ENWeb" db-id=""&gt;0&lt;/key&gt;&lt;/foreign-keys&gt;&lt;ref-type name="Journal Article"&gt;17&lt;/ref-type&gt;&lt;contributors&gt;&lt;authors&gt;&lt;author&gt;Bouxsein, Mary L.&lt;/author&gt;&lt;author&gt;Christiansen, Blaine A.&lt;/author&gt;&lt;author&gt;Boyd, Stephen K.&lt;/author&gt;&lt;author&gt;Guldberg, Robert E.&lt;/author&gt;&lt;author&gt;Jepsen, Karl J.&lt;/author&gt;&lt;author&gt;Müller, Ralph&lt;/author&gt;&lt;/authors&gt;&lt;/contributors&gt;&lt;titles&gt;&lt;title&gt;Guidelines for assessment of bone microstructure in rodents using micro-computed tomography&lt;/title&gt;&lt;secondary-title&gt;Journal of Bone and Mineral Research&lt;/secondary-title&gt;&lt;/titles&gt;&lt;periodical&gt;&lt;full-title&gt;Journal of Bone and Mineral Research&lt;/full-title&gt;&lt;/periodical&gt;&lt;pages&gt;1468-1486&lt;/pages&gt;&lt;volume&gt;25&lt;/volume&gt;&lt;number&gt;7&lt;/number&gt;&lt;keywords&gt;&lt;keyword&gt;Μct&lt;/keyword&gt;&lt;keyword&gt;Guidelines&lt;/keyword&gt;&lt;keyword&gt;Micro-Computed Tomography&lt;/keyword&gt;&lt;keyword&gt;Nomenclature&lt;/keyword&gt;&lt;/keywords&gt;&lt;dates&gt;&lt;year&gt;2010&lt;/year&gt;&lt;/dates&gt;&lt;isbn&gt;08840431&lt;/isbn&gt;&lt;urls&gt;&lt;/urls&gt;&lt;electronic-resource-num&gt;10.1002/jbmr.141&lt;/electronic-resource-num&gt;&lt;/record&gt;&lt;/Cite&gt;&lt;/EndNote&gt;</w:instrText>
      </w:r>
      <w:r>
        <w:rPr>
          <w:rFonts w:ascii="Arial" w:hAnsi="Arial" w:cs="Arial"/>
          <w:color w:val="000000" w:themeColor="text1"/>
        </w:rPr>
        <w:fldChar w:fldCharType="separate"/>
      </w:r>
      <w:r>
        <w:rPr>
          <w:rFonts w:ascii="Arial" w:hAnsi="Arial" w:cs="Arial"/>
          <w:noProof/>
          <w:color w:val="000000" w:themeColor="text1"/>
        </w:rPr>
        <w:t>(Bouxsein et al., 2010)</w:t>
      </w:r>
      <w:r>
        <w:rPr>
          <w:rFonts w:ascii="Arial" w:hAnsi="Arial" w:cs="Arial"/>
          <w:color w:val="000000" w:themeColor="text1"/>
        </w:rPr>
        <w:fldChar w:fldCharType="end"/>
      </w:r>
      <w:r>
        <w:rPr>
          <w:rFonts w:ascii="Arial" w:hAnsi="Arial" w:cs="Arial"/>
          <w:color w:val="000000" w:themeColor="text1"/>
        </w:rPr>
        <w:t xml:space="preserve">, bone mass, architecture and changes due to mechanical loading were evaluated in </w:t>
      </w:r>
      <w:r w:rsidRPr="0072303C">
        <w:rPr>
          <w:rFonts w:ascii="Arial" w:hAnsi="Arial" w:cs="Arial"/>
          <w:color w:val="000000" w:themeColor="text1"/>
        </w:rPr>
        <w:t xml:space="preserve">cortical </w:t>
      </w:r>
      <w:r>
        <w:rPr>
          <w:rFonts w:ascii="Arial" w:hAnsi="Arial" w:cs="Arial"/>
          <w:color w:val="000000" w:themeColor="text1"/>
        </w:rPr>
        <w:t xml:space="preserve">bone region </w:t>
      </w:r>
      <w:r w:rsidRPr="00D8141B">
        <w:rPr>
          <w:rFonts w:ascii="Arial" w:hAnsi="Arial" w:cs="Arial"/>
          <w:color w:val="000000" w:themeColor="text1"/>
        </w:rPr>
        <w:t>total cross-sectional area inside the periosteal envelope (Tt.Ar)</w:t>
      </w:r>
      <w:r>
        <w:rPr>
          <w:rFonts w:ascii="Arial" w:hAnsi="Arial" w:cs="Arial"/>
          <w:color w:val="000000" w:themeColor="text1"/>
        </w:rPr>
        <w:t>, cortical bone</w:t>
      </w:r>
      <w:r w:rsidRPr="00D8141B">
        <w:rPr>
          <w:rFonts w:ascii="Arial" w:hAnsi="Arial" w:cs="Arial"/>
          <w:color w:val="000000" w:themeColor="text1"/>
        </w:rPr>
        <w:t xml:space="preserve"> area (Ct.Ar)</w:t>
      </w:r>
      <w:r>
        <w:rPr>
          <w:rFonts w:ascii="Arial" w:hAnsi="Arial" w:cs="Arial"/>
          <w:color w:val="000000" w:themeColor="text1"/>
        </w:rPr>
        <w:t xml:space="preserve">, </w:t>
      </w:r>
      <w:r w:rsidRPr="00D8141B">
        <w:rPr>
          <w:rFonts w:ascii="Arial" w:hAnsi="Arial" w:cs="Arial"/>
          <w:color w:val="000000" w:themeColor="text1"/>
        </w:rPr>
        <w:t>marrow area (Ma.Ar)</w:t>
      </w:r>
      <w:r>
        <w:rPr>
          <w:rFonts w:ascii="Arial" w:hAnsi="Arial" w:cs="Arial"/>
          <w:color w:val="000000" w:themeColor="text1"/>
        </w:rPr>
        <w:t xml:space="preserve"> and cortical thickness (Ct.Th), </w:t>
      </w:r>
      <w:r w:rsidRPr="00212E7B">
        <w:rPr>
          <w:rFonts w:ascii="Arial" w:hAnsi="Arial" w:cs="Arial"/>
          <w:color w:val="000000" w:themeColor="text1"/>
        </w:rPr>
        <w:t xml:space="preserve">and in trabecular </w:t>
      </w:r>
      <w:r>
        <w:rPr>
          <w:rFonts w:ascii="Arial" w:hAnsi="Arial" w:cs="Arial"/>
          <w:color w:val="000000" w:themeColor="text1"/>
        </w:rPr>
        <w:t xml:space="preserve">bone </w:t>
      </w:r>
      <w:r w:rsidRPr="00212E7B">
        <w:rPr>
          <w:rFonts w:ascii="Arial" w:hAnsi="Arial" w:cs="Arial"/>
          <w:color w:val="000000" w:themeColor="text1"/>
        </w:rPr>
        <w:t>region</w:t>
      </w:r>
      <w:r>
        <w:rPr>
          <w:rFonts w:ascii="Arial" w:hAnsi="Arial" w:cs="Arial"/>
          <w:color w:val="000000" w:themeColor="text1"/>
        </w:rPr>
        <w:t xml:space="preserve"> </w:t>
      </w:r>
      <w:r w:rsidRPr="00D8141B">
        <w:rPr>
          <w:rFonts w:ascii="Arial" w:hAnsi="Arial" w:cs="Arial"/>
          <w:color w:val="000000" w:themeColor="text1"/>
        </w:rPr>
        <w:t>bone volume fraction (BV/TV)</w:t>
      </w:r>
      <w:r>
        <w:rPr>
          <w:rFonts w:ascii="Arial" w:hAnsi="Arial" w:cs="Arial"/>
          <w:color w:val="000000" w:themeColor="text1"/>
        </w:rPr>
        <w:t xml:space="preserve">, </w:t>
      </w:r>
      <w:r w:rsidRPr="00D8141B">
        <w:rPr>
          <w:rFonts w:ascii="Arial" w:hAnsi="Arial" w:cs="Arial"/>
          <w:color w:val="000000" w:themeColor="text1"/>
        </w:rPr>
        <w:t>trabecular thickness (Tb.Th)</w:t>
      </w:r>
      <w:r>
        <w:rPr>
          <w:rFonts w:ascii="Arial" w:hAnsi="Arial" w:cs="Arial"/>
          <w:color w:val="000000" w:themeColor="text1"/>
        </w:rPr>
        <w:t xml:space="preserve">, </w:t>
      </w:r>
      <w:r w:rsidRPr="00D8141B">
        <w:rPr>
          <w:rFonts w:ascii="Arial" w:hAnsi="Arial" w:cs="Arial"/>
          <w:color w:val="000000" w:themeColor="text1"/>
        </w:rPr>
        <w:t xml:space="preserve">trabecular pattern factor (Tb.Pf) </w:t>
      </w:r>
      <w:r>
        <w:rPr>
          <w:rFonts w:ascii="Arial" w:hAnsi="Arial" w:cs="Arial"/>
          <w:color w:val="000000" w:themeColor="text1"/>
        </w:rPr>
        <w:t xml:space="preserve">and </w:t>
      </w:r>
      <w:r w:rsidRPr="00D8141B">
        <w:rPr>
          <w:rFonts w:ascii="Arial" w:hAnsi="Arial" w:cs="Arial"/>
          <w:color w:val="000000" w:themeColor="text1"/>
        </w:rPr>
        <w:t>trabecular number (Tb.N)</w:t>
      </w:r>
      <w:r>
        <w:rPr>
          <w:rFonts w:ascii="Arial" w:hAnsi="Arial" w:cs="Arial"/>
          <w:color w:val="000000" w:themeColor="text1"/>
        </w:rPr>
        <w:t>.</w:t>
      </w:r>
      <w:r w:rsidR="00397586">
        <w:rPr>
          <w:rFonts w:ascii="Arial" w:hAnsi="Arial" w:cs="Arial"/>
          <w:color w:val="000000" w:themeColor="text1"/>
        </w:rPr>
        <w:t xml:space="preserve"> </w:t>
      </w:r>
      <w:r w:rsidRPr="00A863DC">
        <w:rPr>
          <w:rFonts w:ascii="Arial" w:hAnsi="Arial" w:cs="Arial"/>
          <w:color w:val="000000" w:themeColor="text1"/>
        </w:rPr>
        <w:t xml:space="preserve">3D representations of the bones </w:t>
      </w:r>
      <w:r>
        <w:rPr>
          <w:rFonts w:ascii="Arial" w:hAnsi="Arial" w:cs="Arial"/>
          <w:color w:val="000000" w:themeColor="text1"/>
        </w:rPr>
        <w:t xml:space="preserve">were created using the Voxler software (Golden Software Inc., 2006). </w:t>
      </w:r>
    </w:p>
    <w:p w14:paraId="7A40D71E" w14:textId="77777777" w:rsidR="0061193F" w:rsidRPr="00841E36" w:rsidRDefault="0061193F" w:rsidP="00D40E59">
      <w:pPr>
        <w:pStyle w:val="Heading2"/>
      </w:pPr>
      <w:bookmarkStart w:id="54" w:name="_Toc383723867"/>
      <w:r w:rsidRPr="00841E36">
        <w:lastRenderedPageBreak/>
        <w:t>2.2 Bone dynamic histomorphometry</w:t>
      </w:r>
      <w:bookmarkEnd w:id="54"/>
    </w:p>
    <w:p w14:paraId="24898473" w14:textId="77777777" w:rsidR="0061193F" w:rsidRPr="00841E36" w:rsidRDefault="0061193F" w:rsidP="00841E36">
      <w:pPr>
        <w:pStyle w:val="Heading3"/>
        <w:spacing w:line="480" w:lineRule="auto"/>
        <w:jc w:val="both"/>
        <w:rPr>
          <w:rFonts w:ascii="Arial" w:hAnsi="Arial" w:cs="Arial"/>
          <w:color w:val="auto"/>
        </w:rPr>
      </w:pPr>
      <w:bookmarkStart w:id="55" w:name="_Toc383723868"/>
      <w:r w:rsidRPr="00841E36">
        <w:rPr>
          <w:rFonts w:ascii="Arial" w:hAnsi="Arial" w:cs="Arial"/>
          <w:color w:val="auto"/>
        </w:rPr>
        <w:t>2.2.1 Bone fixation and embedding in acrylic resin</w:t>
      </w:r>
      <w:bookmarkEnd w:id="55"/>
    </w:p>
    <w:p w14:paraId="4AAAEEA4" w14:textId="77777777" w:rsidR="0061193F" w:rsidRPr="003610C8" w:rsidRDefault="0061193F" w:rsidP="00841E36">
      <w:pPr>
        <w:spacing w:line="480" w:lineRule="auto"/>
        <w:jc w:val="both"/>
        <w:rPr>
          <w:rFonts w:ascii="Arial" w:hAnsi="Arial" w:cs="Arial"/>
          <w:b/>
        </w:rPr>
      </w:pPr>
      <w:r w:rsidRPr="003610C8">
        <w:rPr>
          <w:rFonts w:ascii="Arial" w:hAnsi="Arial" w:cs="Arial"/>
          <w:b/>
        </w:rPr>
        <w:t>Materials</w:t>
      </w:r>
    </w:p>
    <w:p w14:paraId="1A91F2A1" w14:textId="77777777" w:rsidR="0061193F" w:rsidRDefault="0061193F" w:rsidP="00841E36">
      <w:pPr>
        <w:pStyle w:val="ListParagraph"/>
        <w:numPr>
          <w:ilvl w:val="0"/>
          <w:numId w:val="14"/>
        </w:numPr>
        <w:spacing w:line="480" w:lineRule="auto"/>
        <w:jc w:val="both"/>
        <w:rPr>
          <w:rFonts w:ascii="Arial" w:eastAsiaTheme="minorHAnsi" w:hAnsi="Arial"/>
          <w:bCs/>
        </w:rPr>
      </w:pPr>
      <w:r>
        <w:rPr>
          <w:rFonts w:ascii="Arial" w:hAnsi="Arial" w:cs="Arial"/>
        </w:rPr>
        <w:t xml:space="preserve">EOH </w:t>
      </w:r>
      <w:r w:rsidRPr="00470A5F">
        <w:rPr>
          <w:rFonts w:ascii="Arial" w:eastAsiaTheme="minorHAnsi" w:hAnsi="Arial"/>
          <w:bCs/>
        </w:rPr>
        <w:t>(</w:t>
      </w:r>
      <w:r>
        <w:rPr>
          <w:rFonts w:ascii="Arial" w:eastAsiaTheme="minorHAnsi" w:hAnsi="Arial"/>
          <w:bCs/>
        </w:rPr>
        <w:t>1704384, MW 46.07</w:t>
      </w:r>
      <w:r w:rsidR="00966161">
        <w:rPr>
          <w:rFonts w:ascii="Arial" w:eastAsiaTheme="minorHAnsi" w:hAnsi="Arial"/>
          <w:bCs/>
        </w:rPr>
        <w:t>g/mol</w:t>
      </w:r>
      <w:r w:rsidRPr="00470A5F">
        <w:rPr>
          <w:rFonts w:ascii="Arial" w:eastAsiaTheme="minorHAnsi" w:hAnsi="Arial"/>
          <w:bCs/>
        </w:rPr>
        <w:t>)</w:t>
      </w:r>
      <w:r>
        <w:rPr>
          <w:rFonts w:ascii="Arial" w:eastAsiaTheme="minorHAnsi" w:hAnsi="Arial"/>
          <w:bCs/>
        </w:rPr>
        <w:t xml:space="preserve"> (Fisher S</w:t>
      </w:r>
      <w:r w:rsidR="00A2355F">
        <w:rPr>
          <w:rFonts w:ascii="Arial" w:eastAsiaTheme="minorHAnsi" w:hAnsi="Arial"/>
          <w:bCs/>
        </w:rPr>
        <w:t>cientific</w:t>
      </w:r>
      <w:r>
        <w:rPr>
          <w:rFonts w:ascii="Arial" w:eastAsiaTheme="minorHAnsi" w:hAnsi="Arial"/>
          <w:bCs/>
        </w:rPr>
        <w:t xml:space="preserve">, </w:t>
      </w:r>
      <w:r w:rsidR="00A2355F">
        <w:rPr>
          <w:rFonts w:ascii="Arial" w:eastAsiaTheme="minorHAnsi" w:hAnsi="Arial"/>
          <w:bCs/>
        </w:rPr>
        <w:t>Leicestershire</w:t>
      </w:r>
      <w:r>
        <w:rPr>
          <w:rFonts w:ascii="Arial" w:eastAsiaTheme="minorHAnsi" w:hAnsi="Arial"/>
          <w:bCs/>
        </w:rPr>
        <w:t>, UK)</w:t>
      </w:r>
    </w:p>
    <w:p w14:paraId="6C15D74A" w14:textId="77777777" w:rsidR="0061193F" w:rsidRDefault="0061193F" w:rsidP="00841E36">
      <w:pPr>
        <w:pStyle w:val="ListParagraph"/>
        <w:numPr>
          <w:ilvl w:val="0"/>
          <w:numId w:val="14"/>
        </w:numPr>
        <w:spacing w:line="480" w:lineRule="auto"/>
        <w:jc w:val="both"/>
        <w:rPr>
          <w:rFonts w:ascii="Arial" w:eastAsiaTheme="minorHAnsi" w:hAnsi="Arial"/>
          <w:bCs/>
        </w:rPr>
      </w:pPr>
      <w:r w:rsidRPr="00BC48F7">
        <w:rPr>
          <w:rFonts w:ascii="Arial" w:eastAsiaTheme="minorHAnsi" w:hAnsi="Arial"/>
          <w:bCs/>
        </w:rPr>
        <w:t>IMS</w:t>
      </w:r>
      <w:r>
        <w:rPr>
          <w:rFonts w:ascii="Arial" w:eastAsiaTheme="minorHAnsi" w:hAnsi="Arial"/>
          <w:bCs/>
        </w:rPr>
        <w:t xml:space="preserve"> alcohol H</w:t>
      </w:r>
      <w:r>
        <w:rPr>
          <w:rFonts w:ascii="Arial" w:eastAsiaTheme="minorHAnsi" w:hAnsi="Arial"/>
          <w:bCs/>
          <w:vertAlign w:val="subscript"/>
        </w:rPr>
        <w:t>3</w:t>
      </w:r>
      <w:r>
        <w:rPr>
          <w:rFonts w:ascii="Arial" w:eastAsiaTheme="minorHAnsi" w:hAnsi="Arial"/>
          <w:bCs/>
        </w:rPr>
        <w:t>CCH</w:t>
      </w:r>
      <w:r>
        <w:rPr>
          <w:rFonts w:ascii="Arial" w:eastAsiaTheme="minorHAnsi" w:hAnsi="Arial"/>
          <w:bCs/>
          <w:vertAlign w:val="subscript"/>
        </w:rPr>
        <w:t>2</w:t>
      </w:r>
      <w:r>
        <w:rPr>
          <w:rFonts w:ascii="Arial" w:eastAsiaTheme="minorHAnsi" w:hAnsi="Arial"/>
          <w:bCs/>
        </w:rPr>
        <w:t>OH (64-17-5, MW 46.07g/mol) (VWR, Lutterworth, UK)</w:t>
      </w:r>
    </w:p>
    <w:p w14:paraId="1CF112B1" w14:textId="77777777" w:rsidR="0061193F" w:rsidRDefault="0061193F" w:rsidP="00841E36">
      <w:pPr>
        <w:pStyle w:val="ListParagraph"/>
        <w:numPr>
          <w:ilvl w:val="0"/>
          <w:numId w:val="14"/>
        </w:numPr>
        <w:spacing w:line="480" w:lineRule="auto"/>
        <w:jc w:val="both"/>
        <w:rPr>
          <w:rFonts w:ascii="Arial" w:eastAsiaTheme="minorHAnsi" w:hAnsi="Arial"/>
          <w:bCs/>
        </w:rPr>
      </w:pPr>
      <w:r w:rsidRPr="00BC48F7">
        <w:rPr>
          <w:rFonts w:ascii="Arial" w:eastAsiaTheme="minorHAnsi" w:hAnsi="Arial"/>
          <w:bCs/>
        </w:rPr>
        <w:t>LR White resin</w:t>
      </w:r>
      <w:r>
        <w:rPr>
          <w:rFonts w:ascii="Arial" w:eastAsiaTheme="minorHAnsi" w:hAnsi="Arial"/>
          <w:bCs/>
        </w:rPr>
        <w:t xml:space="preserve"> (L012, Taab Laboratory Equipment Ltd)</w:t>
      </w:r>
    </w:p>
    <w:p w14:paraId="6766DDD9" w14:textId="77777777" w:rsidR="0061193F" w:rsidRPr="00840F96" w:rsidRDefault="0061193F" w:rsidP="00841E36">
      <w:pPr>
        <w:pStyle w:val="ListParagraph"/>
        <w:numPr>
          <w:ilvl w:val="0"/>
          <w:numId w:val="14"/>
        </w:numPr>
        <w:spacing w:line="480" w:lineRule="auto"/>
        <w:jc w:val="both"/>
        <w:rPr>
          <w:rFonts w:ascii="Arial" w:eastAsiaTheme="minorHAnsi" w:hAnsi="Arial"/>
          <w:bCs/>
        </w:rPr>
      </w:pPr>
      <w:r>
        <w:rPr>
          <w:rFonts w:ascii="Arial" w:eastAsiaTheme="minorHAnsi" w:hAnsi="Arial"/>
          <w:bCs/>
        </w:rPr>
        <w:t xml:space="preserve">Disposable plastic mould (E105), </w:t>
      </w:r>
      <w:r w:rsidRPr="00840F96">
        <w:rPr>
          <w:rFonts w:ascii="Arial" w:eastAsiaTheme="minorHAnsi" w:hAnsi="Arial"/>
          <w:bCs/>
        </w:rPr>
        <w:t>Plastic embedding stub (E081</w:t>
      </w:r>
      <w:r>
        <w:rPr>
          <w:rFonts w:ascii="Arial" w:eastAsiaTheme="minorHAnsi" w:hAnsi="Arial"/>
          <w:bCs/>
        </w:rPr>
        <w:t>) (</w:t>
      </w:r>
      <w:r w:rsidRPr="00840F96">
        <w:rPr>
          <w:rFonts w:ascii="Arial" w:eastAsiaTheme="minorHAnsi" w:hAnsi="Arial"/>
          <w:bCs/>
        </w:rPr>
        <w:t>Taab Laboratory Equipment Ltd)</w:t>
      </w:r>
    </w:p>
    <w:p w14:paraId="7059CDF5" w14:textId="77777777" w:rsidR="0061193F" w:rsidRDefault="0061193F" w:rsidP="0061193F">
      <w:pPr>
        <w:spacing w:line="480" w:lineRule="auto"/>
        <w:jc w:val="both"/>
        <w:rPr>
          <w:rFonts w:ascii="Arial" w:eastAsiaTheme="minorHAnsi" w:hAnsi="Arial"/>
          <w:b/>
          <w:bCs/>
        </w:rPr>
      </w:pPr>
      <w:r w:rsidRPr="005741A0">
        <w:rPr>
          <w:rFonts w:ascii="Arial" w:eastAsiaTheme="minorHAnsi" w:hAnsi="Arial"/>
          <w:b/>
          <w:bCs/>
        </w:rPr>
        <w:t>Method</w:t>
      </w:r>
    </w:p>
    <w:p w14:paraId="403F2112" w14:textId="77777777" w:rsidR="008D1675" w:rsidRDefault="0061193F" w:rsidP="008D1675">
      <w:pPr>
        <w:spacing w:line="480" w:lineRule="auto"/>
        <w:jc w:val="both"/>
        <w:rPr>
          <w:rFonts w:ascii="Arial" w:eastAsiaTheme="minorHAnsi" w:hAnsi="Arial"/>
          <w:bCs/>
        </w:rPr>
      </w:pPr>
      <w:r>
        <w:rPr>
          <w:rFonts w:ascii="Arial" w:eastAsiaTheme="minorHAnsi" w:hAnsi="Arial"/>
          <w:bCs/>
        </w:rPr>
        <w:t xml:space="preserve">After </w:t>
      </w:r>
      <w:r w:rsidRPr="00F406A8">
        <w:rPr>
          <w:rFonts w:ascii="Arial" w:hAnsi="Arial" w:cs="Arial"/>
          <w:color w:val="000000" w:themeColor="text1"/>
        </w:rPr>
        <w:sym w:font="Symbol" w:char="F06D"/>
      </w:r>
      <w:r w:rsidRPr="00F406A8">
        <w:rPr>
          <w:rFonts w:ascii="Arial" w:hAnsi="Arial" w:cs="Arial"/>
          <w:color w:val="000000" w:themeColor="text1"/>
        </w:rPr>
        <w:t>CT</w:t>
      </w:r>
      <w:r>
        <w:rPr>
          <w:rFonts w:ascii="Arial" w:eastAsiaTheme="minorHAnsi" w:hAnsi="Arial"/>
          <w:bCs/>
        </w:rPr>
        <w:t xml:space="preserve"> scanning and </w:t>
      </w:r>
      <w:r>
        <w:rPr>
          <w:rFonts w:ascii="Arial" w:hAnsi="Arial" w:cs="Arial"/>
          <w:color w:val="000000" w:themeColor="text1"/>
        </w:rPr>
        <w:t xml:space="preserve">being </w:t>
      </w:r>
      <w:r>
        <w:rPr>
          <w:rFonts w:ascii="Arial" w:eastAsiaTheme="minorHAnsi" w:hAnsi="Arial"/>
          <w:bCs/>
        </w:rPr>
        <w:t>fixed in 70% EOH for a minimum of 48hrs, the mouse bones were infiltrated in increasing concentrations of alcohol (80% IMS alcohol, 80% IMS alcohol, 100% IMS alcohol, 100% IMS alcohol, 100% EOH, 100% EOH and 100% EOH) on a shaker at room temperature for 48hrs at each concentration. Bones were then infiltrated in glass bottles with medium grade LR White resin at 4</w:t>
      </w:r>
      <w:r>
        <w:rPr>
          <w:rFonts w:ascii="Arial" w:eastAsiaTheme="minorHAnsi" w:hAnsi="Arial"/>
          <w:bCs/>
          <w:vertAlign w:val="superscript"/>
        </w:rPr>
        <w:t>0</w:t>
      </w:r>
      <w:r>
        <w:rPr>
          <w:rFonts w:ascii="Arial" w:eastAsiaTheme="minorHAnsi" w:hAnsi="Arial"/>
          <w:bCs/>
        </w:rPr>
        <w:t xml:space="preserve">C for 6 days, resin was changed every 48hrs. The sample bottles were agitated gently and continuously on a shaker for </w:t>
      </w:r>
      <w:proofErr w:type="gramStart"/>
      <w:r>
        <w:rPr>
          <w:rFonts w:ascii="Arial" w:eastAsiaTheme="minorHAnsi" w:hAnsi="Arial"/>
          <w:bCs/>
        </w:rPr>
        <w:t>a duration</w:t>
      </w:r>
      <w:proofErr w:type="gramEnd"/>
      <w:r>
        <w:rPr>
          <w:rFonts w:ascii="Arial" w:eastAsiaTheme="minorHAnsi" w:hAnsi="Arial"/>
          <w:bCs/>
        </w:rPr>
        <w:t xml:space="preserve"> of the infiltration at 4</w:t>
      </w:r>
      <w:r>
        <w:rPr>
          <w:rFonts w:ascii="Arial" w:eastAsiaTheme="minorHAnsi" w:hAnsi="Arial"/>
          <w:bCs/>
          <w:vertAlign w:val="superscript"/>
        </w:rPr>
        <w:t>0</w:t>
      </w:r>
      <w:r>
        <w:rPr>
          <w:rFonts w:ascii="Arial" w:eastAsiaTheme="minorHAnsi" w:hAnsi="Arial"/>
          <w:bCs/>
        </w:rPr>
        <w:t xml:space="preserve">C. Next the bones were placed longitudinally and diagonally in plastic moulds fully filled with fresh resin and covered with </w:t>
      </w:r>
      <w:r w:rsidR="004C2942">
        <w:rPr>
          <w:rFonts w:ascii="Arial" w:eastAsiaTheme="minorHAnsi" w:hAnsi="Arial"/>
          <w:bCs/>
        </w:rPr>
        <w:t>labelled</w:t>
      </w:r>
      <w:r>
        <w:rPr>
          <w:rFonts w:ascii="Arial" w:eastAsiaTheme="minorHAnsi" w:hAnsi="Arial"/>
          <w:bCs/>
        </w:rPr>
        <w:t xml:space="preserve"> plastic embedding stubs at room temperature. Resin was then allowed to polymerise at 55</w:t>
      </w:r>
      <w:r>
        <w:rPr>
          <w:rFonts w:ascii="Arial" w:eastAsiaTheme="minorHAnsi" w:hAnsi="Arial"/>
          <w:bCs/>
          <w:vertAlign w:val="superscript"/>
        </w:rPr>
        <w:t>0</w:t>
      </w:r>
      <w:r>
        <w:rPr>
          <w:rFonts w:ascii="Arial" w:eastAsiaTheme="minorHAnsi" w:hAnsi="Arial"/>
          <w:bCs/>
        </w:rPr>
        <w:t xml:space="preserve">C overnight for up to 24hrs until it is hard. After polymerisation, </w:t>
      </w:r>
      <w:r w:rsidR="008D1675">
        <w:rPr>
          <w:rFonts w:ascii="Arial" w:eastAsiaTheme="minorHAnsi" w:hAnsi="Arial"/>
          <w:bCs/>
        </w:rPr>
        <w:t>blocks</w:t>
      </w:r>
      <w:r>
        <w:rPr>
          <w:rFonts w:ascii="Arial" w:eastAsiaTheme="minorHAnsi" w:hAnsi="Arial"/>
          <w:bCs/>
        </w:rPr>
        <w:t xml:space="preserve"> were removed from the moulds and protected from the light during the storage and subsequent use. The bones were protected from the light at all stages of the processing to preven</w:t>
      </w:r>
      <w:r w:rsidR="00E4625C">
        <w:rPr>
          <w:rFonts w:ascii="Arial" w:eastAsiaTheme="minorHAnsi" w:hAnsi="Arial"/>
          <w:bCs/>
        </w:rPr>
        <w:t>t the loss of fluorescence from the labels</w:t>
      </w:r>
      <w:r>
        <w:rPr>
          <w:rFonts w:ascii="Arial" w:eastAsiaTheme="minorHAnsi" w:hAnsi="Arial"/>
          <w:bCs/>
        </w:rPr>
        <w:t xml:space="preserve">. </w:t>
      </w:r>
    </w:p>
    <w:p w14:paraId="50E48D20" w14:textId="77777777" w:rsidR="004C2942" w:rsidRDefault="004C2942" w:rsidP="004C2942">
      <w:pPr>
        <w:pStyle w:val="Heading3"/>
        <w:spacing w:line="480" w:lineRule="auto"/>
        <w:jc w:val="both"/>
        <w:rPr>
          <w:rFonts w:ascii="Arial" w:hAnsi="Arial" w:cs="Arial"/>
          <w:color w:val="auto"/>
        </w:rPr>
      </w:pPr>
    </w:p>
    <w:p w14:paraId="6B06D971" w14:textId="77777777" w:rsidR="004C2942" w:rsidRDefault="004C2942" w:rsidP="004C2942">
      <w:pPr>
        <w:spacing w:line="480" w:lineRule="auto"/>
        <w:jc w:val="both"/>
        <w:rPr>
          <w:rFonts w:ascii="Arial" w:hAnsi="Arial"/>
          <w:b/>
        </w:rPr>
      </w:pPr>
    </w:p>
    <w:p w14:paraId="00D0B592" w14:textId="77777777" w:rsidR="004C2942" w:rsidRPr="004C2942" w:rsidRDefault="004C2942" w:rsidP="004C2942">
      <w:pPr>
        <w:pStyle w:val="Heading3"/>
        <w:spacing w:line="480" w:lineRule="auto"/>
        <w:jc w:val="both"/>
        <w:rPr>
          <w:rFonts w:ascii="Arial" w:eastAsiaTheme="minorHAnsi" w:hAnsi="Arial" w:cs="Arial"/>
          <w:color w:val="auto"/>
        </w:rPr>
      </w:pPr>
      <w:bookmarkStart w:id="56" w:name="_Toc383723869"/>
      <w:r w:rsidRPr="004C2942">
        <w:rPr>
          <w:rFonts w:ascii="Arial" w:hAnsi="Arial" w:cs="Arial"/>
          <w:color w:val="auto"/>
        </w:rPr>
        <w:lastRenderedPageBreak/>
        <w:t>2.2.2 Sectioning and visualisation</w:t>
      </w:r>
      <w:bookmarkEnd w:id="56"/>
    </w:p>
    <w:p w14:paraId="61D25CB5" w14:textId="77777777" w:rsidR="0061193F" w:rsidRDefault="0061193F" w:rsidP="004C2942">
      <w:pPr>
        <w:spacing w:line="480" w:lineRule="auto"/>
        <w:jc w:val="both"/>
        <w:rPr>
          <w:rFonts w:ascii="Arial" w:hAnsi="Arial"/>
          <w:b/>
        </w:rPr>
      </w:pPr>
      <w:r>
        <w:rPr>
          <w:rFonts w:ascii="Arial" w:hAnsi="Arial"/>
          <w:b/>
        </w:rPr>
        <w:t>Materials</w:t>
      </w:r>
    </w:p>
    <w:p w14:paraId="5E3B6E36" w14:textId="77777777" w:rsidR="0061193F" w:rsidRDefault="0061193F" w:rsidP="0061193F">
      <w:pPr>
        <w:pStyle w:val="ListParagraph"/>
        <w:numPr>
          <w:ilvl w:val="0"/>
          <w:numId w:val="22"/>
        </w:numPr>
        <w:spacing w:line="480" w:lineRule="auto"/>
        <w:jc w:val="both"/>
        <w:rPr>
          <w:rFonts w:ascii="Arial" w:hAnsi="Arial"/>
        </w:rPr>
      </w:pPr>
      <w:r w:rsidRPr="00402668">
        <w:rPr>
          <w:rFonts w:ascii="Arial" w:hAnsi="Arial"/>
        </w:rPr>
        <w:t>Superfrost</w:t>
      </w:r>
      <w:r>
        <w:rPr>
          <w:rFonts w:ascii="Arial" w:hAnsi="Arial"/>
          <w:vertAlign w:val="superscript"/>
        </w:rPr>
        <w:t>TM</w:t>
      </w:r>
      <w:r>
        <w:rPr>
          <w:rFonts w:ascii="Arial" w:hAnsi="Arial"/>
        </w:rPr>
        <w:t xml:space="preserve"> Plus glass slides (J1800AMNZ, Thermo Fisher Scientific Inc., Paisley, UK)</w:t>
      </w:r>
    </w:p>
    <w:p w14:paraId="28FFE67C" w14:textId="77777777" w:rsidR="0061193F" w:rsidRDefault="0061193F" w:rsidP="0061193F">
      <w:pPr>
        <w:pStyle w:val="ListParagraph"/>
        <w:numPr>
          <w:ilvl w:val="0"/>
          <w:numId w:val="22"/>
        </w:numPr>
        <w:spacing w:line="480" w:lineRule="auto"/>
        <w:jc w:val="both"/>
        <w:rPr>
          <w:rFonts w:ascii="Arial" w:hAnsi="Arial"/>
        </w:rPr>
      </w:pPr>
      <w:r>
        <w:rPr>
          <w:rFonts w:ascii="Arial" w:hAnsi="Arial"/>
        </w:rPr>
        <w:t>Saran wrap cling film (The Dow Chemical Company, Belfast, UK)</w:t>
      </w:r>
    </w:p>
    <w:p w14:paraId="7C39E6DB" w14:textId="77777777" w:rsidR="0061193F" w:rsidRPr="00402668" w:rsidRDefault="0061193F" w:rsidP="0061193F">
      <w:pPr>
        <w:pStyle w:val="ListParagraph"/>
        <w:numPr>
          <w:ilvl w:val="0"/>
          <w:numId w:val="22"/>
        </w:numPr>
        <w:spacing w:line="480" w:lineRule="auto"/>
        <w:jc w:val="both"/>
        <w:rPr>
          <w:rFonts w:ascii="Arial" w:hAnsi="Arial"/>
        </w:rPr>
      </w:pPr>
      <w:r>
        <w:rPr>
          <w:rFonts w:ascii="Arial" w:hAnsi="Arial"/>
        </w:rPr>
        <w:t xml:space="preserve">DPX mountant for histology (HX68428779, </w:t>
      </w:r>
      <w:r>
        <w:rPr>
          <w:rFonts w:ascii="Arial" w:eastAsiaTheme="minorHAnsi" w:hAnsi="Arial"/>
          <w:bCs/>
        </w:rPr>
        <w:t>MercK KGaA, Darmstadt, Germany)</w:t>
      </w:r>
    </w:p>
    <w:p w14:paraId="545A4828" w14:textId="77777777" w:rsidR="0061193F" w:rsidRDefault="0061193F" w:rsidP="0061193F">
      <w:pPr>
        <w:spacing w:line="480" w:lineRule="auto"/>
        <w:jc w:val="both"/>
        <w:rPr>
          <w:rFonts w:ascii="Arial" w:hAnsi="Arial"/>
          <w:b/>
        </w:rPr>
      </w:pPr>
      <w:r w:rsidRPr="000B19EF">
        <w:rPr>
          <w:rFonts w:ascii="Arial" w:hAnsi="Arial"/>
          <w:b/>
        </w:rPr>
        <w:t xml:space="preserve">Equipment </w:t>
      </w:r>
    </w:p>
    <w:p w14:paraId="268F1640" w14:textId="77777777" w:rsidR="0061193F" w:rsidRPr="0041713A" w:rsidRDefault="0061193F" w:rsidP="0061193F">
      <w:pPr>
        <w:pStyle w:val="ListParagraph"/>
        <w:numPr>
          <w:ilvl w:val="0"/>
          <w:numId w:val="21"/>
        </w:numPr>
        <w:spacing w:line="480" w:lineRule="auto"/>
        <w:jc w:val="both"/>
        <w:rPr>
          <w:rFonts w:ascii="Arial" w:hAnsi="Arial"/>
          <w:b/>
        </w:rPr>
      </w:pPr>
      <w:r>
        <w:rPr>
          <w:rFonts w:ascii="Arial" w:hAnsi="Arial"/>
        </w:rPr>
        <w:t>Rotary microtome (Leica RM2265, Leica Biosystems, Nussloch, GmbH)</w:t>
      </w:r>
    </w:p>
    <w:p w14:paraId="5A55686B" w14:textId="77777777" w:rsidR="0061193F" w:rsidRDefault="0061193F" w:rsidP="0061193F">
      <w:pPr>
        <w:pStyle w:val="ListParagraph"/>
        <w:numPr>
          <w:ilvl w:val="0"/>
          <w:numId w:val="21"/>
        </w:numPr>
        <w:spacing w:line="480" w:lineRule="auto"/>
        <w:jc w:val="both"/>
        <w:rPr>
          <w:rFonts w:ascii="Arial" w:hAnsi="Arial"/>
        </w:rPr>
      </w:pPr>
      <w:r w:rsidRPr="00B640A9">
        <w:rPr>
          <w:rFonts w:ascii="Arial" w:hAnsi="Arial"/>
        </w:rPr>
        <w:t xml:space="preserve">Leica </w:t>
      </w:r>
      <w:r>
        <w:rPr>
          <w:rFonts w:ascii="Arial" w:hAnsi="Arial"/>
        </w:rPr>
        <w:t xml:space="preserve">CTR7000 HS </w:t>
      </w:r>
      <w:r w:rsidRPr="00B640A9">
        <w:rPr>
          <w:rFonts w:ascii="Arial" w:hAnsi="Arial"/>
        </w:rPr>
        <w:t>microscope</w:t>
      </w:r>
      <w:r>
        <w:rPr>
          <w:rFonts w:ascii="Arial" w:hAnsi="Arial"/>
        </w:rPr>
        <w:t xml:space="preserve"> with fluorescent lump (Leica Microsystems, GmbH)</w:t>
      </w:r>
    </w:p>
    <w:p w14:paraId="1993C28A" w14:textId="77777777" w:rsidR="0061193F" w:rsidRPr="00FA1E45" w:rsidRDefault="0061193F" w:rsidP="0061193F">
      <w:pPr>
        <w:pStyle w:val="ListParagraph"/>
        <w:numPr>
          <w:ilvl w:val="0"/>
          <w:numId w:val="21"/>
        </w:numPr>
        <w:spacing w:line="480" w:lineRule="auto"/>
        <w:jc w:val="both"/>
        <w:rPr>
          <w:rFonts w:ascii="Arial" w:hAnsi="Arial"/>
        </w:rPr>
      </w:pPr>
      <w:r>
        <w:rPr>
          <w:rFonts w:ascii="Arial" w:hAnsi="Arial"/>
        </w:rPr>
        <w:t>Digital colour camera (Olympus DP73, MA, USA)</w:t>
      </w:r>
    </w:p>
    <w:p w14:paraId="549AF0AA" w14:textId="77777777" w:rsidR="0061193F" w:rsidRDefault="0061193F" w:rsidP="0061193F">
      <w:pPr>
        <w:spacing w:line="480" w:lineRule="auto"/>
        <w:jc w:val="both"/>
        <w:rPr>
          <w:rFonts w:ascii="Arial" w:eastAsiaTheme="minorHAnsi" w:hAnsi="Arial"/>
          <w:b/>
          <w:bCs/>
        </w:rPr>
      </w:pPr>
      <w:r w:rsidRPr="005741A0">
        <w:rPr>
          <w:rFonts w:ascii="Arial" w:eastAsiaTheme="minorHAnsi" w:hAnsi="Arial"/>
          <w:b/>
          <w:bCs/>
        </w:rPr>
        <w:t>Method</w:t>
      </w:r>
    </w:p>
    <w:p w14:paraId="570F7D01" w14:textId="77777777" w:rsidR="0061193F" w:rsidRDefault="004C2942" w:rsidP="0061193F">
      <w:pPr>
        <w:spacing w:line="480" w:lineRule="auto"/>
        <w:jc w:val="both"/>
        <w:rPr>
          <w:rFonts w:ascii="Arial" w:hAnsi="Arial"/>
        </w:rPr>
      </w:pPr>
      <w:r>
        <w:rPr>
          <w:rFonts w:ascii="Arial" w:eastAsiaTheme="minorHAnsi" w:hAnsi="Arial"/>
          <w:bCs/>
        </w:rPr>
        <w:t>The</w:t>
      </w:r>
      <w:r w:rsidR="0061193F">
        <w:rPr>
          <w:rFonts w:ascii="Arial" w:eastAsiaTheme="minorHAnsi" w:hAnsi="Arial"/>
          <w:bCs/>
        </w:rPr>
        <w:t xml:space="preserve"> bones </w:t>
      </w:r>
      <w:r>
        <w:rPr>
          <w:rFonts w:ascii="Arial" w:eastAsiaTheme="minorHAnsi" w:hAnsi="Arial"/>
          <w:bCs/>
        </w:rPr>
        <w:t>were</w:t>
      </w:r>
      <w:r w:rsidR="0061193F">
        <w:rPr>
          <w:rFonts w:ascii="Arial" w:eastAsiaTheme="minorHAnsi" w:hAnsi="Arial"/>
          <w:bCs/>
        </w:rPr>
        <w:t xml:space="preserve"> reoriented vertically, </w:t>
      </w:r>
      <w:r>
        <w:rPr>
          <w:rFonts w:ascii="Arial" w:eastAsiaTheme="minorHAnsi" w:hAnsi="Arial"/>
          <w:bCs/>
        </w:rPr>
        <w:t xml:space="preserve">then </w:t>
      </w:r>
      <w:r w:rsidR="0061193F" w:rsidRPr="000C6538">
        <w:rPr>
          <w:rFonts w:ascii="Arial" w:eastAsiaTheme="minorHAnsi" w:hAnsi="Arial"/>
          <w:bCs/>
        </w:rPr>
        <w:t>8</w:t>
      </w:r>
      <w:r w:rsidR="0061193F" w:rsidRPr="000C6538">
        <w:rPr>
          <w:rFonts w:ascii="Arial" w:hAnsi="Arial"/>
        </w:rPr>
        <w:sym w:font="Symbol" w:char="F06D"/>
      </w:r>
      <w:r w:rsidR="0061193F" w:rsidRPr="000C6538">
        <w:rPr>
          <w:rFonts w:ascii="Arial" w:hAnsi="Arial"/>
        </w:rPr>
        <w:t xml:space="preserve">m </w:t>
      </w:r>
      <w:r w:rsidR="0061193F">
        <w:rPr>
          <w:rFonts w:ascii="Arial" w:hAnsi="Arial"/>
        </w:rPr>
        <w:t>thick transverse sections were obtained from the cortical ROI corresponding to the mid</w:t>
      </w:r>
      <w:r>
        <w:rPr>
          <w:rFonts w:ascii="Arial" w:hAnsi="Arial"/>
        </w:rPr>
        <w:t>-</w:t>
      </w:r>
      <w:r w:rsidR="0061193F">
        <w:rPr>
          <w:rFonts w:ascii="Arial" w:hAnsi="Arial"/>
        </w:rPr>
        <w:t xml:space="preserve">shaft of the tibiae and as determined </w:t>
      </w:r>
      <w:r w:rsidR="0061193F" w:rsidRPr="007A7582">
        <w:rPr>
          <w:rFonts w:ascii="Arial" w:hAnsi="Arial"/>
        </w:rPr>
        <w:t xml:space="preserve">by </w:t>
      </w:r>
      <w:r w:rsidR="0061193F" w:rsidRPr="007A7582">
        <w:rPr>
          <w:rFonts w:ascii="Arial" w:hAnsi="Arial"/>
        </w:rPr>
        <w:sym w:font="Symbol" w:char="F06D"/>
      </w:r>
      <w:r w:rsidR="0061193F" w:rsidRPr="007A7582">
        <w:rPr>
          <w:rFonts w:ascii="Arial" w:hAnsi="Arial"/>
        </w:rPr>
        <w:t>CT</w:t>
      </w:r>
      <w:r w:rsidR="0061193F">
        <w:rPr>
          <w:rFonts w:ascii="Arial" w:hAnsi="Arial"/>
        </w:rPr>
        <w:t>,</w:t>
      </w:r>
      <w:r w:rsidR="0061193F">
        <w:t xml:space="preserve"> </w:t>
      </w:r>
      <w:r w:rsidR="0061193F">
        <w:rPr>
          <w:rFonts w:ascii="Arial" w:hAnsi="Arial"/>
        </w:rPr>
        <w:t xml:space="preserve">using the tungsten carbide – tipped 16cm microtome knife on the rotary microtome. Skelet.AL analysis laboratories at the Department of Oncology and Metabolism of The University of Sheffield performed sectioning of the bone samples. Sections were unrolled and floated onto a drop of the </w:t>
      </w:r>
      <w:r w:rsidR="0061193F" w:rsidRPr="00DC0783">
        <w:rPr>
          <w:rFonts w:ascii="Arial" w:hAnsi="Arial"/>
        </w:rPr>
        <w:t>dH</w:t>
      </w:r>
      <w:r w:rsidR="0061193F">
        <w:rPr>
          <w:rFonts w:ascii="Arial" w:hAnsi="Arial"/>
          <w:vertAlign w:val="subscript"/>
        </w:rPr>
        <w:t>2</w:t>
      </w:r>
      <w:r w:rsidR="0061193F">
        <w:rPr>
          <w:rFonts w:ascii="Arial" w:hAnsi="Arial"/>
        </w:rPr>
        <w:t xml:space="preserve">O on a labelled Superfrost Plus </w:t>
      </w:r>
      <w:r w:rsidR="0061193F" w:rsidRPr="00DC0783">
        <w:rPr>
          <w:rFonts w:ascii="Arial" w:hAnsi="Arial"/>
        </w:rPr>
        <w:t>glass</w:t>
      </w:r>
      <w:r w:rsidR="0061193F">
        <w:rPr>
          <w:rFonts w:ascii="Arial" w:hAnsi="Arial"/>
        </w:rPr>
        <w:t xml:space="preserve"> slides using fine paintbrush and forceps. The slides were covered with Saran wrap and wrapped with blotting paper making sure the Saran wrap-covered sections were flat without creases or residual water. The slides then were dried at 50</w:t>
      </w:r>
      <w:r w:rsidR="0061193F">
        <w:rPr>
          <w:rFonts w:ascii="Arial" w:hAnsi="Arial"/>
          <w:vertAlign w:val="superscript"/>
        </w:rPr>
        <w:t>0</w:t>
      </w:r>
      <w:r w:rsidR="0061193F">
        <w:rPr>
          <w:rFonts w:ascii="Arial" w:hAnsi="Arial"/>
        </w:rPr>
        <w:t>C overnight stacked in the slide clump to aid adherence of bones sections. After peeling off the Saran wraps slides were mounted in the xylene for 2-3min and then covered with glass coverslip using DPX mountant. Images of calcien labelled transverse bone sections were visualised using Leica fluorescent microscope at 4x and 10x magnifications. All slides were stored protected from the light until time for histomorphometry analysis.</w:t>
      </w:r>
    </w:p>
    <w:p w14:paraId="083B61A3" w14:textId="77777777" w:rsidR="0061193F" w:rsidRPr="00644869" w:rsidRDefault="0061193F" w:rsidP="0061193F">
      <w:pPr>
        <w:spacing w:line="480" w:lineRule="auto"/>
        <w:jc w:val="both"/>
        <w:rPr>
          <w:rFonts w:ascii="Arial" w:hAnsi="Arial"/>
        </w:rPr>
      </w:pPr>
    </w:p>
    <w:p w14:paraId="691D6E9F" w14:textId="77777777" w:rsidR="0061193F" w:rsidRPr="004B3611" w:rsidRDefault="0061193F" w:rsidP="004B3611">
      <w:pPr>
        <w:pStyle w:val="Heading3"/>
        <w:spacing w:line="480" w:lineRule="auto"/>
        <w:jc w:val="both"/>
        <w:rPr>
          <w:rFonts w:ascii="Arial" w:hAnsi="Arial" w:cs="Arial"/>
          <w:color w:val="auto"/>
        </w:rPr>
      </w:pPr>
      <w:bookmarkStart w:id="57" w:name="_Toc383723870"/>
      <w:r w:rsidRPr="004B3611">
        <w:rPr>
          <w:rFonts w:ascii="Arial" w:hAnsi="Arial" w:cs="Arial"/>
          <w:color w:val="auto"/>
        </w:rPr>
        <w:lastRenderedPageBreak/>
        <w:t>2.2.3 Measurements of bone formation parameters</w:t>
      </w:r>
      <w:bookmarkEnd w:id="57"/>
    </w:p>
    <w:p w14:paraId="2929C3BF" w14:textId="77777777" w:rsidR="0061193F" w:rsidRDefault="0061193F" w:rsidP="004B3611">
      <w:pPr>
        <w:spacing w:line="480" w:lineRule="auto"/>
        <w:jc w:val="both"/>
        <w:rPr>
          <w:rFonts w:ascii="Arial" w:hAnsi="Arial"/>
          <w:b/>
        </w:rPr>
      </w:pPr>
      <w:r w:rsidRPr="001069E7">
        <w:rPr>
          <w:rFonts w:ascii="Arial" w:hAnsi="Arial"/>
          <w:b/>
        </w:rPr>
        <w:t>Method</w:t>
      </w:r>
    </w:p>
    <w:p w14:paraId="42474523" w14:textId="77777777" w:rsidR="00493E28" w:rsidRDefault="0061193F" w:rsidP="0061193F">
      <w:pPr>
        <w:spacing w:line="480" w:lineRule="auto"/>
        <w:jc w:val="both"/>
        <w:rPr>
          <w:rFonts w:ascii="Arial" w:hAnsi="Arial"/>
        </w:rPr>
      </w:pPr>
      <w:r>
        <w:rPr>
          <w:rFonts w:ascii="Arial" w:hAnsi="Arial"/>
        </w:rPr>
        <w:t>The histological assessment of bone phenotyp</w:t>
      </w:r>
      <w:r w:rsidR="00971E04">
        <w:rPr>
          <w:rFonts w:ascii="Arial" w:hAnsi="Arial"/>
        </w:rPr>
        <w:t>es was carried out by dynamic hi</w:t>
      </w:r>
      <w:r>
        <w:rPr>
          <w:rFonts w:ascii="Arial" w:hAnsi="Arial"/>
        </w:rPr>
        <w:t xml:space="preserve">stomorphometry measuring its derived kinetic indices </w:t>
      </w:r>
      <w:r w:rsidR="003C7F31">
        <w:rPr>
          <w:rFonts w:ascii="Arial" w:hAnsi="Arial"/>
        </w:rPr>
        <w:fldChar w:fldCharType="begin">
          <w:fldData xml:space="preserve">PEVuZE5vdGU+PENpdGU+PEF1dGhvcj5QYXJmaXR0PC9BdXRob3I+PFllYXI+MTk4NzwvWWVhcj48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==
</w:fldData>
        </w:fldChar>
      </w:r>
      <w:r w:rsidR="0000415D">
        <w:rPr>
          <w:rFonts w:ascii="Arial" w:hAnsi="Arial"/>
        </w:rPr>
        <w:instrText xml:space="preserve"> ADDIN EN.CITE </w:instrText>
      </w:r>
      <w:r w:rsidR="0000415D">
        <w:rPr>
          <w:rFonts w:ascii="Arial" w:hAnsi="Arial"/>
        </w:rPr>
        <w:fldChar w:fldCharType="begin">
          <w:fldData xml:space="preserve">PEVuZE5vdGU+PENpdGU+PEF1dGhvcj5QYXJmaXR0PC9BdXRob3I+PFllYXI+MTk4NzwvWWVhcj48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==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003C7F31">
        <w:rPr>
          <w:rFonts w:ascii="Arial" w:hAnsi="Arial"/>
        </w:rPr>
      </w:r>
      <w:r w:rsidR="003C7F31">
        <w:rPr>
          <w:rFonts w:ascii="Arial" w:hAnsi="Arial"/>
        </w:rPr>
        <w:fldChar w:fldCharType="separate"/>
      </w:r>
      <w:r w:rsidR="00B76C41">
        <w:rPr>
          <w:rFonts w:ascii="Arial" w:hAnsi="Arial"/>
          <w:noProof/>
        </w:rPr>
        <w:t>(Parfitt et al., 1987, Parfitt, 1988, Erben and Glosmann, 2012, Dempster et al., 2013)</w:t>
      </w:r>
      <w:r w:rsidR="003C7F31">
        <w:rPr>
          <w:rFonts w:ascii="Arial" w:hAnsi="Arial"/>
        </w:rPr>
        <w:fldChar w:fldCharType="end"/>
      </w:r>
      <w:r w:rsidR="00B76C41">
        <w:rPr>
          <w:rFonts w:ascii="Arial" w:hAnsi="Arial"/>
        </w:rPr>
        <w:t>.</w:t>
      </w:r>
      <w:r>
        <w:rPr>
          <w:rFonts w:ascii="Arial" w:hAnsi="Arial"/>
        </w:rPr>
        <w:t xml:space="preserve"> </w:t>
      </w:r>
      <w:r w:rsidR="00CA46F5">
        <w:rPr>
          <w:rFonts w:ascii="Arial" w:hAnsi="Arial"/>
        </w:rPr>
        <w:t>A</w:t>
      </w:r>
      <w:r>
        <w:rPr>
          <w:rFonts w:ascii="Arial" w:hAnsi="Arial"/>
        </w:rPr>
        <w:t xml:space="preserve"> </w:t>
      </w:r>
      <w:r w:rsidRPr="00B9208B">
        <w:rPr>
          <w:rFonts w:ascii="Arial" w:hAnsi="Arial"/>
        </w:rPr>
        <w:t xml:space="preserve">Leica microscope was set </w:t>
      </w:r>
      <w:r>
        <w:rPr>
          <w:rFonts w:ascii="Arial" w:hAnsi="Arial"/>
        </w:rPr>
        <w:t>up for fluorescence before placi</w:t>
      </w:r>
      <w:r w:rsidR="00DE311C">
        <w:rPr>
          <w:rFonts w:ascii="Arial" w:hAnsi="Arial"/>
        </w:rPr>
        <w:t>ng the slides with calcein labe</w:t>
      </w:r>
      <w:r>
        <w:rPr>
          <w:rFonts w:ascii="Arial" w:hAnsi="Arial"/>
        </w:rPr>
        <w:t>led sections under the microscope. T</w:t>
      </w:r>
      <w:r w:rsidR="00156EF8">
        <w:rPr>
          <w:rFonts w:ascii="Arial" w:hAnsi="Arial"/>
        </w:rPr>
        <w:t>o reach its full output, t</w:t>
      </w:r>
      <w:r>
        <w:rPr>
          <w:rFonts w:ascii="Arial" w:hAnsi="Arial"/>
        </w:rPr>
        <w:t>he fluorescent</w:t>
      </w:r>
      <w:r w:rsidR="00493E28">
        <w:rPr>
          <w:rFonts w:ascii="Arial" w:hAnsi="Arial"/>
        </w:rPr>
        <w:t xml:space="preserve"> </w:t>
      </w:r>
      <w:r>
        <w:rPr>
          <w:rFonts w:ascii="Arial" w:hAnsi="Arial"/>
        </w:rPr>
        <w:t xml:space="preserve">lump was allowed to warm up for 5min before measurements were made. </w:t>
      </w:r>
    </w:p>
    <w:p w14:paraId="433425E2" w14:textId="77777777" w:rsidR="00493E28" w:rsidRDefault="00493E28" w:rsidP="0061193F">
      <w:pPr>
        <w:spacing w:line="480" w:lineRule="auto"/>
        <w:jc w:val="both"/>
        <w:rPr>
          <w:rFonts w:ascii="Arial" w:hAnsi="Arial"/>
        </w:rPr>
      </w:pPr>
    </w:p>
    <w:p w14:paraId="429E2498" w14:textId="77777777" w:rsidR="0061193F" w:rsidRDefault="0061193F" w:rsidP="0061193F">
      <w:pPr>
        <w:spacing w:line="480" w:lineRule="auto"/>
        <w:jc w:val="both"/>
        <w:rPr>
          <w:rFonts w:ascii="Arial" w:hAnsi="Arial"/>
        </w:rPr>
      </w:pPr>
      <w:r>
        <w:rPr>
          <w:rFonts w:ascii="Arial" w:hAnsi="Arial"/>
        </w:rPr>
        <w:t>Bone formation parameters including mineralizing surface (MS), mineral apposition rate (MAR) and bone formation rate (BFR) were measured using the OsteoMeasure soft</w:t>
      </w:r>
      <w:r w:rsidR="00161FEA">
        <w:rPr>
          <w:rFonts w:ascii="Arial" w:hAnsi="Arial"/>
        </w:rPr>
        <w:t>ware (version 3.3.0.2) (Figure 16</w:t>
      </w:r>
      <w:r>
        <w:rPr>
          <w:rFonts w:ascii="Arial" w:hAnsi="Arial"/>
        </w:rPr>
        <w:t>).</w:t>
      </w:r>
    </w:p>
    <w:p w14:paraId="47EEBEB9" w14:textId="77777777" w:rsidR="00493E28" w:rsidRPr="00B9208B" w:rsidRDefault="00493E28" w:rsidP="0061193F">
      <w:pPr>
        <w:spacing w:line="480" w:lineRule="auto"/>
        <w:jc w:val="both"/>
        <w:rPr>
          <w:rFonts w:ascii="Arial" w:hAnsi="Arial"/>
        </w:rPr>
      </w:pPr>
    </w:p>
    <w:p w14:paraId="2D17A171" w14:textId="77777777" w:rsidR="0061193F" w:rsidRDefault="0061193F" w:rsidP="0061193F">
      <w:pPr>
        <w:spacing w:line="480" w:lineRule="auto"/>
        <w:jc w:val="both"/>
        <w:rPr>
          <w:rFonts w:ascii="Arial" w:hAnsi="Arial"/>
        </w:rPr>
      </w:pPr>
      <w:r>
        <w:rPr>
          <w:rFonts w:ascii="Arial" w:hAnsi="Arial"/>
        </w:rPr>
        <w:t xml:space="preserve">MS is defined as the extent of the bone surface active in mineralization at a particular time is given by the total extent of the </w:t>
      </w:r>
      <w:r w:rsidR="00DE311C">
        <w:rPr>
          <w:rFonts w:ascii="Arial" w:hAnsi="Arial"/>
        </w:rPr>
        <w:t>labe</w:t>
      </w:r>
      <w:r w:rsidR="005746C7">
        <w:rPr>
          <w:rFonts w:ascii="Arial" w:hAnsi="Arial"/>
        </w:rPr>
        <w:t>led</w:t>
      </w:r>
      <w:r>
        <w:rPr>
          <w:rFonts w:ascii="Arial" w:hAnsi="Arial"/>
        </w:rPr>
        <w:t xml:space="preserve"> surface </w:t>
      </w:r>
      <w:r w:rsidR="005746C7">
        <w:rPr>
          <w:rFonts w:ascii="Arial" w:hAnsi="Arial"/>
        </w:rPr>
        <w:fldChar w:fldCharType="begin"/>
      </w:r>
      <w:r w:rsidR="00651EFF">
        <w:rPr>
          <w:rFonts w:ascii="Arial" w:hAnsi="Arial"/>
        </w:rPr>
        <w:instrText xml:space="preserve"> ADDIN EN.CITE &lt;EndNote&gt;&lt;Cite&gt;&lt;Author&gt;Dempster&lt;/Author&gt;&lt;Year&gt;2013&lt;/Year&gt;&lt;RecNum&gt;410&lt;/RecNum&gt;&lt;DisplayText&gt;(Dempster et al., 2013)&lt;/DisplayText&gt;&lt;record&gt;&lt;rec-number&gt;410&lt;/rec-number&gt;&lt;foreign-keys&gt;&lt;key app="EN" db-id="ae9rewfrpdttrheppfxxv0p4950wpd25r09x" timestamp="1520658304"&gt;410&lt;/key&gt;&lt;/foreign-keys&gt;&lt;ref-type name="Journal Article"&gt;17&lt;/ref-type&gt;&lt;contributors&gt;&lt;authors&gt;&lt;author&gt;Dempster, David W.&lt;/author&gt;&lt;author&gt;Compston, Juliet E.&lt;/author&gt;&lt;author&gt;Drezner, Marc K.&lt;/author&gt;&lt;author&gt;Glorieux, Francis H.&lt;/author&gt;&lt;author&gt;Kanis, John A.&lt;/author&gt;&lt;author&gt;Malluche, Hartmut&lt;/author&gt;&lt;author&gt;Meunier, Pierre J.&lt;/author&gt;&lt;author&gt;Ott, Susan M.&lt;/author&gt;&lt;author&gt;Recker, Robert R.&lt;/author&gt;&lt;author&gt;Parfitt, A. Michael&lt;/author&gt;&lt;/authors&gt;&lt;/contributors&gt;&lt;titles&gt;&lt;title&gt;Standardized nomenclature, symbols, and units for bone histomorphometry: A 2012 update of the report of the ASBMR Histomorphometry Nomenclature Committee&lt;/title&gt;&lt;secondary-title&gt;Journal of Bone and Mineral Research &lt;/secondary-title&gt;&lt;/titles&gt;&lt;periodical&gt;&lt;full-title&gt;Journal of Bone and Mineral Research&lt;/full-title&gt;&lt;/periodical&gt;&lt;pages&gt;2-17&lt;/pages&gt;&lt;volume&gt;28&lt;/volume&gt;&lt;keywords&gt;&lt;keyword&gt;Medical Schools&lt;/keyword&gt;&lt;keyword&gt;Medical Societies&lt;/keyword&gt;&lt;keyword&gt;Surgeons&lt;/keyword&gt;&lt;keyword&gt;Public Health&lt;/keyword&gt;&lt;/keywords&gt;&lt;dates&gt;&lt;year&gt;2013&lt;/year&gt;&lt;/dates&gt;&lt;isbn&gt;0884-0431&lt;/isbn&gt;&lt;urls&gt;&lt;/urls&gt;&lt;electronic-resource-num&gt;10.1002/jbmr.1805&lt;/electronic-resource-num&gt;&lt;/record&gt;&lt;/Cite&gt;&lt;/EndNote&gt;</w:instrText>
      </w:r>
      <w:r w:rsidR="005746C7">
        <w:rPr>
          <w:rFonts w:ascii="Arial" w:hAnsi="Arial"/>
        </w:rPr>
        <w:fldChar w:fldCharType="separate"/>
      </w:r>
      <w:r w:rsidR="005746C7">
        <w:rPr>
          <w:rFonts w:ascii="Arial" w:hAnsi="Arial"/>
          <w:noProof/>
        </w:rPr>
        <w:t>(Dempster et al., 2013)</w:t>
      </w:r>
      <w:r w:rsidR="005746C7">
        <w:rPr>
          <w:rFonts w:ascii="Arial" w:hAnsi="Arial"/>
        </w:rPr>
        <w:fldChar w:fldCharType="end"/>
      </w:r>
      <w:r>
        <w:rPr>
          <w:rFonts w:ascii="Arial" w:hAnsi="Arial"/>
        </w:rPr>
        <w:t xml:space="preserve">. MS was calculated from the following equation: </w:t>
      </w:r>
    </w:p>
    <w:p w14:paraId="7E99248B" w14:textId="77777777" w:rsidR="0061193F" w:rsidRDefault="0061193F" w:rsidP="0061193F">
      <w:pPr>
        <w:spacing w:line="480" w:lineRule="auto"/>
        <w:jc w:val="both"/>
        <w:rPr>
          <w:rFonts w:ascii="Arial" w:hAnsi="Arial"/>
        </w:rPr>
      </w:pPr>
    </w:p>
    <w:p w14:paraId="541BE70D" w14:textId="77777777" w:rsidR="0061193F" w:rsidRDefault="0061193F" w:rsidP="0061193F">
      <w:pPr>
        <w:spacing w:line="480" w:lineRule="auto"/>
        <w:jc w:val="center"/>
        <w:rPr>
          <w:rFonts w:ascii="Arial" w:hAnsi="Arial"/>
        </w:rPr>
      </w:pPr>
      <w:r>
        <w:rPr>
          <w:rFonts w:ascii="Arial" w:hAnsi="Arial"/>
        </w:rPr>
        <w:t>MS (mm) = (dLS + sLS/2)/BS</w:t>
      </w:r>
    </w:p>
    <w:p w14:paraId="4D7BAF9E" w14:textId="77777777" w:rsidR="0061193F" w:rsidRDefault="0061193F" w:rsidP="0061193F">
      <w:pPr>
        <w:spacing w:line="480" w:lineRule="auto"/>
        <w:jc w:val="both"/>
        <w:rPr>
          <w:rFonts w:ascii="Arial" w:hAnsi="Arial"/>
        </w:rPr>
      </w:pPr>
    </w:p>
    <w:p w14:paraId="1D0D2EB2" w14:textId="77777777" w:rsidR="0061193F" w:rsidRDefault="00FF5EAA" w:rsidP="0061193F">
      <w:pPr>
        <w:spacing w:line="480" w:lineRule="auto"/>
        <w:jc w:val="both"/>
        <w:rPr>
          <w:rFonts w:ascii="Arial" w:hAnsi="Arial"/>
        </w:rPr>
      </w:pPr>
      <w:proofErr w:type="gramStart"/>
      <w:r>
        <w:rPr>
          <w:rFonts w:ascii="Arial" w:hAnsi="Arial"/>
        </w:rPr>
        <w:t>where</w:t>
      </w:r>
      <w:proofErr w:type="gramEnd"/>
      <w:r>
        <w:rPr>
          <w:rFonts w:ascii="Arial" w:hAnsi="Arial"/>
        </w:rPr>
        <w:t>,</w:t>
      </w:r>
      <w:r w:rsidR="0061193F">
        <w:rPr>
          <w:rFonts w:ascii="Arial" w:hAnsi="Arial"/>
        </w:rPr>
        <w:t xml:space="preserve"> </w:t>
      </w:r>
    </w:p>
    <w:p w14:paraId="1DC52487" w14:textId="77777777" w:rsidR="0061193F" w:rsidRDefault="0061193F" w:rsidP="0061193F">
      <w:pPr>
        <w:spacing w:line="480" w:lineRule="auto"/>
        <w:jc w:val="both"/>
        <w:rPr>
          <w:rFonts w:ascii="Arial" w:hAnsi="Arial"/>
        </w:rPr>
      </w:pPr>
      <w:proofErr w:type="gramStart"/>
      <w:r>
        <w:rPr>
          <w:rFonts w:ascii="Arial" w:hAnsi="Arial"/>
        </w:rPr>
        <w:t>dLS</w:t>
      </w:r>
      <w:proofErr w:type="gramEnd"/>
      <w:r>
        <w:rPr>
          <w:rFonts w:ascii="Arial" w:hAnsi="Arial"/>
        </w:rPr>
        <w:t xml:space="preserve"> = double-</w:t>
      </w:r>
      <w:r w:rsidR="00DE311C">
        <w:rPr>
          <w:rFonts w:ascii="Arial" w:hAnsi="Arial"/>
        </w:rPr>
        <w:t>label</w:t>
      </w:r>
      <w:r w:rsidR="005746C7">
        <w:rPr>
          <w:rFonts w:ascii="Arial" w:hAnsi="Arial"/>
        </w:rPr>
        <w:t>ed</w:t>
      </w:r>
      <w:r>
        <w:rPr>
          <w:rFonts w:ascii="Arial" w:hAnsi="Arial"/>
        </w:rPr>
        <w:t xml:space="preserve"> surface (dL.Pm)</w:t>
      </w:r>
    </w:p>
    <w:p w14:paraId="2F171BEC" w14:textId="77777777" w:rsidR="0061193F" w:rsidRDefault="0061193F" w:rsidP="0061193F">
      <w:pPr>
        <w:spacing w:line="480" w:lineRule="auto"/>
        <w:jc w:val="both"/>
        <w:rPr>
          <w:rFonts w:ascii="Arial" w:hAnsi="Arial"/>
        </w:rPr>
      </w:pPr>
      <w:proofErr w:type="gramStart"/>
      <w:r>
        <w:rPr>
          <w:rFonts w:ascii="Arial" w:hAnsi="Arial"/>
        </w:rPr>
        <w:t>sLS</w:t>
      </w:r>
      <w:proofErr w:type="gramEnd"/>
      <w:r>
        <w:rPr>
          <w:rFonts w:ascii="Arial" w:hAnsi="Arial"/>
        </w:rPr>
        <w:t xml:space="preserve"> = single-</w:t>
      </w:r>
      <w:r w:rsidR="00DE311C">
        <w:rPr>
          <w:rFonts w:ascii="Arial" w:hAnsi="Arial"/>
        </w:rPr>
        <w:t>labe</w:t>
      </w:r>
      <w:r w:rsidR="005746C7">
        <w:rPr>
          <w:rFonts w:ascii="Arial" w:hAnsi="Arial"/>
        </w:rPr>
        <w:t>led</w:t>
      </w:r>
      <w:r>
        <w:rPr>
          <w:rFonts w:ascii="Arial" w:hAnsi="Arial"/>
        </w:rPr>
        <w:t xml:space="preserve"> surface (sL.Pm)</w:t>
      </w:r>
    </w:p>
    <w:p w14:paraId="2496EE26" w14:textId="77777777" w:rsidR="0061193F" w:rsidRDefault="0061193F" w:rsidP="0061193F">
      <w:pPr>
        <w:spacing w:line="480" w:lineRule="auto"/>
        <w:jc w:val="both"/>
        <w:rPr>
          <w:rFonts w:ascii="Arial" w:hAnsi="Arial"/>
        </w:rPr>
      </w:pPr>
      <w:r>
        <w:rPr>
          <w:rFonts w:ascii="Arial" w:hAnsi="Arial"/>
        </w:rPr>
        <w:t>BS = bone surface (B.Pm)</w:t>
      </w:r>
    </w:p>
    <w:p w14:paraId="4D3AF13C" w14:textId="77777777" w:rsidR="0061193F" w:rsidRDefault="0061193F" w:rsidP="0061193F">
      <w:pPr>
        <w:spacing w:line="480" w:lineRule="auto"/>
        <w:jc w:val="both"/>
        <w:rPr>
          <w:rFonts w:ascii="Arial" w:hAnsi="Arial"/>
        </w:rPr>
      </w:pPr>
    </w:p>
    <w:p w14:paraId="694564EF" w14:textId="77777777" w:rsidR="0061193F" w:rsidRDefault="0061193F" w:rsidP="0061193F">
      <w:pPr>
        <w:spacing w:line="480" w:lineRule="auto"/>
        <w:jc w:val="both"/>
        <w:rPr>
          <w:rFonts w:ascii="Arial" w:hAnsi="Arial"/>
        </w:rPr>
      </w:pPr>
    </w:p>
    <w:p w14:paraId="263E125F" w14:textId="77777777" w:rsidR="0061193F" w:rsidRDefault="0061193F" w:rsidP="0061193F">
      <w:pPr>
        <w:spacing w:line="480" w:lineRule="auto"/>
        <w:jc w:val="both"/>
        <w:rPr>
          <w:rFonts w:ascii="Arial" w:hAnsi="Arial"/>
        </w:rPr>
      </w:pPr>
    </w:p>
    <w:p w14:paraId="36538F6B" w14:textId="77777777" w:rsidR="0061193F" w:rsidRDefault="0061193F" w:rsidP="0061193F">
      <w:pPr>
        <w:spacing w:line="480" w:lineRule="auto"/>
        <w:jc w:val="both"/>
        <w:rPr>
          <w:rFonts w:ascii="Arial" w:hAnsi="Arial"/>
        </w:rPr>
      </w:pPr>
      <w:r>
        <w:rPr>
          <w:rFonts w:ascii="Arial" w:hAnsi="Arial"/>
        </w:rPr>
        <w:lastRenderedPageBreak/>
        <w:t xml:space="preserve">MAR is defined as the distance between two consecutive labels divided by the time between the </w:t>
      </w:r>
      <w:r w:rsidR="00EC2D2B">
        <w:rPr>
          <w:rFonts w:ascii="Arial" w:hAnsi="Arial"/>
        </w:rPr>
        <w:t>labe</w:t>
      </w:r>
      <w:r w:rsidR="00330B85">
        <w:rPr>
          <w:rFonts w:ascii="Arial" w:hAnsi="Arial"/>
        </w:rPr>
        <w:t>ling</w:t>
      </w:r>
      <w:r>
        <w:rPr>
          <w:rFonts w:ascii="Arial" w:hAnsi="Arial"/>
        </w:rPr>
        <w:t xml:space="preserve"> periods </w:t>
      </w:r>
      <w:r w:rsidR="00330B85">
        <w:rPr>
          <w:rFonts w:ascii="Arial" w:hAnsi="Arial"/>
        </w:rPr>
        <w:fldChar w:fldCharType="begin"/>
      </w:r>
      <w:r w:rsidR="00651EFF">
        <w:rPr>
          <w:rFonts w:ascii="Arial" w:hAnsi="Arial"/>
        </w:rPr>
        <w:instrText xml:space="preserve"> ADDIN EN.CITE &lt;EndNote&gt;&lt;Cite&gt;&lt;Author&gt;Dempster&lt;/Author&gt;&lt;Year&gt;2013&lt;/Year&gt;&lt;RecNum&gt;410&lt;/RecNum&gt;&lt;DisplayText&gt;(Dempster et al., 2013)&lt;/DisplayText&gt;&lt;record&gt;&lt;rec-number&gt;410&lt;/rec-number&gt;&lt;foreign-keys&gt;&lt;key app="EN" db-id="ae9rewfrpdttrheppfxxv0p4950wpd25r09x" timestamp="1520658304"&gt;410&lt;/key&gt;&lt;/foreign-keys&gt;&lt;ref-type name="Journal Article"&gt;17&lt;/ref-type&gt;&lt;contributors&gt;&lt;authors&gt;&lt;author&gt;Dempster, David W.&lt;/author&gt;&lt;author&gt;Compston, Juliet E.&lt;/author&gt;&lt;author&gt;Drezner, Marc K.&lt;/author&gt;&lt;author&gt;Glorieux, Francis H.&lt;/author&gt;&lt;author&gt;Kanis, John A.&lt;/author&gt;&lt;author&gt;Malluche, Hartmut&lt;/author&gt;&lt;author&gt;Meunier, Pierre J.&lt;/author&gt;&lt;author&gt;Ott, Susan M.&lt;/author&gt;&lt;author&gt;Recker, Robert R.&lt;/author&gt;&lt;author&gt;Parfitt, A. Michael&lt;/author&gt;&lt;/authors&gt;&lt;/contributors&gt;&lt;titles&gt;&lt;title&gt;Standardized nomenclature, symbols, and units for bone histomorphometry: A 2012 update of the report of the ASBMR Histomorphometry Nomenclature Committee&lt;/title&gt;&lt;secondary-title&gt;Journal of Bone and Mineral Research &lt;/secondary-title&gt;&lt;/titles&gt;&lt;periodical&gt;&lt;full-title&gt;Journal of Bone and Mineral Research&lt;/full-title&gt;&lt;/periodical&gt;&lt;pages&gt;2-17&lt;/pages&gt;&lt;volume&gt;28&lt;/volume&gt;&lt;keywords&gt;&lt;keyword&gt;Medical Schools&lt;/keyword&gt;&lt;keyword&gt;Medical Societies&lt;/keyword&gt;&lt;keyword&gt;Surgeons&lt;/keyword&gt;&lt;keyword&gt;Public Health&lt;/keyword&gt;&lt;/keywords&gt;&lt;dates&gt;&lt;year&gt;2013&lt;/year&gt;&lt;/dates&gt;&lt;isbn&gt;0884-0431&lt;/isbn&gt;&lt;urls&gt;&lt;/urls&gt;&lt;electronic-resource-num&gt;10.1002/jbmr.1805&lt;/electronic-resource-num&gt;&lt;/record&gt;&lt;/Cite&gt;&lt;/EndNote&gt;</w:instrText>
      </w:r>
      <w:r w:rsidR="00330B85">
        <w:rPr>
          <w:rFonts w:ascii="Arial" w:hAnsi="Arial"/>
        </w:rPr>
        <w:fldChar w:fldCharType="separate"/>
      </w:r>
      <w:r w:rsidR="00330B85">
        <w:rPr>
          <w:rFonts w:ascii="Arial" w:hAnsi="Arial"/>
          <w:noProof/>
        </w:rPr>
        <w:t>(Dempster et al., 2013)</w:t>
      </w:r>
      <w:r w:rsidR="00330B85">
        <w:rPr>
          <w:rFonts w:ascii="Arial" w:hAnsi="Arial"/>
        </w:rPr>
        <w:fldChar w:fldCharType="end"/>
      </w:r>
      <w:r>
        <w:rPr>
          <w:rFonts w:ascii="Arial" w:hAnsi="Arial"/>
        </w:rPr>
        <w:t xml:space="preserve">. MAR was calculated from the following equation: </w:t>
      </w:r>
    </w:p>
    <w:p w14:paraId="3EB1CB98" w14:textId="77777777" w:rsidR="0061193F" w:rsidRDefault="0061193F" w:rsidP="0061193F">
      <w:pPr>
        <w:spacing w:line="480" w:lineRule="auto"/>
        <w:jc w:val="both"/>
        <w:rPr>
          <w:rFonts w:ascii="Arial" w:hAnsi="Arial"/>
        </w:rPr>
      </w:pPr>
    </w:p>
    <w:p w14:paraId="45DC6A3F" w14:textId="77777777" w:rsidR="0061193F" w:rsidRDefault="0061193F" w:rsidP="0061193F">
      <w:pPr>
        <w:spacing w:line="480" w:lineRule="auto"/>
        <w:jc w:val="center"/>
        <w:rPr>
          <w:rFonts w:ascii="Arial" w:hAnsi="Arial"/>
        </w:rPr>
      </w:pPr>
      <w:r>
        <w:rPr>
          <w:rFonts w:ascii="Arial" w:hAnsi="Arial"/>
        </w:rPr>
        <w:t>MAR (</w:t>
      </w:r>
      <w:r w:rsidRPr="00F406A8">
        <w:rPr>
          <w:rFonts w:ascii="Arial" w:hAnsi="Arial" w:cs="Arial"/>
          <w:color w:val="000000" w:themeColor="text1"/>
        </w:rPr>
        <w:sym w:font="Symbol" w:char="F06D"/>
      </w:r>
      <w:r>
        <w:rPr>
          <w:rFonts w:ascii="Arial" w:hAnsi="Arial" w:cs="Arial"/>
          <w:color w:val="000000" w:themeColor="text1"/>
        </w:rPr>
        <w:t xml:space="preserve">m/d) </w:t>
      </w:r>
      <w:r>
        <w:rPr>
          <w:rFonts w:ascii="Arial" w:hAnsi="Arial"/>
        </w:rPr>
        <w:t>= Ir.L.Th/Ir.L.t</w:t>
      </w:r>
    </w:p>
    <w:p w14:paraId="33E4DF89" w14:textId="77777777" w:rsidR="0061193F" w:rsidRDefault="0061193F" w:rsidP="0061193F">
      <w:pPr>
        <w:spacing w:line="480" w:lineRule="auto"/>
        <w:jc w:val="center"/>
        <w:rPr>
          <w:rFonts w:ascii="Arial" w:hAnsi="Arial"/>
        </w:rPr>
      </w:pPr>
    </w:p>
    <w:p w14:paraId="6E604CC7" w14:textId="77777777" w:rsidR="0061193F" w:rsidRDefault="00FF5EAA" w:rsidP="0061193F">
      <w:pPr>
        <w:spacing w:line="480" w:lineRule="auto"/>
        <w:jc w:val="both"/>
        <w:rPr>
          <w:rFonts w:ascii="Arial" w:hAnsi="Arial"/>
        </w:rPr>
      </w:pPr>
      <w:proofErr w:type="gramStart"/>
      <w:r>
        <w:rPr>
          <w:rFonts w:ascii="Arial" w:hAnsi="Arial"/>
        </w:rPr>
        <w:t>where</w:t>
      </w:r>
      <w:proofErr w:type="gramEnd"/>
      <w:r>
        <w:rPr>
          <w:rFonts w:ascii="Arial" w:hAnsi="Arial"/>
        </w:rPr>
        <w:t>,</w:t>
      </w:r>
    </w:p>
    <w:p w14:paraId="7F6E6F77" w14:textId="77777777" w:rsidR="0061193F" w:rsidRDefault="00956235" w:rsidP="0061193F">
      <w:pPr>
        <w:spacing w:line="480" w:lineRule="auto"/>
        <w:jc w:val="both"/>
        <w:rPr>
          <w:rFonts w:ascii="Arial" w:hAnsi="Arial"/>
        </w:rPr>
      </w:pPr>
      <w:r>
        <w:rPr>
          <w:rFonts w:ascii="Arial" w:hAnsi="Arial"/>
        </w:rPr>
        <w:t>Ir.L.Th = i</w:t>
      </w:r>
      <w:r w:rsidR="0061193F">
        <w:rPr>
          <w:rFonts w:ascii="Arial" w:hAnsi="Arial"/>
        </w:rPr>
        <w:t>nter label thickness (Ir.L.Wi)</w:t>
      </w:r>
    </w:p>
    <w:p w14:paraId="4AB72E21" w14:textId="77777777" w:rsidR="0061193F" w:rsidRDefault="0061193F" w:rsidP="0061193F">
      <w:pPr>
        <w:spacing w:line="480" w:lineRule="auto"/>
        <w:jc w:val="both"/>
        <w:rPr>
          <w:rFonts w:ascii="Arial" w:hAnsi="Arial"/>
        </w:rPr>
      </w:pPr>
      <w:r>
        <w:rPr>
          <w:rFonts w:ascii="Arial" w:hAnsi="Arial"/>
        </w:rPr>
        <w:t>Ir.L.t = time between injection of labels (12 days)</w:t>
      </w:r>
    </w:p>
    <w:p w14:paraId="7071723D" w14:textId="77777777" w:rsidR="00FF5EAA" w:rsidRDefault="00FF5EAA" w:rsidP="0061193F">
      <w:pPr>
        <w:spacing w:line="480" w:lineRule="auto"/>
        <w:jc w:val="both"/>
        <w:rPr>
          <w:rFonts w:ascii="Arial" w:hAnsi="Arial"/>
        </w:rPr>
      </w:pPr>
    </w:p>
    <w:p w14:paraId="4B388E96" w14:textId="77777777" w:rsidR="0061193F" w:rsidRPr="00FF5EAA" w:rsidRDefault="0061193F" w:rsidP="00FF5EAA">
      <w:pPr>
        <w:spacing w:line="480" w:lineRule="auto"/>
        <w:jc w:val="both"/>
        <w:rPr>
          <w:rFonts w:ascii="Arial" w:hAnsi="Arial"/>
        </w:rPr>
      </w:pPr>
      <w:r w:rsidRPr="00FF5EAA">
        <w:rPr>
          <w:rFonts w:ascii="Arial" w:hAnsi="Arial"/>
          <w:color w:val="000000" w:themeColor="text1"/>
        </w:rPr>
        <w:t xml:space="preserve">BFR was expressed per unit of bone surface </w:t>
      </w:r>
      <w:r w:rsidR="00FF5EAA">
        <w:rPr>
          <w:rFonts w:ascii="Arial" w:hAnsi="Arial"/>
          <w:color w:val="000000" w:themeColor="text1"/>
        </w:rPr>
        <w:fldChar w:fldCharType="begin">
          <w:fldData xml:space="preserve">PEVuZE5vdGU+PENpdGU+PEF1dGhvcj5FcmJlbjwvQXV0aG9yPjxZZWFyPjIwMTI8L1llYXI+PFJl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</w:fldData>
        </w:fldChar>
      </w:r>
      <w:r w:rsidR="00651EFF">
        <w:rPr>
          <w:rFonts w:ascii="Arial" w:hAnsi="Arial"/>
          <w:color w:val="000000" w:themeColor="text1"/>
        </w:rPr>
        <w:instrText xml:space="preserve"> ADDIN EN.CITE </w:instrText>
      </w:r>
      <w:r w:rsidR="00651EFF">
        <w:rPr>
          <w:rFonts w:ascii="Arial" w:hAnsi="Arial"/>
          <w:color w:val="000000" w:themeColor="text1"/>
        </w:rPr>
        <w:fldChar w:fldCharType="begin">
          <w:fldData xml:space="preserve">PEVuZE5vdGU+PENpdGU+PEF1dGhvcj5FcmJlbjwvQXV0aG9yPjxZZWFyPjIwMTI8L1llYXI+PFJl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</w:fldData>
        </w:fldChar>
      </w:r>
      <w:r w:rsidR="00651EFF">
        <w:rPr>
          <w:rFonts w:ascii="Arial" w:hAnsi="Arial"/>
          <w:color w:val="000000" w:themeColor="text1"/>
        </w:rPr>
        <w:instrText xml:space="preserve"> ADDIN EN.CITE.DATA </w:instrText>
      </w:r>
      <w:r w:rsidR="00651EFF">
        <w:rPr>
          <w:rFonts w:ascii="Arial" w:hAnsi="Arial"/>
          <w:color w:val="000000" w:themeColor="text1"/>
        </w:rPr>
      </w:r>
      <w:r w:rsidR="00651EFF">
        <w:rPr>
          <w:rFonts w:ascii="Arial" w:hAnsi="Arial"/>
          <w:color w:val="000000" w:themeColor="text1"/>
        </w:rPr>
        <w:fldChar w:fldCharType="end"/>
      </w:r>
      <w:r w:rsidR="00FF5EAA">
        <w:rPr>
          <w:rFonts w:ascii="Arial" w:hAnsi="Arial"/>
          <w:color w:val="000000" w:themeColor="text1"/>
        </w:rPr>
      </w:r>
      <w:r w:rsidR="00FF5EAA">
        <w:rPr>
          <w:rFonts w:ascii="Arial" w:hAnsi="Arial"/>
          <w:color w:val="000000" w:themeColor="text1"/>
        </w:rPr>
        <w:fldChar w:fldCharType="separate"/>
      </w:r>
      <w:r w:rsidR="00FF5EAA">
        <w:rPr>
          <w:rFonts w:ascii="Arial" w:hAnsi="Arial"/>
          <w:noProof/>
          <w:color w:val="000000" w:themeColor="text1"/>
        </w:rPr>
        <w:t>(Erben and Glosmann, 2012, Dempster et al., 2013)</w:t>
      </w:r>
      <w:r w:rsidR="00FF5EAA">
        <w:rPr>
          <w:rFonts w:ascii="Arial" w:hAnsi="Arial"/>
          <w:color w:val="000000" w:themeColor="text1"/>
        </w:rPr>
        <w:fldChar w:fldCharType="end"/>
      </w:r>
      <w:r w:rsidRPr="00FF5EAA">
        <w:rPr>
          <w:rFonts w:ascii="Arial" w:hAnsi="Arial"/>
        </w:rPr>
        <w:t xml:space="preserve"> and was calculated from the following equation: </w:t>
      </w:r>
    </w:p>
    <w:p w14:paraId="53C2F738" w14:textId="77777777" w:rsidR="0061193F" w:rsidRPr="008D562D" w:rsidRDefault="0061193F" w:rsidP="0061193F"/>
    <w:p w14:paraId="7992FA4E" w14:textId="77777777" w:rsidR="0061193F" w:rsidRPr="0072662A" w:rsidRDefault="0061193F" w:rsidP="0061193F"/>
    <w:p w14:paraId="16996FCF" w14:textId="77777777" w:rsidR="0061193F" w:rsidRDefault="0061193F" w:rsidP="0061193F">
      <w:pPr>
        <w:spacing w:line="480" w:lineRule="auto"/>
        <w:jc w:val="center"/>
        <w:rPr>
          <w:rFonts w:ascii="Arial" w:hAnsi="Arial" w:cs="Arial"/>
        </w:rPr>
      </w:pPr>
      <w:r w:rsidRPr="00382F56">
        <w:rPr>
          <w:rFonts w:ascii="Arial" w:hAnsi="Arial" w:cs="Arial"/>
        </w:rPr>
        <w:t xml:space="preserve">BFR </w:t>
      </w:r>
      <w:r>
        <w:rPr>
          <w:rFonts w:ascii="Arial" w:hAnsi="Arial" w:cs="Arial"/>
        </w:rPr>
        <w:t>(</w:t>
      </w:r>
      <w:r w:rsidRPr="00B039D6">
        <w:rPr>
          <w:rFonts w:ascii="Arial" w:hAnsi="Arial" w:cs="Arial"/>
          <w:color w:val="1A1A1A"/>
        </w:rPr>
        <w:t>µm</w:t>
      </w:r>
      <w:r w:rsidRPr="00B039D6">
        <w:rPr>
          <w:rFonts w:ascii="Arial" w:hAnsi="Arial" w:cs="Arial"/>
          <w:color w:val="1A1A1A"/>
          <w:vertAlign w:val="superscript"/>
        </w:rPr>
        <w:t>3</w:t>
      </w:r>
      <w:r w:rsidRPr="00B039D6">
        <w:rPr>
          <w:rFonts w:ascii="Arial" w:hAnsi="Arial" w:cs="Arial"/>
          <w:color w:val="1A1A1A"/>
        </w:rPr>
        <w:t>/µm</w:t>
      </w:r>
      <w:r w:rsidRPr="00B039D6">
        <w:rPr>
          <w:rFonts w:ascii="Arial" w:hAnsi="Arial" w:cs="Arial"/>
          <w:color w:val="1A1A1A"/>
          <w:vertAlign w:val="superscript"/>
        </w:rPr>
        <w:t>2</w:t>
      </w:r>
      <w:r>
        <w:rPr>
          <w:rFonts w:ascii="Arial" w:hAnsi="Arial" w:cs="Arial"/>
          <w:color w:val="1A1A1A"/>
        </w:rPr>
        <w:t xml:space="preserve">/d) </w:t>
      </w:r>
      <w:r w:rsidRPr="00382F56">
        <w:rPr>
          <w:rFonts w:ascii="Arial" w:hAnsi="Arial" w:cs="Arial"/>
        </w:rPr>
        <w:t>= MAR x (MS/BS)</w:t>
      </w:r>
    </w:p>
    <w:p w14:paraId="17631A37" w14:textId="77777777" w:rsidR="0061193F" w:rsidRDefault="0061193F" w:rsidP="0061193F">
      <w:pPr>
        <w:spacing w:line="480" w:lineRule="auto"/>
        <w:jc w:val="center"/>
        <w:rPr>
          <w:rFonts w:ascii="Arial" w:hAnsi="Arial" w:cs="Arial"/>
        </w:rPr>
      </w:pPr>
    </w:p>
    <w:p w14:paraId="4FF1646E" w14:textId="77777777" w:rsidR="0061193F" w:rsidRDefault="0061193F" w:rsidP="0061193F">
      <w:pPr>
        <w:spacing w:line="480" w:lineRule="auto"/>
        <w:jc w:val="both"/>
        <w:rPr>
          <w:rFonts w:ascii="Arial" w:hAnsi="Arial" w:cs="Arial"/>
        </w:rPr>
      </w:pPr>
      <w:proofErr w:type="gramStart"/>
      <w:r>
        <w:rPr>
          <w:rFonts w:ascii="Arial" w:hAnsi="Arial" w:cs="Arial"/>
        </w:rPr>
        <w:t>where</w:t>
      </w:r>
      <w:proofErr w:type="gramEnd"/>
      <w:r>
        <w:rPr>
          <w:rFonts w:ascii="Arial" w:hAnsi="Arial" w:cs="Arial"/>
        </w:rPr>
        <w:t xml:space="preserve"> MAR was multiplied by the fractio</w:t>
      </w:r>
      <w:r w:rsidR="00EC2D2B">
        <w:rPr>
          <w:rFonts w:ascii="Arial" w:hAnsi="Arial" w:cs="Arial"/>
        </w:rPr>
        <w:t>n of bone surface that was labe</w:t>
      </w:r>
      <w:r>
        <w:rPr>
          <w:rFonts w:ascii="Arial" w:hAnsi="Arial" w:cs="Arial"/>
        </w:rPr>
        <w:t>led.</w:t>
      </w:r>
    </w:p>
    <w:p w14:paraId="7AA6AF7E" w14:textId="77777777" w:rsidR="0061193F" w:rsidRDefault="0061193F" w:rsidP="0061193F">
      <w:pPr>
        <w:spacing w:line="480" w:lineRule="auto"/>
        <w:jc w:val="both"/>
        <w:rPr>
          <w:rFonts w:ascii="Arial" w:hAnsi="Arial" w:cs="Arial"/>
        </w:rPr>
      </w:pPr>
    </w:p>
    <w:p w14:paraId="67A76550" w14:textId="77777777" w:rsidR="0061193F" w:rsidRDefault="0061193F" w:rsidP="0061193F">
      <w:pPr>
        <w:spacing w:line="480" w:lineRule="auto"/>
        <w:jc w:val="both"/>
        <w:rPr>
          <w:rFonts w:ascii="Arial" w:hAnsi="Arial" w:cs="Arial"/>
        </w:rPr>
      </w:pPr>
    </w:p>
    <w:p w14:paraId="1BE6A7AC" w14:textId="77777777" w:rsidR="0061193F" w:rsidRDefault="0061193F" w:rsidP="0061193F">
      <w:pPr>
        <w:spacing w:line="480" w:lineRule="auto"/>
        <w:jc w:val="both"/>
        <w:rPr>
          <w:rFonts w:ascii="Arial" w:hAnsi="Arial" w:cs="Arial"/>
        </w:rPr>
      </w:pPr>
    </w:p>
    <w:p w14:paraId="7ABB43C1" w14:textId="77777777" w:rsidR="0061193F" w:rsidRDefault="0061193F" w:rsidP="0061193F">
      <w:pPr>
        <w:spacing w:line="480" w:lineRule="auto"/>
        <w:jc w:val="both"/>
        <w:rPr>
          <w:rFonts w:ascii="Arial" w:hAnsi="Arial" w:cs="Arial"/>
        </w:rPr>
      </w:pPr>
    </w:p>
    <w:p w14:paraId="7D232DE2" w14:textId="77777777" w:rsidR="0061193F" w:rsidRDefault="0061193F" w:rsidP="0061193F">
      <w:pPr>
        <w:spacing w:line="480" w:lineRule="auto"/>
        <w:jc w:val="both"/>
        <w:rPr>
          <w:rFonts w:ascii="Arial" w:hAnsi="Arial" w:cs="Arial"/>
        </w:rPr>
      </w:pPr>
    </w:p>
    <w:p w14:paraId="49A43129" w14:textId="77777777" w:rsidR="0061193F" w:rsidRDefault="0061193F" w:rsidP="0061193F"/>
    <w:p w14:paraId="3AFEC7B0" w14:textId="77777777" w:rsidR="0061193F" w:rsidRPr="006549A9" w:rsidRDefault="0061193F" w:rsidP="0061193F"/>
    <w:p w14:paraId="5B3F83F3" w14:textId="77777777" w:rsidR="0061193F" w:rsidRPr="006549A9" w:rsidRDefault="0061193F" w:rsidP="0061193F"/>
    <w:p w14:paraId="2EB5F964" w14:textId="77777777" w:rsidR="0061193F" w:rsidRPr="006549A9" w:rsidRDefault="0061193F" w:rsidP="0061193F"/>
    <w:p w14:paraId="162D2B53" w14:textId="77777777" w:rsidR="0061193F" w:rsidRPr="006549A9" w:rsidRDefault="0061193F" w:rsidP="0061193F"/>
    <w:p w14:paraId="5DE3D941" w14:textId="77777777" w:rsidR="0061193F" w:rsidRPr="006549A9" w:rsidRDefault="0061193F" w:rsidP="0061193F"/>
    <w:p w14:paraId="0912851B" w14:textId="77777777" w:rsidR="0061193F" w:rsidRPr="006549A9" w:rsidRDefault="0061193F" w:rsidP="0061193F"/>
    <w:p w14:paraId="26892544" w14:textId="77777777" w:rsidR="0061193F" w:rsidRPr="006549A9" w:rsidRDefault="0061193F" w:rsidP="0061193F"/>
    <w:p w14:paraId="76676DFA" w14:textId="77777777" w:rsidR="0061193F" w:rsidRDefault="0061193F" w:rsidP="0061193F"/>
    <w:p w14:paraId="78F30C93" w14:textId="77777777" w:rsidR="00FB23EA" w:rsidRDefault="00FB23EA" w:rsidP="0061193F"/>
    <w:p w14:paraId="1F364DE1" w14:textId="77777777" w:rsidR="0061193F" w:rsidRPr="00947EE3" w:rsidRDefault="008671BD" w:rsidP="008671BD">
      <w:pPr>
        <w:spacing w:line="480" w:lineRule="auto"/>
        <w:jc w:val="both"/>
        <w:rPr>
          <w:rFonts w:ascii="Arial" w:eastAsiaTheme="minorHAnsi" w:hAnsi="Arial"/>
          <w:b/>
          <w:bCs/>
          <w:sz w:val="28"/>
          <w:szCs w:val="28"/>
        </w:rPr>
      </w:pPr>
      <w:r>
        <w:rPr>
          <w:rFonts w:ascii="Arial" w:eastAsiaTheme="minorHAnsi" w:hAnsi="Arial"/>
          <w:b/>
          <w:bCs/>
          <w:color w:val="1F497D" w:themeColor="text2"/>
          <w:sz w:val="28"/>
          <w:szCs w:val="28"/>
        </w:rPr>
        <w:lastRenderedPageBreak/>
        <w:t xml:space="preserve">  </w:t>
      </w:r>
      <w:r w:rsidRPr="00947EE3">
        <w:rPr>
          <w:rFonts w:ascii="Arial" w:eastAsiaTheme="minorHAnsi" w:hAnsi="Arial"/>
          <w:b/>
          <w:bCs/>
          <w:sz w:val="28"/>
          <w:szCs w:val="28"/>
        </w:rPr>
        <w:t>A</w:t>
      </w:r>
    </w:p>
    <w:p w14:paraId="01566890" w14:textId="77777777" w:rsidR="0061193F" w:rsidRPr="001A4478" w:rsidRDefault="006C485E" w:rsidP="008671BD">
      <w:pPr>
        <w:ind w:left="1134"/>
      </w:pPr>
      <w:r w:rsidRPr="006C485E">
        <w:rPr>
          <w:noProof/>
          <w:lang w:val="en-US"/>
        </w:rPr>
        <w:drawing>
          <wp:inline distT="0" distB="0" distL="0" distR="0" wp14:anchorId="6E0E6393" wp14:editId="390EF4CA">
            <wp:extent cx="3860800" cy="2850720"/>
            <wp:effectExtent l="25400" t="25400" r="25400" b="19685"/>
            <wp:docPr id="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0">
                      <a:extLst>
                        <a:ext uri="{28A0092B-C50C-407E-A947-70E740481C1C}">
                          <a14:useLocalDpi xmlns:a14="http://schemas.microsoft.com/office/drawing/2010/main" val="0"/>
                        </a:ext>
                      </a:extLst>
                    </a:blip>
                    <a:srcRect l="1591" r="4977" b="2515"/>
                    <a:stretch/>
                  </pic:blipFill>
                  <pic:spPr bwMode="auto">
                    <a:xfrm>
                      <a:off x="0" y="0"/>
                      <a:ext cx="3862126" cy="2851699"/>
                    </a:xfrm>
                    <a:prstGeom prst="rect">
                      <a:avLst/>
                    </a:prstGeom>
                    <a:noFill/>
                    <a:ln>
                      <a:solidFill>
                        <a:schemeClr val="bg1"/>
                      </a:solidFill>
                    </a:ln>
                    <a:extLst>
                      <a:ext uri="{53640926-AAD7-44d8-BBD7-CCE9431645EC}">
                        <a14:shadowObscured xmlns:a14="http://schemas.microsoft.com/office/drawing/2010/main"/>
                      </a:ext>
                    </a:extLst>
                  </pic:spPr>
                </pic:pic>
              </a:graphicData>
            </a:graphic>
          </wp:inline>
        </w:drawing>
      </w:r>
    </w:p>
    <w:p w14:paraId="6AF61C26" w14:textId="77777777" w:rsidR="006C485E" w:rsidRPr="006C485E" w:rsidRDefault="0061193F" w:rsidP="008671BD">
      <w:pPr>
        <w:tabs>
          <w:tab w:val="left" w:pos="667"/>
          <w:tab w:val="left" w:pos="1728"/>
        </w:tabs>
        <w:rPr>
          <w:rFonts w:ascii="Arial" w:eastAsiaTheme="minorHAnsi" w:hAnsi="Arial" w:cs="Arial"/>
        </w:rPr>
      </w:pPr>
      <w:r>
        <w:rPr>
          <w:rFonts w:ascii="Arial" w:eastAsiaTheme="minorHAnsi" w:hAnsi="Arial" w:cs="Arial"/>
          <w:b/>
          <w:bCs/>
          <w:noProof/>
          <w:color w:val="1F497D" w:themeColor="text2"/>
          <w:lang w:val="en-US"/>
        </w:rPr>
        <mc:AlternateContent>
          <mc:Choice Requires="wps">
            <w:drawing>
              <wp:anchor distT="0" distB="0" distL="114300" distR="114300" simplePos="0" relativeHeight="251665408" behindDoc="0" locked="0" layoutInCell="1" allowOverlap="1" wp14:anchorId="0DD1C2ED" wp14:editId="432FB3E5">
                <wp:simplePos x="0" y="0"/>
                <wp:positionH relativeFrom="column">
                  <wp:posOffset>0</wp:posOffset>
                </wp:positionH>
                <wp:positionV relativeFrom="paragraph">
                  <wp:posOffset>59055</wp:posOffset>
                </wp:positionV>
                <wp:extent cx="235585" cy="457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235585"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C7F476" w14:textId="77777777" w:rsidR="003D0847" w:rsidRPr="005C29CF" w:rsidRDefault="003D0847" w:rsidP="0061193F">
                            <w:pPr>
                              <w:spacing w:line="480" w:lineRule="auto"/>
                              <w:jc w:val="both"/>
                              <w:rPr>
                                <w:rFonts w:ascii="Arial" w:eastAsiaTheme="minorHAnsi" w:hAnsi="Arial"/>
                                <w:b/>
                                <w:bCs/>
                                <w:sz w:val="28"/>
                                <w:szCs w:val="28"/>
                              </w:rPr>
                            </w:pPr>
                            <w:r w:rsidRPr="005C29CF">
                              <w:rPr>
                                <w:rFonts w:ascii="Arial" w:eastAsiaTheme="minorHAnsi" w:hAnsi="Arial"/>
                                <w:b/>
                                <w:bCs/>
                                <w:sz w:val="28"/>
                                <w:szCs w:val="28"/>
                              </w:rPr>
                              <w:t>B</w:t>
                            </w:r>
                          </w:p>
                          <w:p w14:paraId="78FA0FEE" w14:textId="77777777" w:rsidR="003D0847" w:rsidRPr="005C29CF" w:rsidRDefault="003D0847" w:rsidP="006119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2765A4" id="Text Box 42" o:spid="_x0000_s1028" type="#_x0000_t202" style="position:absolute;margin-left:0;margin-top:4.65pt;width:18.55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" filled="f" stroked="f">
                <v:textbox>
                  <w:txbxContent>
                    <w:p w14:paraId="3B11BE3D" w14:textId="77777777" w:rsidR="003A3AA9" w:rsidRPr="005C29CF" w:rsidRDefault="003A3AA9" w:rsidP="0061193F">
                      <w:pPr>
                        <w:spacing w:line="480" w:lineRule="auto"/>
                        <w:jc w:val="both"/>
                        <w:rPr>
                          <w:rFonts w:ascii="Arial" w:eastAsiaTheme="minorHAnsi" w:hAnsi="Arial"/>
                          <w:b/>
                          <w:bCs/>
                          <w:sz w:val="28"/>
                          <w:szCs w:val="28"/>
                        </w:rPr>
                      </w:pPr>
                      <w:r w:rsidRPr="005C29CF">
                        <w:rPr>
                          <w:rFonts w:ascii="Arial" w:eastAsiaTheme="minorHAnsi" w:hAnsi="Arial"/>
                          <w:b/>
                          <w:bCs/>
                          <w:sz w:val="28"/>
                          <w:szCs w:val="28"/>
                        </w:rPr>
                        <w:t>B</w:t>
                      </w:r>
                    </w:p>
                    <w:p w14:paraId="32BC09B2" w14:textId="77777777" w:rsidR="003A3AA9" w:rsidRPr="005C29CF" w:rsidRDefault="003A3AA9" w:rsidP="0061193F"/>
                  </w:txbxContent>
                </v:textbox>
                <w10:wrap type="square"/>
              </v:shape>
            </w:pict>
          </mc:Fallback>
        </mc:AlternateContent>
      </w:r>
      <w:r w:rsidR="008671BD">
        <w:rPr>
          <w:rFonts w:ascii="Arial" w:eastAsiaTheme="minorHAnsi" w:hAnsi="Arial" w:cs="Arial"/>
        </w:rPr>
        <w:t xml:space="preserve">         </w:t>
      </w:r>
      <w:r w:rsidR="008671BD" w:rsidRPr="008671BD">
        <w:rPr>
          <w:rFonts w:ascii="Arial" w:eastAsiaTheme="minorHAnsi" w:hAnsi="Arial" w:cs="Arial"/>
          <w:noProof/>
          <w:lang w:val="en-US"/>
        </w:rPr>
        <w:drawing>
          <wp:inline distT="0" distB="0" distL="0" distR="0" wp14:anchorId="18154211" wp14:editId="029452E8">
            <wp:extent cx="3860800" cy="3037379"/>
            <wp:effectExtent l="25400" t="25400" r="25400" b="36195"/>
            <wp:docPr id="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lum/>
                      <a:extLst>
                        <a:ext uri="{28A0092B-C50C-407E-A947-70E740481C1C}">
                          <a14:useLocalDpi xmlns:a14="http://schemas.microsoft.com/office/drawing/2010/main" val="0"/>
                        </a:ext>
                      </a:extLst>
                    </a:blip>
                    <a:srcRect/>
                    <a:stretch>
                      <a:fillRect/>
                    </a:stretch>
                  </pic:blipFill>
                  <pic:spPr bwMode="auto">
                    <a:xfrm>
                      <a:off x="0" y="0"/>
                      <a:ext cx="3862525" cy="3038736"/>
                    </a:xfrm>
                    <a:prstGeom prst="rect">
                      <a:avLst/>
                    </a:prstGeom>
                    <a:noFill/>
                    <a:ln>
                      <a:solidFill>
                        <a:schemeClr val="bg1"/>
                      </a:solidFill>
                    </a:ln>
                  </pic:spPr>
                </pic:pic>
              </a:graphicData>
            </a:graphic>
          </wp:inline>
        </w:drawing>
      </w:r>
      <w:r w:rsidR="008671BD">
        <w:rPr>
          <w:rFonts w:ascii="Arial" w:eastAsiaTheme="minorHAnsi" w:hAnsi="Arial" w:cs="Arial"/>
        </w:rPr>
        <w:tab/>
      </w:r>
    </w:p>
    <w:p w14:paraId="7EA2D4B7" w14:textId="77777777" w:rsidR="00F52ABC" w:rsidRDefault="00F52ABC" w:rsidP="00FB23EA">
      <w:pPr>
        <w:pStyle w:val="Caption"/>
        <w:spacing w:line="360" w:lineRule="auto"/>
        <w:jc w:val="both"/>
        <w:rPr>
          <w:rFonts w:ascii="Arial" w:hAnsi="Arial" w:cs="Arial"/>
          <w:color w:val="244061" w:themeColor="accent1" w:themeShade="80"/>
          <w:sz w:val="24"/>
          <w:szCs w:val="24"/>
        </w:rPr>
      </w:pPr>
      <w:bookmarkStart w:id="58" w:name="_Toc383544607"/>
    </w:p>
    <w:p w14:paraId="47C7600C" w14:textId="77777777" w:rsidR="00A23035" w:rsidRPr="00574D96" w:rsidRDefault="00A23035" w:rsidP="00FB23EA">
      <w:pPr>
        <w:pStyle w:val="Caption"/>
        <w:spacing w:line="360" w:lineRule="auto"/>
        <w:jc w:val="both"/>
        <w:rPr>
          <w:rFonts w:ascii="Arial" w:eastAsiaTheme="minorHAnsi" w:hAnsi="Arial" w:cs="Arial"/>
          <w:color w:val="244061" w:themeColor="accent1" w:themeShade="80"/>
          <w:sz w:val="24"/>
          <w:szCs w:val="24"/>
        </w:rPr>
      </w:pPr>
      <w:r w:rsidRPr="00574D96">
        <w:rPr>
          <w:rFonts w:ascii="Arial" w:hAnsi="Arial" w:cs="Arial"/>
          <w:color w:val="244061" w:themeColor="accent1" w:themeShade="80"/>
          <w:sz w:val="24"/>
          <w:szCs w:val="24"/>
        </w:rPr>
        <w:t xml:space="preserve">Figure </w:t>
      </w:r>
      <w:r w:rsidRPr="00574D96">
        <w:rPr>
          <w:rFonts w:ascii="Arial" w:hAnsi="Arial" w:cs="Arial"/>
          <w:color w:val="244061" w:themeColor="accent1" w:themeShade="80"/>
          <w:sz w:val="24"/>
          <w:szCs w:val="24"/>
        </w:rPr>
        <w:fldChar w:fldCharType="begin"/>
      </w:r>
      <w:r w:rsidRPr="00574D96">
        <w:rPr>
          <w:rFonts w:ascii="Arial" w:hAnsi="Arial" w:cs="Arial"/>
          <w:color w:val="244061" w:themeColor="accent1" w:themeShade="80"/>
          <w:sz w:val="24"/>
          <w:szCs w:val="24"/>
        </w:rPr>
        <w:instrText xml:space="preserve"> SEQ Figure \* ARABIC </w:instrText>
      </w:r>
      <w:r w:rsidRPr="00574D96">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16</w:t>
      </w:r>
      <w:r w:rsidRPr="00574D96">
        <w:rPr>
          <w:rFonts w:ascii="Arial" w:hAnsi="Arial" w:cs="Arial"/>
          <w:color w:val="244061" w:themeColor="accent1" w:themeShade="80"/>
          <w:sz w:val="24"/>
          <w:szCs w:val="24"/>
        </w:rPr>
        <w:fldChar w:fldCharType="end"/>
      </w:r>
      <w:r w:rsidRPr="00574D96">
        <w:rPr>
          <w:rFonts w:ascii="Arial" w:eastAsiaTheme="minorHAnsi" w:hAnsi="Arial" w:cs="Arial"/>
          <w:color w:val="244061" w:themeColor="accent1" w:themeShade="80"/>
          <w:sz w:val="24"/>
          <w:szCs w:val="24"/>
        </w:rPr>
        <w:t xml:space="preserve"> Measurement of bone formation parameters </w:t>
      </w:r>
      <w:r w:rsidR="00C66710" w:rsidRPr="00574D96">
        <w:rPr>
          <w:rFonts w:ascii="Arial" w:eastAsiaTheme="minorHAnsi" w:hAnsi="Arial" w:cs="Arial"/>
          <w:color w:val="244061" w:themeColor="accent1" w:themeShade="80"/>
          <w:sz w:val="24"/>
          <w:szCs w:val="24"/>
        </w:rPr>
        <w:t xml:space="preserve">from fluorochrome labels </w:t>
      </w:r>
      <w:r w:rsidRPr="00574D96">
        <w:rPr>
          <w:rFonts w:ascii="Arial" w:eastAsiaTheme="minorHAnsi" w:hAnsi="Arial" w:cs="Arial"/>
          <w:color w:val="244061" w:themeColor="accent1" w:themeShade="80"/>
          <w:sz w:val="24"/>
          <w:szCs w:val="24"/>
        </w:rPr>
        <w:t>on a mouse tibia transverse section</w:t>
      </w:r>
      <w:bookmarkEnd w:id="58"/>
      <w:r w:rsidRPr="00574D96">
        <w:rPr>
          <w:rFonts w:ascii="Arial" w:eastAsiaTheme="minorHAnsi" w:hAnsi="Arial" w:cs="Arial"/>
          <w:color w:val="244061" w:themeColor="accent1" w:themeShade="80"/>
          <w:sz w:val="24"/>
          <w:szCs w:val="24"/>
        </w:rPr>
        <w:t xml:space="preserve"> </w:t>
      </w:r>
    </w:p>
    <w:p w14:paraId="46BC9808" w14:textId="77777777" w:rsidR="0061193F" w:rsidRDefault="00FF3697" w:rsidP="0061193F">
      <w:pPr>
        <w:spacing w:line="360" w:lineRule="auto"/>
        <w:jc w:val="both"/>
      </w:pPr>
      <w:r>
        <w:rPr>
          <w:rFonts w:ascii="Arial" w:hAnsi="Arial" w:cs="Arial"/>
          <w:sz w:val="22"/>
          <w:szCs w:val="22"/>
        </w:rPr>
        <w:t xml:space="preserve">(A) </w:t>
      </w:r>
      <w:r w:rsidR="0061193F" w:rsidRPr="00AA3F0D">
        <w:rPr>
          <w:rFonts w:ascii="Arial" w:hAnsi="Arial" w:cs="Arial"/>
          <w:sz w:val="22"/>
          <w:szCs w:val="22"/>
        </w:rPr>
        <w:t xml:space="preserve">Representative low power </w:t>
      </w:r>
      <w:r w:rsidR="00AA3F0D" w:rsidRPr="00AA3F0D">
        <w:rPr>
          <w:rFonts w:ascii="Arial" w:hAnsi="Arial" w:cs="Arial"/>
          <w:sz w:val="22"/>
          <w:szCs w:val="22"/>
        </w:rPr>
        <w:t>10x</w:t>
      </w:r>
      <w:r w:rsidR="00E52B12">
        <w:rPr>
          <w:rFonts w:ascii="Arial" w:hAnsi="Arial"/>
          <w:sz w:val="22"/>
          <w:szCs w:val="22"/>
        </w:rPr>
        <w:t xml:space="preserve"> magnified</w:t>
      </w:r>
      <w:r w:rsidR="00AA3F0D" w:rsidRPr="00AA3F0D">
        <w:rPr>
          <w:rFonts w:ascii="Arial" w:hAnsi="Arial" w:cs="Arial"/>
          <w:sz w:val="22"/>
          <w:szCs w:val="22"/>
        </w:rPr>
        <w:t xml:space="preserve"> </w:t>
      </w:r>
      <w:r w:rsidR="0061193F" w:rsidRPr="00AA3F0D">
        <w:rPr>
          <w:rFonts w:ascii="Arial" w:hAnsi="Arial" w:cs="Arial"/>
          <w:sz w:val="22"/>
          <w:szCs w:val="22"/>
        </w:rPr>
        <w:t>image of the anterior transverse section of mouse</w:t>
      </w:r>
      <w:r w:rsidR="0061193F">
        <w:rPr>
          <w:rFonts w:ascii="Arial" w:hAnsi="Arial" w:cs="Arial"/>
          <w:sz w:val="22"/>
          <w:szCs w:val="22"/>
        </w:rPr>
        <w:t xml:space="preserve"> right tibia used to measure </w:t>
      </w:r>
      <w:r>
        <w:rPr>
          <w:rFonts w:ascii="Arial" w:hAnsi="Arial" w:cs="Arial"/>
          <w:sz w:val="22"/>
          <w:szCs w:val="22"/>
        </w:rPr>
        <w:t xml:space="preserve">cortical </w:t>
      </w:r>
      <w:r w:rsidR="0061193F">
        <w:rPr>
          <w:rFonts w:ascii="Arial" w:hAnsi="Arial" w:cs="Arial"/>
          <w:sz w:val="22"/>
          <w:szCs w:val="22"/>
        </w:rPr>
        <w:t>bone formation parameters</w:t>
      </w:r>
      <w:r>
        <w:rPr>
          <w:rFonts w:ascii="Arial" w:hAnsi="Arial" w:cs="Arial"/>
          <w:sz w:val="22"/>
          <w:szCs w:val="22"/>
        </w:rPr>
        <w:t>.</w:t>
      </w:r>
      <w:r w:rsidR="00385535">
        <w:rPr>
          <w:rFonts w:ascii="Arial" w:hAnsi="Arial" w:cs="Arial"/>
          <w:sz w:val="22"/>
          <w:szCs w:val="22"/>
        </w:rPr>
        <w:t xml:space="preserve"> </w:t>
      </w:r>
      <w:r w:rsidR="0061193F">
        <w:rPr>
          <w:rFonts w:ascii="Arial" w:hAnsi="Arial" w:cs="Arial"/>
          <w:sz w:val="22"/>
          <w:szCs w:val="22"/>
        </w:rPr>
        <w:t>After selecting the appropriate parameter, the coloured lines were drawn on the top of the fluorescent labels of the correspon</w:t>
      </w:r>
      <w:r w:rsidR="00385535">
        <w:rPr>
          <w:rFonts w:ascii="Arial" w:hAnsi="Arial" w:cs="Arial"/>
          <w:sz w:val="22"/>
          <w:szCs w:val="22"/>
        </w:rPr>
        <w:t xml:space="preserve">ding bone surfaces (boxed area). </w:t>
      </w:r>
      <w:r w:rsidR="008735F2">
        <w:rPr>
          <w:rFonts w:ascii="Arial" w:hAnsi="Arial" w:cs="Arial"/>
          <w:sz w:val="22"/>
          <w:szCs w:val="22"/>
        </w:rPr>
        <w:t>To measure single calcein labe</w:t>
      </w:r>
      <w:r w:rsidR="0061193F">
        <w:rPr>
          <w:rFonts w:ascii="Arial" w:hAnsi="Arial" w:cs="Arial"/>
          <w:sz w:val="22"/>
          <w:szCs w:val="22"/>
        </w:rPr>
        <w:t>ling, a line was drawn on the top of the fluorescent single label. For double calcein labels, the first line was drawn in one direction, whereas the second line in the opposite direction ensuring correct calc</w:t>
      </w:r>
      <w:r w:rsidR="008735F2">
        <w:rPr>
          <w:rFonts w:ascii="Arial" w:hAnsi="Arial" w:cs="Arial"/>
          <w:sz w:val="22"/>
          <w:szCs w:val="22"/>
        </w:rPr>
        <w:t>ulations of double calcein labe</w:t>
      </w:r>
      <w:r w:rsidR="0061193F">
        <w:rPr>
          <w:rFonts w:ascii="Arial" w:hAnsi="Arial" w:cs="Arial"/>
          <w:sz w:val="22"/>
          <w:szCs w:val="22"/>
        </w:rPr>
        <w:t xml:space="preserve">ling as shown in high power </w:t>
      </w:r>
      <w:r w:rsidR="00AA3F0D">
        <w:rPr>
          <w:rFonts w:ascii="Arial" w:hAnsi="Arial" w:cs="Arial"/>
          <w:sz w:val="22"/>
          <w:szCs w:val="22"/>
        </w:rPr>
        <w:t>40x</w:t>
      </w:r>
      <w:r w:rsidR="00E52B12">
        <w:rPr>
          <w:rFonts w:ascii="Arial" w:hAnsi="Arial"/>
          <w:sz w:val="22"/>
          <w:szCs w:val="22"/>
        </w:rPr>
        <w:t xml:space="preserve"> magnified</w:t>
      </w:r>
      <w:r w:rsidR="00AA3F0D">
        <w:rPr>
          <w:rFonts w:ascii="Arial" w:hAnsi="Arial" w:cs="Arial"/>
          <w:sz w:val="22"/>
          <w:szCs w:val="22"/>
        </w:rPr>
        <w:t xml:space="preserve"> </w:t>
      </w:r>
      <w:r w:rsidR="0061193F">
        <w:rPr>
          <w:rFonts w:ascii="Arial" w:hAnsi="Arial" w:cs="Arial"/>
          <w:sz w:val="22"/>
          <w:szCs w:val="22"/>
        </w:rPr>
        <w:t>image</w:t>
      </w:r>
      <w:r w:rsidR="00AA3F0D">
        <w:rPr>
          <w:rFonts w:ascii="Arial" w:hAnsi="Arial" w:cs="Arial"/>
          <w:sz w:val="22"/>
          <w:szCs w:val="22"/>
        </w:rPr>
        <w:t xml:space="preserve"> </w:t>
      </w:r>
      <w:r w:rsidR="0061193F">
        <w:rPr>
          <w:rFonts w:ascii="Arial" w:hAnsi="Arial" w:cs="Arial"/>
          <w:sz w:val="22"/>
          <w:szCs w:val="22"/>
        </w:rPr>
        <w:t xml:space="preserve">(B). </w:t>
      </w:r>
    </w:p>
    <w:p w14:paraId="4C21456B" w14:textId="77777777" w:rsidR="0061193F" w:rsidRPr="000179CC" w:rsidRDefault="0061193F" w:rsidP="00D40E59">
      <w:pPr>
        <w:pStyle w:val="Heading2"/>
      </w:pPr>
      <w:bookmarkStart w:id="59" w:name="_Toc383723871"/>
      <w:r w:rsidRPr="000179CC">
        <w:lastRenderedPageBreak/>
        <w:t>2.3 Mouse cortisol and multiplex metabolic assays</w:t>
      </w:r>
      <w:bookmarkEnd w:id="59"/>
    </w:p>
    <w:p w14:paraId="337103E5" w14:textId="77777777" w:rsidR="0061193F" w:rsidRPr="000179CC" w:rsidRDefault="00312EE8" w:rsidP="000179CC">
      <w:pPr>
        <w:pStyle w:val="Heading3"/>
        <w:spacing w:line="480" w:lineRule="auto"/>
        <w:jc w:val="both"/>
        <w:rPr>
          <w:rFonts w:ascii="Arial" w:hAnsi="Arial" w:cs="Arial"/>
          <w:color w:val="auto"/>
        </w:rPr>
      </w:pPr>
      <w:bookmarkStart w:id="60" w:name="_Toc383723872"/>
      <w:r>
        <w:rPr>
          <w:rFonts w:ascii="Arial" w:hAnsi="Arial" w:cs="Arial"/>
          <w:color w:val="auto"/>
        </w:rPr>
        <w:t>2.3.1 Repeated blood sampling</w:t>
      </w:r>
      <w:r w:rsidR="0061193F" w:rsidRPr="000179CC">
        <w:rPr>
          <w:rFonts w:ascii="Arial" w:hAnsi="Arial" w:cs="Arial"/>
          <w:color w:val="auto"/>
        </w:rPr>
        <w:t xml:space="preserve"> by tail incision</w:t>
      </w:r>
      <w:bookmarkEnd w:id="60"/>
    </w:p>
    <w:p w14:paraId="11AF42DC" w14:textId="77777777" w:rsidR="0061193F" w:rsidRDefault="0061193F" w:rsidP="0061193F">
      <w:pPr>
        <w:spacing w:line="480" w:lineRule="auto"/>
        <w:jc w:val="both"/>
        <w:rPr>
          <w:rFonts w:ascii="Arial" w:hAnsi="Arial" w:cs="Arial"/>
          <w:b/>
        </w:rPr>
      </w:pPr>
      <w:r w:rsidRPr="005317B8">
        <w:rPr>
          <w:rFonts w:ascii="Arial" w:hAnsi="Arial" w:cs="Arial"/>
          <w:b/>
        </w:rPr>
        <w:t>Materials</w:t>
      </w:r>
    </w:p>
    <w:p w14:paraId="0BA49D29" w14:textId="77777777" w:rsidR="0061193F" w:rsidRPr="00B0699F" w:rsidRDefault="0061193F" w:rsidP="0061193F">
      <w:pPr>
        <w:pStyle w:val="ListParagraph"/>
        <w:numPr>
          <w:ilvl w:val="0"/>
          <w:numId w:val="23"/>
        </w:numPr>
        <w:spacing w:line="480" w:lineRule="auto"/>
        <w:jc w:val="both"/>
        <w:rPr>
          <w:rFonts w:ascii="Arial" w:hAnsi="Arial" w:cs="Arial"/>
          <w:b/>
        </w:rPr>
      </w:pPr>
      <w:r>
        <w:rPr>
          <w:rFonts w:ascii="Arial" w:hAnsi="Arial" w:cs="Arial"/>
        </w:rPr>
        <w:t>Blood c</w:t>
      </w:r>
      <w:r w:rsidR="000179CC">
        <w:rPr>
          <w:rFonts w:ascii="Arial" w:hAnsi="Arial" w:cs="Arial"/>
        </w:rPr>
        <w:t>ollection tubes 0.6ml (</w:t>
      </w:r>
      <w:r>
        <w:rPr>
          <w:rFonts w:ascii="Arial" w:hAnsi="Arial" w:cs="Arial"/>
        </w:rPr>
        <w:t>08414301, Thermo Fisher Scientific, Paisley, UK)</w:t>
      </w:r>
    </w:p>
    <w:p w14:paraId="452DD9F4" w14:textId="77777777" w:rsidR="0061193F" w:rsidRPr="00B0699F" w:rsidRDefault="000179CC" w:rsidP="0061193F">
      <w:pPr>
        <w:pStyle w:val="ListParagraph"/>
        <w:numPr>
          <w:ilvl w:val="0"/>
          <w:numId w:val="23"/>
        </w:numPr>
        <w:spacing w:line="480" w:lineRule="auto"/>
        <w:jc w:val="both"/>
        <w:rPr>
          <w:rFonts w:ascii="Arial" w:hAnsi="Arial" w:cs="Arial"/>
          <w:b/>
        </w:rPr>
      </w:pPr>
      <w:r>
        <w:rPr>
          <w:rFonts w:ascii="Arial" w:hAnsi="Arial" w:cs="Arial"/>
        </w:rPr>
        <w:t xml:space="preserve">Animal blood sampling tools; </w:t>
      </w:r>
      <w:r w:rsidR="0061193F">
        <w:rPr>
          <w:rFonts w:ascii="Arial" w:hAnsi="Arial" w:cs="Arial"/>
        </w:rPr>
        <w:t xml:space="preserve">mouse tube restrainer (Harvard Apparatus, Holliston, US), 27G </w:t>
      </w:r>
      <w:r w:rsidR="0061193F" w:rsidRPr="007A7809">
        <w:rPr>
          <w:rFonts w:ascii="Arial" w:hAnsi="Arial" w:cs="Arial"/>
        </w:rPr>
        <w:t xml:space="preserve">sterile </w:t>
      </w:r>
      <w:r w:rsidR="0061193F">
        <w:rPr>
          <w:rFonts w:ascii="Arial" w:hAnsi="Arial" w:cs="Arial"/>
        </w:rPr>
        <w:t>blood lancet</w:t>
      </w:r>
    </w:p>
    <w:p w14:paraId="0B0F37FE" w14:textId="77777777" w:rsidR="0061193F" w:rsidRDefault="0061193F" w:rsidP="0061193F">
      <w:pPr>
        <w:spacing w:line="480" w:lineRule="auto"/>
        <w:jc w:val="both"/>
        <w:rPr>
          <w:rFonts w:ascii="Arial" w:hAnsi="Arial" w:cs="Arial"/>
          <w:b/>
        </w:rPr>
      </w:pPr>
      <w:r>
        <w:rPr>
          <w:rFonts w:ascii="Arial" w:hAnsi="Arial" w:cs="Arial"/>
          <w:b/>
        </w:rPr>
        <w:t>Method</w:t>
      </w:r>
    </w:p>
    <w:p w14:paraId="61E3B049" w14:textId="77777777" w:rsidR="0061193F" w:rsidRDefault="0061193F" w:rsidP="0061193F">
      <w:pPr>
        <w:spacing w:line="480" w:lineRule="auto"/>
        <w:jc w:val="both"/>
        <w:rPr>
          <w:rFonts w:ascii="Arial" w:hAnsi="Arial" w:cs="Arial"/>
        </w:rPr>
      </w:pPr>
      <w:r>
        <w:rPr>
          <w:rFonts w:ascii="Arial" w:hAnsi="Arial" w:cs="Arial"/>
        </w:rPr>
        <w:t>Small blood volumes were</w:t>
      </w:r>
      <w:r w:rsidRPr="008415C8">
        <w:rPr>
          <w:rFonts w:ascii="Arial" w:hAnsi="Arial" w:cs="Arial"/>
        </w:rPr>
        <w:t xml:space="preserve"> </w:t>
      </w:r>
      <w:r>
        <w:rPr>
          <w:rFonts w:ascii="Arial" w:hAnsi="Arial" w:cs="Arial"/>
        </w:rPr>
        <w:t>obtained</w:t>
      </w:r>
      <w:r w:rsidRPr="008415C8">
        <w:rPr>
          <w:rFonts w:ascii="Arial" w:hAnsi="Arial" w:cs="Arial"/>
        </w:rPr>
        <w:t xml:space="preserve"> </w:t>
      </w:r>
      <w:r>
        <w:rPr>
          <w:rFonts w:ascii="Arial" w:hAnsi="Arial" w:cs="Arial"/>
        </w:rPr>
        <w:t xml:space="preserve">from the mice by tail vein sampling technique with </w:t>
      </w:r>
      <w:r w:rsidR="000179CC">
        <w:rPr>
          <w:rFonts w:ascii="Arial" w:hAnsi="Arial" w:cs="Arial"/>
        </w:rPr>
        <w:t>assistance</w:t>
      </w:r>
      <w:r>
        <w:rPr>
          <w:rFonts w:ascii="Arial" w:hAnsi="Arial" w:cs="Arial"/>
        </w:rPr>
        <w:t xml:space="preserve"> from the Biological Services Unit at the Royal Hallamshire Hospital of The University of Sheffield. To avoid hyperthermia and dehydration and reduce stress levels, this technique was performed without warming mice in the warming cabinet prior to taking the blood samples. </w:t>
      </w:r>
    </w:p>
    <w:p w14:paraId="76EED661" w14:textId="77777777" w:rsidR="000179CC" w:rsidRDefault="000179CC" w:rsidP="0061193F">
      <w:pPr>
        <w:spacing w:line="480" w:lineRule="auto"/>
        <w:jc w:val="both"/>
        <w:rPr>
          <w:rFonts w:ascii="Arial" w:hAnsi="Arial" w:cs="Arial"/>
        </w:rPr>
      </w:pPr>
    </w:p>
    <w:p w14:paraId="43A33CBA" w14:textId="77777777" w:rsidR="0061193F" w:rsidRDefault="0061193F" w:rsidP="0061193F">
      <w:pPr>
        <w:spacing w:line="480" w:lineRule="auto"/>
        <w:jc w:val="both"/>
        <w:rPr>
          <w:rFonts w:ascii="Arial" w:hAnsi="Arial" w:cs="Arial"/>
        </w:rPr>
      </w:pPr>
      <w:r>
        <w:rPr>
          <w:rFonts w:ascii="Arial" w:hAnsi="Arial" w:cs="Arial"/>
        </w:rPr>
        <w:t>Mice were gently placed</w:t>
      </w:r>
      <w:r w:rsidR="000179CC">
        <w:rPr>
          <w:rFonts w:ascii="Arial" w:hAnsi="Arial" w:cs="Arial"/>
        </w:rPr>
        <w:t xml:space="preserve"> in the restraint tube (Figure 17</w:t>
      </w:r>
      <w:r>
        <w:rPr>
          <w:rFonts w:ascii="Arial" w:hAnsi="Arial" w:cs="Arial"/>
        </w:rPr>
        <w:t xml:space="preserve">) and lateral tail veins were accessed by making incisions in approximately one-third </w:t>
      </w:r>
      <w:r w:rsidR="0034262E">
        <w:rPr>
          <w:rFonts w:ascii="Arial" w:hAnsi="Arial" w:cs="Arial"/>
        </w:rPr>
        <w:t xml:space="preserve">from the proximal end </w:t>
      </w:r>
      <w:r>
        <w:rPr>
          <w:rFonts w:ascii="Arial" w:hAnsi="Arial" w:cs="Arial"/>
        </w:rPr>
        <w:t xml:space="preserve">along the length of the tails </w:t>
      </w:r>
      <w:r w:rsidR="00A341DB">
        <w:rPr>
          <w:rFonts w:ascii="Arial" w:hAnsi="Arial" w:cs="Arial"/>
        </w:rPr>
        <w:fldChar w:fldCharType="begin">
          <w:fldData xml:space="preserve">PEVuZE5vdGU+PENpdGU+PEF1dGhvcj5Ew7xyc2NobGFnPC9BdXRob3I+PFllYXI+MTk5NjwvWWVh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</w:fldData>
        </w:fldChar>
      </w:r>
      <w:r w:rsidR="00651EFF">
        <w:rPr>
          <w:rFonts w:ascii="Arial" w:hAnsi="Arial" w:cs="Arial"/>
        </w:rPr>
        <w:instrText xml:space="preserve"> ADDIN EN.CITE </w:instrText>
      </w:r>
      <w:r w:rsidR="00651EFF">
        <w:rPr>
          <w:rFonts w:ascii="Arial" w:hAnsi="Arial" w:cs="Arial"/>
        </w:rPr>
        <w:fldChar w:fldCharType="begin">
          <w:fldData xml:space="preserve">PEVuZE5vdGU+PENpdGU+PEF1dGhvcj5Ew7xyc2NobGFnPC9BdXRob3I+PFllYXI+MTk5NjwvWWVh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</w:fldData>
        </w:fldChar>
      </w:r>
      <w:r w:rsidR="00651EFF">
        <w:rPr>
          <w:rFonts w:ascii="Arial" w:hAnsi="Arial" w:cs="Arial"/>
        </w:rPr>
        <w:instrText xml:space="preserve"> ADDIN EN.CITE.DATA </w:instrText>
      </w:r>
      <w:r w:rsidR="00651EFF">
        <w:rPr>
          <w:rFonts w:ascii="Arial" w:hAnsi="Arial" w:cs="Arial"/>
        </w:rPr>
      </w:r>
      <w:r w:rsidR="00651EFF">
        <w:rPr>
          <w:rFonts w:ascii="Arial" w:hAnsi="Arial" w:cs="Arial"/>
        </w:rPr>
        <w:fldChar w:fldCharType="end"/>
      </w:r>
      <w:r w:rsidR="00A341DB">
        <w:rPr>
          <w:rFonts w:ascii="Arial" w:hAnsi="Arial" w:cs="Arial"/>
        </w:rPr>
      </w:r>
      <w:r w:rsidR="00A341DB">
        <w:rPr>
          <w:rFonts w:ascii="Arial" w:hAnsi="Arial" w:cs="Arial"/>
        </w:rPr>
        <w:fldChar w:fldCharType="separate"/>
      </w:r>
      <w:r w:rsidR="00B460A0">
        <w:rPr>
          <w:rFonts w:ascii="Arial" w:hAnsi="Arial" w:cs="Arial"/>
          <w:noProof/>
        </w:rPr>
        <w:t>(Dürschlag et al., 1996, Sadler and Bailey, 2013)</w:t>
      </w:r>
      <w:r w:rsidR="00A341DB">
        <w:rPr>
          <w:rFonts w:ascii="Arial" w:hAnsi="Arial" w:cs="Arial"/>
        </w:rPr>
        <w:fldChar w:fldCharType="end"/>
      </w:r>
      <w:r w:rsidR="002D3BB2">
        <w:rPr>
          <w:rFonts w:ascii="Arial" w:hAnsi="Arial" w:cs="Arial"/>
        </w:rPr>
        <w:t>.</w:t>
      </w:r>
      <w:r>
        <w:rPr>
          <w:rFonts w:ascii="Arial" w:hAnsi="Arial" w:cs="Arial"/>
        </w:rPr>
        <w:t xml:space="preserve"> Repeated blood micro samples (typically </w:t>
      </w:r>
      <w:r w:rsidRPr="00CB104B">
        <w:rPr>
          <w:rFonts w:ascii="Arial" w:hAnsi="Arial" w:cs="Arial"/>
        </w:rPr>
        <w:t>≤</w:t>
      </w:r>
      <w:r>
        <w:rPr>
          <w:rFonts w:ascii="Arial" w:hAnsi="Arial" w:cs="Arial"/>
        </w:rPr>
        <w:t>50</w:t>
      </w:r>
      <w:r w:rsidRPr="00F406A8">
        <w:rPr>
          <w:rFonts w:ascii="Arial" w:hAnsi="Arial" w:cs="Arial"/>
          <w:color w:val="000000" w:themeColor="text1"/>
        </w:rPr>
        <w:sym w:font="Symbol" w:char="F06D"/>
      </w:r>
      <w:r>
        <w:rPr>
          <w:rFonts w:ascii="Arial" w:hAnsi="Arial" w:cs="Arial"/>
          <w:color w:val="000000" w:themeColor="text1"/>
        </w:rPr>
        <w:t>l)</w:t>
      </w:r>
      <w:r>
        <w:rPr>
          <w:rFonts w:ascii="Arial" w:hAnsi="Arial" w:cs="Arial"/>
        </w:rPr>
        <w:t xml:space="preserve"> were collected from th</w:t>
      </w:r>
      <w:r w:rsidR="00D37C20">
        <w:rPr>
          <w:rFonts w:ascii="Arial" w:hAnsi="Arial" w:cs="Arial"/>
        </w:rPr>
        <w:t>e lateral mouse-tail veins 3</w:t>
      </w:r>
      <w:r>
        <w:rPr>
          <w:rFonts w:ascii="Arial" w:hAnsi="Arial" w:cs="Arial"/>
        </w:rPr>
        <w:t xml:space="preserve"> t</w:t>
      </w:r>
      <w:r w:rsidR="00845092">
        <w:rPr>
          <w:rFonts w:ascii="Arial" w:hAnsi="Arial" w:cs="Arial"/>
        </w:rPr>
        <w:t xml:space="preserve">imes in any one 24-hour period </w:t>
      </w:r>
      <w:r w:rsidR="00845092">
        <w:rPr>
          <w:rFonts w:ascii="Arial" w:hAnsi="Arial" w:cs="Arial"/>
        </w:rPr>
        <w:fldChar w:fldCharType="begin"/>
      </w:r>
      <w:r w:rsidR="0000415D">
        <w:rPr>
          <w:rFonts w:ascii="Arial" w:hAnsi="Arial" w:cs="Arial"/>
        </w:rPr>
        <w:instrText xml:space="preserve"> ADDIN EN.CITE &lt;EndNote&gt;&lt;Cite&gt;&lt;Author&gt;NC3Rs&lt;/Author&gt;&lt;Year&gt;2018&lt;/Year&gt;&lt;RecNum&gt;403&lt;/RecNum&gt;&lt;DisplayText&gt;(NC3Rs, 2018)&lt;/DisplayText&gt;&lt;record&gt;&lt;rec-number&gt;403&lt;/rec-number&gt;&lt;foreign-keys&gt;&lt;key app="EN" db-id="ae9rewfrpdttrheppfxxv0p4950wpd25r09x" timestamp="1520658302"&gt;403&lt;/key&gt;&lt;/foreign-keys&gt;&lt;ref-type name="Web Page"&gt;12&lt;/ref-type&gt;&lt;contributors&gt;&lt;authors&gt;&lt;author&gt;NC3Rs&lt;/author&gt;&lt;/authors&gt;&lt;/contributors&gt;&lt;titles&gt;&lt;/titles&gt;&lt;volume&gt;2018&lt;/volume&gt;&lt;number&gt;19 March&lt;/number&gt;&lt;dates&gt;&lt;year&gt;2018&lt;/year&gt;&lt;/dates&gt;&lt;urls&gt;&lt;related-urls&gt;&lt;url&gt;https://www.nc3rs.org.uk&lt;/url&gt;&lt;/related-urls&gt;&lt;/urls&gt;&lt;/record&gt;&lt;/Cite&gt;&lt;/EndNote&gt;</w:instrText>
      </w:r>
      <w:r w:rsidR="00845092">
        <w:rPr>
          <w:rFonts w:ascii="Arial" w:hAnsi="Arial" w:cs="Arial"/>
        </w:rPr>
        <w:fldChar w:fldCharType="separate"/>
      </w:r>
      <w:r w:rsidR="00845092">
        <w:rPr>
          <w:rFonts w:ascii="Arial" w:hAnsi="Arial" w:cs="Arial"/>
          <w:noProof/>
        </w:rPr>
        <w:t>(NC3Rs, 2018)</w:t>
      </w:r>
      <w:r w:rsidR="00845092">
        <w:rPr>
          <w:rFonts w:ascii="Arial" w:hAnsi="Arial" w:cs="Arial"/>
        </w:rPr>
        <w:fldChar w:fldCharType="end"/>
      </w:r>
      <w:r w:rsidR="00845092">
        <w:rPr>
          <w:rFonts w:ascii="Arial" w:hAnsi="Arial" w:cs="Arial"/>
        </w:rPr>
        <w:t xml:space="preserve">. </w:t>
      </w:r>
    </w:p>
    <w:p w14:paraId="685D7E37" w14:textId="77777777" w:rsidR="0061193F" w:rsidRDefault="0061193F" w:rsidP="0061193F">
      <w:pPr>
        <w:spacing w:line="480" w:lineRule="auto"/>
        <w:jc w:val="both"/>
        <w:rPr>
          <w:rFonts w:ascii="Arial" w:hAnsi="Arial" w:cs="Arial"/>
        </w:rPr>
      </w:pPr>
    </w:p>
    <w:p w14:paraId="65BFEB3B" w14:textId="77777777" w:rsidR="0061193F" w:rsidRDefault="0061193F" w:rsidP="0061193F">
      <w:pPr>
        <w:spacing w:line="480" w:lineRule="auto"/>
        <w:jc w:val="both"/>
        <w:rPr>
          <w:rFonts w:ascii="Arial" w:hAnsi="Arial" w:cs="Arial"/>
          <w:noProof/>
          <w:lang w:val="en-US"/>
        </w:rPr>
      </w:pPr>
    </w:p>
    <w:p w14:paraId="0EB01BD1" w14:textId="77777777" w:rsidR="0034262E" w:rsidRDefault="0034262E" w:rsidP="0061193F">
      <w:pPr>
        <w:spacing w:line="480" w:lineRule="auto"/>
        <w:jc w:val="both"/>
        <w:rPr>
          <w:rFonts w:ascii="Arial" w:hAnsi="Arial" w:cs="Arial"/>
          <w:noProof/>
          <w:lang w:val="en-US"/>
        </w:rPr>
      </w:pPr>
    </w:p>
    <w:p w14:paraId="1527CB30" w14:textId="77777777" w:rsidR="0034262E" w:rsidRDefault="0034262E" w:rsidP="0061193F">
      <w:pPr>
        <w:spacing w:line="480" w:lineRule="auto"/>
        <w:jc w:val="both"/>
        <w:rPr>
          <w:rFonts w:ascii="Arial" w:hAnsi="Arial" w:cs="Arial"/>
          <w:noProof/>
          <w:lang w:val="en-US"/>
        </w:rPr>
      </w:pPr>
    </w:p>
    <w:p w14:paraId="32AAB4FF" w14:textId="77777777" w:rsidR="0034262E" w:rsidRDefault="0034262E" w:rsidP="0061193F">
      <w:pPr>
        <w:spacing w:line="480" w:lineRule="auto"/>
        <w:jc w:val="both"/>
        <w:rPr>
          <w:rFonts w:ascii="Arial" w:hAnsi="Arial" w:cs="Arial"/>
        </w:rPr>
      </w:pPr>
    </w:p>
    <w:p w14:paraId="59EE7C31" w14:textId="77777777" w:rsidR="0034262E" w:rsidRDefault="0034262E" w:rsidP="0061193F">
      <w:pPr>
        <w:spacing w:line="480" w:lineRule="auto"/>
        <w:jc w:val="both"/>
        <w:rPr>
          <w:rFonts w:ascii="Arial" w:hAnsi="Arial" w:cs="Arial"/>
        </w:rPr>
      </w:pPr>
    </w:p>
    <w:p w14:paraId="2D1F50AC" w14:textId="77777777" w:rsidR="0061193F" w:rsidRDefault="0061193F" w:rsidP="0061193F">
      <w:pPr>
        <w:spacing w:line="480" w:lineRule="auto"/>
        <w:jc w:val="both"/>
        <w:rPr>
          <w:rFonts w:ascii="Arial" w:hAnsi="Arial" w:cs="Arial"/>
        </w:rPr>
      </w:pPr>
    </w:p>
    <w:p w14:paraId="2566AD67" w14:textId="77777777" w:rsidR="0034262E" w:rsidRDefault="00C85B81" w:rsidP="001B21AC">
      <w:pPr>
        <w:keepNext/>
        <w:tabs>
          <w:tab w:val="left" w:pos="1120"/>
          <w:tab w:val="left" w:pos="2177"/>
        </w:tabs>
        <w:spacing w:line="480" w:lineRule="auto"/>
        <w:jc w:val="both"/>
      </w:pPr>
      <w:r>
        <w:rPr>
          <w:rFonts w:ascii="Arial" w:eastAsiaTheme="minorHAnsi" w:hAnsi="Arial" w:cs="Arial"/>
          <w:b/>
          <w:bCs/>
          <w:color w:val="1F497D" w:themeColor="text2"/>
        </w:rPr>
        <w:lastRenderedPageBreak/>
        <w:tab/>
        <w:t xml:space="preserve">        </w:t>
      </w:r>
      <w:r w:rsidR="001B21AC">
        <w:rPr>
          <w:rFonts w:ascii="Arial" w:eastAsiaTheme="minorHAnsi" w:hAnsi="Arial" w:cs="Arial"/>
          <w:b/>
          <w:bCs/>
          <w:color w:val="1F497D" w:themeColor="text2"/>
        </w:rPr>
        <w:t xml:space="preserve"> </w:t>
      </w:r>
      <w:r w:rsidR="004C35E8">
        <w:rPr>
          <w:rFonts w:ascii="Arial" w:eastAsiaTheme="minorHAnsi" w:hAnsi="Arial" w:cs="Arial"/>
          <w:b/>
          <w:bCs/>
          <w:color w:val="1F497D" w:themeColor="text2"/>
        </w:rPr>
        <w:t xml:space="preserve"> </w:t>
      </w:r>
      <w:r w:rsidR="001B21AC">
        <w:rPr>
          <w:rFonts w:ascii="Arial" w:eastAsiaTheme="minorHAnsi" w:hAnsi="Arial" w:cs="Arial"/>
          <w:b/>
          <w:bCs/>
          <w:color w:val="1F497D" w:themeColor="text2"/>
        </w:rPr>
        <w:t xml:space="preserve"> </w:t>
      </w:r>
      <w:r w:rsidR="00AA3707">
        <w:rPr>
          <w:rFonts w:ascii="Arial" w:eastAsiaTheme="minorHAnsi" w:hAnsi="Arial" w:cs="Arial"/>
          <w:b/>
          <w:bCs/>
          <w:color w:val="1F497D" w:themeColor="text2"/>
        </w:rPr>
        <w:t xml:space="preserve">   </w:t>
      </w:r>
      <w:r>
        <w:rPr>
          <w:rFonts w:ascii="Arial" w:eastAsiaTheme="minorHAnsi" w:hAnsi="Arial" w:cs="Arial"/>
          <w:b/>
          <w:bCs/>
          <w:color w:val="1F497D" w:themeColor="text2"/>
        </w:rPr>
        <w:t xml:space="preserve">  </w:t>
      </w:r>
      <w:r w:rsidR="0034262E">
        <w:rPr>
          <w:rFonts w:ascii="Arial" w:eastAsiaTheme="minorHAnsi" w:hAnsi="Arial" w:cs="Arial"/>
          <w:b/>
          <w:bCs/>
          <w:noProof/>
          <w:color w:val="1F497D" w:themeColor="text2"/>
          <w:lang w:val="en-US"/>
        </w:rPr>
        <w:drawing>
          <wp:inline distT="0" distB="0" distL="0" distR="0" wp14:anchorId="0F3D41C3" wp14:editId="3C108127">
            <wp:extent cx="2884278" cy="2389239"/>
            <wp:effectExtent l="203200" t="203200" r="214630" b="201930"/>
            <wp:docPr id="97" name="Picture 97" descr="JASMINE:Methods:restrainer 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5" descr="JASMINE:Methods:restrainer mouse.jp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85391" cy="2390161"/>
                    </a:xfrm>
                    <a:prstGeom prst="rect">
                      <a:avLst/>
                    </a:prstGeom>
                    <a:ln>
                      <a:noFill/>
                    </a:ln>
                    <a:effectLst>
                      <a:outerShdw blurRad="190500" algn="tl" rotWithShape="0">
                        <a:srgbClr val="000000">
                          <a:alpha val="70000"/>
                        </a:srgbClr>
                      </a:outerShdw>
                    </a:effectLst>
                  </pic:spPr>
                </pic:pic>
              </a:graphicData>
            </a:graphic>
          </wp:inline>
        </w:drawing>
      </w:r>
    </w:p>
    <w:p w14:paraId="6F1716DE" w14:textId="77777777" w:rsidR="0061193F" w:rsidRPr="0034262E" w:rsidRDefault="0034262E" w:rsidP="0034262E">
      <w:pPr>
        <w:pStyle w:val="Caption"/>
        <w:spacing w:line="360" w:lineRule="auto"/>
        <w:jc w:val="both"/>
        <w:rPr>
          <w:rFonts w:ascii="Arial" w:eastAsiaTheme="minorHAnsi" w:hAnsi="Arial" w:cs="Arial"/>
          <w:bCs w:val="0"/>
          <w:color w:val="244061" w:themeColor="accent1" w:themeShade="80"/>
          <w:sz w:val="24"/>
          <w:szCs w:val="24"/>
        </w:rPr>
      </w:pPr>
      <w:bookmarkStart w:id="61" w:name="_Toc383544608"/>
      <w:r w:rsidRPr="0034262E">
        <w:rPr>
          <w:rFonts w:ascii="Arial" w:hAnsi="Arial" w:cs="Arial"/>
          <w:color w:val="244061" w:themeColor="accent1" w:themeShade="80"/>
          <w:sz w:val="24"/>
          <w:szCs w:val="24"/>
        </w:rPr>
        <w:t xml:space="preserve">Figure </w:t>
      </w:r>
      <w:r w:rsidRPr="0034262E">
        <w:rPr>
          <w:rFonts w:ascii="Arial" w:hAnsi="Arial" w:cs="Arial"/>
          <w:color w:val="244061" w:themeColor="accent1" w:themeShade="80"/>
          <w:sz w:val="24"/>
          <w:szCs w:val="24"/>
        </w:rPr>
        <w:fldChar w:fldCharType="begin"/>
      </w:r>
      <w:r w:rsidRPr="0034262E">
        <w:rPr>
          <w:rFonts w:ascii="Arial" w:hAnsi="Arial" w:cs="Arial"/>
          <w:color w:val="244061" w:themeColor="accent1" w:themeShade="80"/>
          <w:sz w:val="24"/>
          <w:szCs w:val="24"/>
        </w:rPr>
        <w:instrText xml:space="preserve"> SEQ Figure \* ARABIC </w:instrText>
      </w:r>
      <w:r w:rsidRPr="0034262E">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17</w:t>
      </w:r>
      <w:r w:rsidRPr="0034262E">
        <w:rPr>
          <w:rFonts w:ascii="Arial" w:hAnsi="Arial" w:cs="Arial"/>
          <w:color w:val="244061" w:themeColor="accent1" w:themeShade="80"/>
          <w:sz w:val="24"/>
          <w:szCs w:val="24"/>
        </w:rPr>
        <w:fldChar w:fldCharType="end"/>
      </w:r>
      <w:r w:rsidRPr="0034262E">
        <w:rPr>
          <w:rFonts w:ascii="Arial" w:hAnsi="Arial" w:cs="Arial"/>
          <w:color w:val="244061" w:themeColor="accent1" w:themeShade="80"/>
          <w:sz w:val="24"/>
          <w:szCs w:val="24"/>
        </w:rPr>
        <w:t xml:space="preserve"> </w:t>
      </w:r>
      <w:r w:rsidR="0061193F" w:rsidRPr="0034262E">
        <w:rPr>
          <w:rFonts w:ascii="Arial" w:eastAsiaTheme="minorHAnsi" w:hAnsi="Arial" w:cs="Arial"/>
          <w:bCs w:val="0"/>
          <w:color w:val="244061" w:themeColor="accent1" w:themeShade="80"/>
          <w:sz w:val="24"/>
          <w:szCs w:val="24"/>
        </w:rPr>
        <w:t>Rodent tube restr</w:t>
      </w:r>
      <w:r w:rsidR="001B21AC">
        <w:rPr>
          <w:rFonts w:ascii="Arial" w:eastAsiaTheme="minorHAnsi" w:hAnsi="Arial" w:cs="Arial"/>
          <w:bCs w:val="0"/>
          <w:color w:val="244061" w:themeColor="accent1" w:themeShade="80"/>
          <w:sz w:val="24"/>
          <w:szCs w:val="24"/>
        </w:rPr>
        <w:t>ainer</w:t>
      </w:r>
      <w:r w:rsidR="003328B9">
        <w:rPr>
          <w:rFonts w:ascii="Arial" w:eastAsiaTheme="minorHAnsi" w:hAnsi="Arial" w:cs="Arial"/>
          <w:bCs w:val="0"/>
          <w:color w:val="244061" w:themeColor="accent1" w:themeShade="80"/>
          <w:sz w:val="24"/>
          <w:szCs w:val="24"/>
        </w:rPr>
        <w:t xml:space="preserve"> used to access mouse tail </w:t>
      </w:r>
      <w:proofErr w:type="gramStart"/>
      <w:r w:rsidR="003328B9">
        <w:rPr>
          <w:rFonts w:ascii="Arial" w:eastAsiaTheme="minorHAnsi" w:hAnsi="Arial" w:cs="Arial"/>
          <w:bCs w:val="0"/>
          <w:color w:val="244061" w:themeColor="accent1" w:themeShade="80"/>
          <w:sz w:val="24"/>
          <w:szCs w:val="24"/>
        </w:rPr>
        <w:t>vein</w:t>
      </w:r>
      <w:proofErr w:type="gramEnd"/>
      <w:r w:rsidR="0061193F" w:rsidRPr="0034262E">
        <w:rPr>
          <w:rFonts w:ascii="Arial" w:eastAsiaTheme="minorHAnsi" w:hAnsi="Arial" w:cs="Arial"/>
          <w:bCs w:val="0"/>
          <w:color w:val="244061" w:themeColor="accent1" w:themeShade="80"/>
          <w:sz w:val="24"/>
          <w:szCs w:val="24"/>
        </w:rPr>
        <w:t xml:space="preserve"> for blood sampling</w:t>
      </w:r>
      <w:bookmarkEnd w:id="61"/>
    </w:p>
    <w:p w14:paraId="63D5234E" w14:textId="77777777" w:rsidR="0061193F" w:rsidRDefault="0061193F" w:rsidP="0061193F">
      <w:pPr>
        <w:spacing w:line="480" w:lineRule="auto"/>
        <w:jc w:val="both"/>
        <w:rPr>
          <w:rFonts w:ascii="Arial" w:hAnsi="Arial" w:cs="Arial"/>
        </w:rPr>
      </w:pPr>
    </w:p>
    <w:p w14:paraId="02B84D78" w14:textId="77777777" w:rsidR="0061193F" w:rsidRPr="00DB0852" w:rsidRDefault="0061193F" w:rsidP="00646FE2">
      <w:pPr>
        <w:pStyle w:val="Heading3"/>
        <w:spacing w:line="480" w:lineRule="auto"/>
        <w:jc w:val="both"/>
        <w:rPr>
          <w:rFonts w:ascii="Arial" w:hAnsi="Arial" w:cs="Arial"/>
          <w:noProof/>
          <w:color w:val="auto"/>
        </w:rPr>
      </w:pPr>
      <w:bookmarkStart w:id="62" w:name="_Toc383723873"/>
      <w:r w:rsidRPr="00DB0852">
        <w:rPr>
          <w:rFonts w:ascii="Arial" w:hAnsi="Arial" w:cs="Arial"/>
          <w:noProof/>
          <w:color w:val="auto"/>
        </w:rPr>
        <w:t>2.3.2 Serum sample preparation</w:t>
      </w:r>
      <w:bookmarkEnd w:id="62"/>
    </w:p>
    <w:p w14:paraId="738097CF" w14:textId="77777777" w:rsidR="0061193F" w:rsidRDefault="0061193F" w:rsidP="0061193F">
      <w:pPr>
        <w:spacing w:line="480" w:lineRule="auto"/>
        <w:jc w:val="both"/>
        <w:rPr>
          <w:rFonts w:ascii="Arial" w:hAnsi="Arial" w:cs="Arial"/>
          <w:b/>
        </w:rPr>
      </w:pPr>
      <w:r>
        <w:rPr>
          <w:rFonts w:ascii="Arial" w:hAnsi="Arial" w:cs="Arial"/>
          <w:b/>
        </w:rPr>
        <w:t xml:space="preserve">Materials </w:t>
      </w:r>
    </w:p>
    <w:p w14:paraId="274CC847" w14:textId="77777777" w:rsidR="0061193F" w:rsidRPr="0097794A" w:rsidRDefault="0061193F" w:rsidP="0061193F">
      <w:pPr>
        <w:pStyle w:val="ListParagraph"/>
        <w:numPr>
          <w:ilvl w:val="0"/>
          <w:numId w:val="23"/>
        </w:numPr>
        <w:spacing w:line="480" w:lineRule="auto"/>
        <w:jc w:val="both"/>
        <w:rPr>
          <w:rFonts w:ascii="Arial" w:hAnsi="Arial" w:cs="Arial"/>
          <w:b/>
        </w:rPr>
      </w:pPr>
      <w:r>
        <w:rPr>
          <w:rFonts w:ascii="Arial" w:hAnsi="Arial" w:cs="Arial"/>
        </w:rPr>
        <w:t>Polypropylene mi</w:t>
      </w:r>
      <w:r w:rsidR="002D3BB2">
        <w:rPr>
          <w:rFonts w:ascii="Arial" w:hAnsi="Arial" w:cs="Arial"/>
        </w:rPr>
        <w:t>crocentrifuge tubes 0.5ml (</w:t>
      </w:r>
      <w:r>
        <w:rPr>
          <w:rFonts w:ascii="Arial" w:hAnsi="Arial" w:cs="Arial"/>
        </w:rPr>
        <w:t>FB74023, Fisher Scientific UK Ltd, Loughborough, UK)</w:t>
      </w:r>
    </w:p>
    <w:p w14:paraId="47AC21BC" w14:textId="77777777" w:rsidR="0061193F" w:rsidRDefault="0061193F" w:rsidP="0061193F">
      <w:pPr>
        <w:spacing w:line="480" w:lineRule="auto"/>
        <w:jc w:val="both"/>
        <w:rPr>
          <w:rFonts w:ascii="Arial" w:hAnsi="Arial" w:cs="Arial"/>
          <w:b/>
        </w:rPr>
      </w:pPr>
      <w:r>
        <w:rPr>
          <w:rFonts w:ascii="Arial" w:hAnsi="Arial" w:cs="Arial"/>
          <w:b/>
        </w:rPr>
        <w:t>Equipment</w:t>
      </w:r>
    </w:p>
    <w:p w14:paraId="31971040" w14:textId="77777777" w:rsidR="0061193F" w:rsidRPr="00482940" w:rsidRDefault="002D3BB2" w:rsidP="0061193F">
      <w:pPr>
        <w:pStyle w:val="ListParagraph"/>
        <w:numPr>
          <w:ilvl w:val="0"/>
          <w:numId w:val="24"/>
        </w:numPr>
        <w:spacing w:line="480" w:lineRule="auto"/>
        <w:jc w:val="both"/>
        <w:rPr>
          <w:rFonts w:ascii="Arial" w:hAnsi="Arial" w:cs="Arial"/>
          <w:b/>
        </w:rPr>
      </w:pPr>
      <w:r>
        <w:rPr>
          <w:rFonts w:ascii="Arial" w:hAnsi="Arial" w:cs="Arial"/>
        </w:rPr>
        <w:t xml:space="preserve">Eppendorf </w:t>
      </w:r>
      <w:r w:rsidR="0061193F" w:rsidRPr="00482940">
        <w:rPr>
          <w:rFonts w:ascii="Arial" w:hAnsi="Arial" w:cs="Arial"/>
        </w:rPr>
        <w:t xml:space="preserve">5804R </w:t>
      </w:r>
      <w:r w:rsidR="0061193F">
        <w:rPr>
          <w:rFonts w:ascii="Arial" w:hAnsi="Arial" w:cs="Arial"/>
        </w:rPr>
        <w:t>c</w:t>
      </w:r>
      <w:r w:rsidR="0061193F" w:rsidRPr="00482940">
        <w:rPr>
          <w:rFonts w:ascii="Arial" w:hAnsi="Arial" w:cs="Arial"/>
        </w:rPr>
        <w:t xml:space="preserve">entrifuge (Eppendorf </w:t>
      </w:r>
      <w:r w:rsidR="0061193F">
        <w:rPr>
          <w:rFonts w:ascii="Arial" w:hAnsi="Arial" w:cs="Arial"/>
        </w:rPr>
        <w:t>AG, Hamburg</w:t>
      </w:r>
      <w:r w:rsidR="0061193F" w:rsidRPr="00482940">
        <w:rPr>
          <w:rFonts w:ascii="Arial" w:hAnsi="Arial" w:cs="Arial"/>
        </w:rPr>
        <w:t>)</w:t>
      </w:r>
    </w:p>
    <w:p w14:paraId="0B5730C2" w14:textId="77777777" w:rsidR="0061193F" w:rsidRPr="00506481" w:rsidRDefault="0061193F" w:rsidP="0061193F">
      <w:pPr>
        <w:spacing w:line="480" w:lineRule="auto"/>
        <w:jc w:val="both"/>
        <w:rPr>
          <w:rFonts w:ascii="Arial" w:hAnsi="Arial" w:cs="Arial"/>
          <w:b/>
        </w:rPr>
      </w:pPr>
      <w:r>
        <w:rPr>
          <w:rFonts w:ascii="Arial" w:hAnsi="Arial" w:cs="Arial"/>
          <w:b/>
        </w:rPr>
        <w:t>Method</w:t>
      </w:r>
    </w:p>
    <w:p w14:paraId="2AF63D39" w14:textId="77777777" w:rsidR="00AC6DEA" w:rsidRDefault="0061193F" w:rsidP="0061193F">
      <w:pPr>
        <w:spacing w:line="480" w:lineRule="auto"/>
        <w:jc w:val="both"/>
        <w:rPr>
          <w:rFonts w:ascii="Arial" w:hAnsi="Arial" w:cs="Arial"/>
        </w:rPr>
      </w:pPr>
      <w:r>
        <w:rPr>
          <w:rFonts w:ascii="Arial" w:hAnsi="Arial" w:cs="Arial"/>
        </w:rPr>
        <w:t>The collected blood samples were kept in the collection tubes at room temperature for 35-40min allowing blood to clot before centrifugation. To separate the serum, the blood s</w:t>
      </w:r>
      <w:r w:rsidR="00AC6DEA">
        <w:rPr>
          <w:rFonts w:ascii="Arial" w:hAnsi="Arial" w:cs="Arial"/>
        </w:rPr>
        <w:t xml:space="preserve">amples were centrifuged at </w:t>
      </w:r>
      <w:proofErr w:type="gramStart"/>
      <w:r w:rsidR="00AC6DEA">
        <w:rPr>
          <w:rFonts w:ascii="Arial" w:hAnsi="Arial" w:cs="Arial"/>
        </w:rPr>
        <w:t>1000</w:t>
      </w:r>
      <w:r w:rsidR="002B0A39">
        <w:rPr>
          <w:rFonts w:ascii="Arial" w:hAnsi="Arial" w:cs="Arial"/>
        </w:rPr>
        <w:t xml:space="preserve"> </w:t>
      </w:r>
      <w:r w:rsidR="00AC6DEA">
        <w:rPr>
          <w:rFonts w:ascii="Arial" w:hAnsi="Arial" w:cs="Arial"/>
        </w:rPr>
        <w:t>x</w:t>
      </w:r>
      <w:proofErr w:type="gramEnd"/>
      <w:r w:rsidR="002B0A39">
        <w:rPr>
          <w:rFonts w:ascii="Arial" w:hAnsi="Arial" w:cs="Arial"/>
        </w:rPr>
        <w:t xml:space="preserve"> g</w:t>
      </w:r>
      <w:r>
        <w:rPr>
          <w:rFonts w:ascii="Arial" w:hAnsi="Arial" w:cs="Arial"/>
        </w:rPr>
        <w:t xml:space="preserve"> for 15min at 4</w:t>
      </w:r>
      <w:r>
        <w:rPr>
          <w:rFonts w:ascii="Arial" w:hAnsi="Arial" w:cs="Arial"/>
          <w:vertAlign w:val="superscript"/>
        </w:rPr>
        <w:t>0</w:t>
      </w:r>
      <w:r>
        <w:rPr>
          <w:rFonts w:ascii="Arial" w:hAnsi="Arial" w:cs="Arial"/>
        </w:rPr>
        <w:t>C and the serum samples were transferred to clean polypropylene microcentrifuge tubes. Samples w</w:t>
      </w:r>
      <w:r w:rsidR="008046F9">
        <w:rPr>
          <w:rFonts w:ascii="Arial" w:hAnsi="Arial" w:cs="Arial"/>
        </w:rPr>
        <w:t xml:space="preserve">ere centrifuged again at 10 </w:t>
      </w:r>
      <w:r w:rsidR="00AC6DEA">
        <w:rPr>
          <w:rFonts w:ascii="Arial" w:hAnsi="Arial" w:cs="Arial"/>
        </w:rPr>
        <w:t>000</w:t>
      </w:r>
      <w:r w:rsidR="002B0A39">
        <w:rPr>
          <w:rFonts w:ascii="Arial" w:hAnsi="Arial" w:cs="Arial"/>
        </w:rPr>
        <w:t xml:space="preserve"> </w:t>
      </w:r>
      <w:r w:rsidR="00AC6DEA">
        <w:rPr>
          <w:rFonts w:ascii="Arial" w:hAnsi="Arial" w:cs="Arial"/>
        </w:rPr>
        <w:t>x</w:t>
      </w:r>
      <w:r w:rsidR="002B0A39">
        <w:rPr>
          <w:rFonts w:ascii="Arial" w:hAnsi="Arial" w:cs="Arial"/>
        </w:rPr>
        <w:t xml:space="preserve"> g</w:t>
      </w:r>
      <w:r>
        <w:rPr>
          <w:rFonts w:ascii="Arial" w:hAnsi="Arial" w:cs="Arial"/>
        </w:rPr>
        <w:t xml:space="preserve"> for 10min at 4</w:t>
      </w:r>
      <w:r>
        <w:rPr>
          <w:rFonts w:ascii="Arial" w:hAnsi="Arial" w:cs="Arial"/>
          <w:vertAlign w:val="superscript"/>
        </w:rPr>
        <w:t>0</w:t>
      </w:r>
      <w:r>
        <w:rPr>
          <w:rFonts w:ascii="Arial" w:hAnsi="Arial" w:cs="Arial"/>
        </w:rPr>
        <w:t xml:space="preserve">C to completely remove platelets and precipitates. To avoid repeated freeze and thaw cycles, the serum specimens were stored in </w:t>
      </w:r>
      <w:r w:rsidR="00AC6DEA">
        <w:rPr>
          <w:rFonts w:ascii="Arial" w:hAnsi="Arial" w:cs="Arial"/>
        </w:rPr>
        <w:t>labelled</w:t>
      </w:r>
      <w:r>
        <w:rPr>
          <w:rFonts w:ascii="Arial" w:hAnsi="Arial" w:cs="Arial"/>
        </w:rPr>
        <w:t xml:space="preserve"> tubes at </w:t>
      </w:r>
    </w:p>
    <w:p w14:paraId="439776C5" w14:textId="77777777" w:rsidR="0061193F" w:rsidRPr="00BE4FC6" w:rsidRDefault="0061193F" w:rsidP="0061193F">
      <w:pPr>
        <w:spacing w:line="480" w:lineRule="auto"/>
        <w:jc w:val="both"/>
        <w:rPr>
          <w:rFonts w:ascii="Arial" w:hAnsi="Arial" w:cs="Arial"/>
        </w:rPr>
      </w:pPr>
      <w:proofErr w:type="gramStart"/>
      <w:r>
        <w:rPr>
          <w:rFonts w:ascii="Arial" w:hAnsi="Arial" w:cs="Arial"/>
        </w:rPr>
        <w:t>-70</w:t>
      </w:r>
      <w:r>
        <w:rPr>
          <w:rFonts w:ascii="Arial" w:hAnsi="Arial" w:cs="Arial"/>
          <w:vertAlign w:val="superscript"/>
        </w:rPr>
        <w:t>0</w:t>
      </w:r>
      <w:r w:rsidR="00E9205E">
        <w:rPr>
          <w:rFonts w:ascii="Arial" w:hAnsi="Arial" w:cs="Arial"/>
        </w:rPr>
        <w:t>C until the time for analysi</w:t>
      </w:r>
      <w:r>
        <w:rPr>
          <w:rFonts w:ascii="Arial" w:hAnsi="Arial" w:cs="Arial"/>
        </w:rPr>
        <w:t>s.</w:t>
      </w:r>
      <w:proofErr w:type="gramEnd"/>
      <w:r>
        <w:rPr>
          <w:rFonts w:ascii="Arial" w:hAnsi="Arial" w:cs="Arial"/>
        </w:rPr>
        <w:t xml:space="preserve"> </w:t>
      </w:r>
    </w:p>
    <w:p w14:paraId="24B42CD9" w14:textId="77777777" w:rsidR="0061193F" w:rsidRPr="00DB0852" w:rsidRDefault="0061193F" w:rsidP="00F27727">
      <w:pPr>
        <w:pStyle w:val="Heading3"/>
        <w:spacing w:line="480" w:lineRule="auto"/>
        <w:jc w:val="both"/>
        <w:rPr>
          <w:rFonts w:ascii="Arial" w:hAnsi="Arial" w:cs="Arial"/>
          <w:color w:val="auto"/>
        </w:rPr>
      </w:pPr>
      <w:bookmarkStart w:id="63" w:name="_Toc383723874"/>
      <w:r w:rsidRPr="00DB0852">
        <w:rPr>
          <w:rFonts w:ascii="Arial" w:hAnsi="Arial" w:cs="Arial"/>
          <w:color w:val="auto"/>
        </w:rPr>
        <w:lastRenderedPageBreak/>
        <w:t>2.3.3 Serum cortisol analysis</w:t>
      </w:r>
      <w:bookmarkEnd w:id="63"/>
      <w:r w:rsidRPr="00DB0852">
        <w:rPr>
          <w:rFonts w:ascii="Arial" w:hAnsi="Arial" w:cs="Arial"/>
          <w:color w:val="auto"/>
        </w:rPr>
        <w:t xml:space="preserve">  </w:t>
      </w:r>
    </w:p>
    <w:p w14:paraId="2F294D09" w14:textId="77777777" w:rsidR="0061193F" w:rsidRPr="00F27727" w:rsidRDefault="0061193F" w:rsidP="00F27727">
      <w:pPr>
        <w:spacing w:line="480" w:lineRule="auto"/>
        <w:jc w:val="both"/>
        <w:rPr>
          <w:rFonts w:ascii="Arial" w:hAnsi="Arial" w:cs="Arial"/>
          <w:b/>
        </w:rPr>
      </w:pPr>
      <w:r w:rsidRPr="0045155D">
        <w:rPr>
          <w:rFonts w:ascii="Arial" w:hAnsi="Arial" w:cs="Arial"/>
          <w:b/>
        </w:rPr>
        <w:t>Materials</w:t>
      </w:r>
    </w:p>
    <w:p w14:paraId="5E7D21B1" w14:textId="77777777" w:rsidR="0061193F" w:rsidRDefault="0061193F" w:rsidP="00F27727">
      <w:pPr>
        <w:pStyle w:val="ListParagraph"/>
        <w:numPr>
          <w:ilvl w:val="0"/>
          <w:numId w:val="23"/>
        </w:numPr>
        <w:spacing w:line="480" w:lineRule="auto"/>
        <w:jc w:val="both"/>
        <w:rPr>
          <w:rFonts w:ascii="Arial" w:hAnsi="Arial" w:cs="Arial"/>
        </w:rPr>
      </w:pPr>
      <w:r>
        <w:rPr>
          <w:rFonts w:ascii="Arial" w:hAnsi="Arial" w:cs="Arial"/>
        </w:rPr>
        <w:t xml:space="preserve">Mouse/rat cortisol ELISA assay (SE120082, </w:t>
      </w:r>
      <w:r w:rsidRPr="00470A5F">
        <w:rPr>
          <w:rFonts w:ascii="Arial" w:eastAsiaTheme="minorHAnsi" w:hAnsi="Arial"/>
          <w:bCs/>
        </w:rPr>
        <w:t>Sigma</w:t>
      </w:r>
      <w:r>
        <w:rPr>
          <w:rFonts w:ascii="Arial" w:eastAsiaTheme="minorHAnsi" w:hAnsi="Arial"/>
          <w:bCs/>
        </w:rPr>
        <w:t>-Aldrich Company Ltd, MO, USA</w:t>
      </w:r>
      <w:r>
        <w:rPr>
          <w:rFonts w:ascii="Arial" w:hAnsi="Arial" w:cs="Arial"/>
        </w:rPr>
        <w:t>)</w:t>
      </w:r>
    </w:p>
    <w:p w14:paraId="018271D3" w14:textId="77777777" w:rsidR="0061193F" w:rsidRDefault="0061193F" w:rsidP="00F27727">
      <w:pPr>
        <w:pStyle w:val="ListParagraph"/>
        <w:numPr>
          <w:ilvl w:val="0"/>
          <w:numId w:val="23"/>
        </w:numPr>
        <w:spacing w:line="480" w:lineRule="auto"/>
        <w:jc w:val="both"/>
        <w:rPr>
          <w:rFonts w:ascii="Arial" w:hAnsi="Arial" w:cs="Arial"/>
        </w:rPr>
      </w:pPr>
      <w:proofErr w:type="gramStart"/>
      <w:r>
        <w:rPr>
          <w:rFonts w:ascii="Arial" w:hAnsi="Arial" w:cs="Arial"/>
        </w:rPr>
        <w:t>dH</w:t>
      </w:r>
      <w:r>
        <w:rPr>
          <w:rFonts w:ascii="Arial" w:hAnsi="Arial" w:cs="Arial"/>
          <w:vertAlign w:val="subscript"/>
        </w:rPr>
        <w:t>2</w:t>
      </w:r>
      <w:r>
        <w:rPr>
          <w:rFonts w:ascii="Arial" w:hAnsi="Arial" w:cs="Arial"/>
        </w:rPr>
        <w:t>O</w:t>
      </w:r>
      <w:proofErr w:type="gramEnd"/>
      <w:r>
        <w:rPr>
          <w:rFonts w:ascii="Arial" w:hAnsi="Arial" w:cs="Arial"/>
        </w:rPr>
        <w:t>, absorbent paper, graph paper</w:t>
      </w:r>
    </w:p>
    <w:p w14:paraId="04555C0F" w14:textId="77777777" w:rsidR="0061193F" w:rsidRDefault="0061193F" w:rsidP="00F27727">
      <w:pPr>
        <w:pStyle w:val="ListParagraph"/>
        <w:numPr>
          <w:ilvl w:val="0"/>
          <w:numId w:val="23"/>
        </w:numPr>
        <w:spacing w:line="480" w:lineRule="auto"/>
        <w:jc w:val="both"/>
        <w:rPr>
          <w:rFonts w:ascii="Arial" w:hAnsi="Arial" w:cs="Arial"/>
        </w:rPr>
      </w:pPr>
      <w:r>
        <w:rPr>
          <w:rFonts w:ascii="Arial" w:hAnsi="Arial" w:cs="Arial"/>
        </w:rPr>
        <w:t xml:space="preserve">Precision pipettes (Thermo Electron LED, GmbH) </w:t>
      </w:r>
    </w:p>
    <w:p w14:paraId="59B96BF6" w14:textId="77777777" w:rsidR="0061193F" w:rsidRPr="00236F2B" w:rsidRDefault="0061193F" w:rsidP="00F27727">
      <w:pPr>
        <w:pStyle w:val="ListParagraph"/>
        <w:numPr>
          <w:ilvl w:val="0"/>
          <w:numId w:val="23"/>
        </w:numPr>
        <w:spacing w:line="480" w:lineRule="auto"/>
        <w:jc w:val="both"/>
        <w:rPr>
          <w:rFonts w:ascii="Arial" w:hAnsi="Arial" w:cs="Arial"/>
        </w:rPr>
      </w:pPr>
      <w:r>
        <w:rPr>
          <w:rFonts w:ascii="Arial" w:hAnsi="Arial" w:cs="Arial"/>
        </w:rPr>
        <w:t xml:space="preserve">Sterile disposable pipette tips (TipOne RTP, STARLAB, Blakelands, UK) </w:t>
      </w:r>
    </w:p>
    <w:p w14:paraId="396FB0C4" w14:textId="77777777" w:rsidR="0061193F" w:rsidRDefault="0061193F" w:rsidP="0061193F">
      <w:pPr>
        <w:spacing w:line="480" w:lineRule="auto"/>
        <w:jc w:val="both"/>
        <w:rPr>
          <w:rFonts w:ascii="Arial" w:hAnsi="Arial" w:cs="Arial"/>
          <w:b/>
        </w:rPr>
      </w:pPr>
      <w:r>
        <w:rPr>
          <w:rFonts w:ascii="Arial" w:hAnsi="Arial" w:cs="Arial"/>
          <w:b/>
        </w:rPr>
        <w:t>Equipment</w:t>
      </w:r>
    </w:p>
    <w:p w14:paraId="0CDD151D" w14:textId="77777777" w:rsidR="0061193F" w:rsidRDefault="0061193F" w:rsidP="0061193F">
      <w:pPr>
        <w:pStyle w:val="ListParagraph"/>
        <w:numPr>
          <w:ilvl w:val="0"/>
          <w:numId w:val="23"/>
        </w:numPr>
        <w:spacing w:line="480" w:lineRule="auto"/>
        <w:jc w:val="both"/>
        <w:rPr>
          <w:rFonts w:ascii="Arial" w:hAnsi="Arial" w:cs="Arial"/>
        </w:rPr>
      </w:pPr>
      <w:r w:rsidRPr="00157158">
        <w:rPr>
          <w:rFonts w:ascii="Arial" w:hAnsi="Arial" w:cs="Arial"/>
        </w:rPr>
        <w:t>ELISA reader (</w:t>
      </w:r>
      <w:r>
        <w:rPr>
          <w:rFonts w:ascii="Arial" w:hAnsi="Arial" w:cs="Arial"/>
        </w:rPr>
        <w:t>Omega, BMG LABTECH GmbH, Ortenberg, Germany</w:t>
      </w:r>
      <w:r w:rsidRPr="00157158">
        <w:rPr>
          <w:rFonts w:ascii="Arial" w:hAnsi="Arial" w:cs="Arial"/>
        </w:rPr>
        <w:t>)</w:t>
      </w:r>
    </w:p>
    <w:p w14:paraId="187FBF12" w14:textId="77777777" w:rsidR="0061193F" w:rsidRDefault="0061193F" w:rsidP="0061193F">
      <w:pPr>
        <w:spacing w:line="480" w:lineRule="auto"/>
        <w:jc w:val="both"/>
        <w:rPr>
          <w:rFonts w:ascii="Arial" w:hAnsi="Arial" w:cs="Arial"/>
          <w:b/>
        </w:rPr>
      </w:pPr>
      <w:r w:rsidRPr="00FE6F29">
        <w:rPr>
          <w:rFonts w:ascii="Arial" w:hAnsi="Arial" w:cs="Arial"/>
          <w:b/>
        </w:rPr>
        <w:t>Method</w:t>
      </w:r>
    </w:p>
    <w:p w14:paraId="77D1DE97" w14:textId="77777777" w:rsidR="0061193F" w:rsidRPr="005D7968" w:rsidRDefault="0061193F" w:rsidP="0061193F">
      <w:pPr>
        <w:spacing w:line="480" w:lineRule="auto"/>
        <w:jc w:val="both"/>
        <w:rPr>
          <w:rFonts w:ascii="Arial" w:hAnsi="Arial" w:cs="Arial"/>
        </w:rPr>
      </w:pPr>
      <w:r>
        <w:rPr>
          <w:rFonts w:ascii="Arial" w:hAnsi="Arial" w:cs="Arial"/>
        </w:rPr>
        <w:t>Cortisol concentrations were</w:t>
      </w:r>
      <w:r w:rsidRPr="00331ED8">
        <w:rPr>
          <w:rFonts w:ascii="Arial" w:hAnsi="Arial" w:cs="Arial"/>
        </w:rPr>
        <w:t xml:space="preserve"> </w:t>
      </w:r>
      <w:r>
        <w:rPr>
          <w:rFonts w:ascii="Arial" w:hAnsi="Arial" w:cs="Arial"/>
        </w:rPr>
        <w:t>measured in mouse sera by a s</w:t>
      </w:r>
      <w:r w:rsidRPr="00331ED8">
        <w:rPr>
          <w:rFonts w:ascii="Arial" w:hAnsi="Arial" w:cs="Arial"/>
        </w:rPr>
        <w:t xml:space="preserve">olid phase competitive </w:t>
      </w:r>
      <w:r>
        <w:rPr>
          <w:rFonts w:ascii="Arial" w:hAnsi="Arial" w:cs="Arial"/>
        </w:rPr>
        <w:t xml:space="preserve">enzyme linked immunosorbent assay </w:t>
      </w:r>
      <w:r w:rsidR="00475348">
        <w:rPr>
          <w:rFonts w:ascii="Arial" w:hAnsi="Arial" w:cs="Arial"/>
        </w:rPr>
        <w:t>(</w:t>
      </w:r>
      <w:r w:rsidR="00475348" w:rsidRPr="00331ED8">
        <w:rPr>
          <w:rFonts w:ascii="Arial" w:hAnsi="Arial" w:cs="Arial"/>
        </w:rPr>
        <w:t>ELISA</w:t>
      </w:r>
      <w:r w:rsidR="00475348">
        <w:rPr>
          <w:rFonts w:ascii="Arial" w:hAnsi="Arial" w:cs="Arial"/>
        </w:rPr>
        <w:t xml:space="preserve">) </w:t>
      </w:r>
      <w:r>
        <w:rPr>
          <w:rFonts w:ascii="Arial" w:hAnsi="Arial" w:cs="Arial"/>
        </w:rPr>
        <w:t>(</w:t>
      </w:r>
      <w:r w:rsidRPr="00470A5F">
        <w:rPr>
          <w:rFonts w:ascii="Arial" w:eastAsiaTheme="minorHAnsi" w:hAnsi="Arial"/>
          <w:bCs/>
        </w:rPr>
        <w:t>Sigma</w:t>
      </w:r>
      <w:r>
        <w:rPr>
          <w:rFonts w:ascii="Arial" w:eastAsiaTheme="minorHAnsi" w:hAnsi="Arial"/>
          <w:bCs/>
        </w:rPr>
        <w:t xml:space="preserve">-Aldrich Co Ltd, USA) </w:t>
      </w:r>
      <w:r>
        <w:rPr>
          <w:rFonts w:ascii="Arial" w:hAnsi="Arial" w:cs="Arial"/>
        </w:rPr>
        <w:t>according to the m</w:t>
      </w:r>
      <w:r w:rsidR="00475348">
        <w:rPr>
          <w:rFonts w:ascii="Arial" w:hAnsi="Arial" w:cs="Arial"/>
        </w:rPr>
        <w:t>anufacturers' protocol (</w:t>
      </w:r>
      <w:r w:rsidR="00920496">
        <w:rPr>
          <w:rFonts w:ascii="Arial" w:hAnsi="Arial" w:cs="Arial"/>
        </w:rPr>
        <w:t>Appendix 2</w:t>
      </w:r>
      <w:r w:rsidR="00314345">
        <w:rPr>
          <w:rFonts w:ascii="Arial" w:hAnsi="Arial" w:cs="Arial"/>
        </w:rPr>
        <w:t xml:space="preserve">), </w:t>
      </w:r>
      <w:r w:rsidR="00475348">
        <w:rPr>
          <w:rFonts w:ascii="Arial" w:hAnsi="Arial" w:cs="Arial"/>
        </w:rPr>
        <w:t>Figure 18</w:t>
      </w:r>
      <w:r>
        <w:rPr>
          <w:rFonts w:ascii="Arial" w:hAnsi="Arial" w:cs="Arial"/>
        </w:rPr>
        <w:t xml:space="preserve">. Prior </w:t>
      </w:r>
      <w:r w:rsidR="00475348">
        <w:rPr>
          <w:rFonts w:ascii="Arial" w:hAnsi="Arial" w:cs="Arial"/>
        </w:rPr>
        <w:t xml:space="preserve">to </w:t>
      </w:r>
      <w:r>
        <w:rPr>
          <w:rFonts w:ascii="Arial" w:hAnsi="Arial" w:cs="Arial"/>
        </w:rPr>
        <w:t xml:space="preserve">the assay the frozen sera were thawed </w:t>
      </w:r>
      <w:r w:rsidR="00475348">
        <w:rPr>
          <w:rFonts w:ascii="Arial" w:hAnsi="Arial" w:cs="Arial"/>
        </w:rPr>
        <w:t xml:space="preserve">at </w:t>
      </w:r>
      <w:r w:rsidR="006A1152">
        <w:rPr>
          <w:rFonts w:ascii="Arial" w:hAnsi="Arial" w:cs="Arial"/>
        </w:rPr>
        <w:t xml:space="preserve">a </w:t>
      </w:r>
      <w:r w:rsidR="00475348">
        <w:rPr>
          <w:rFonts w:ascii="Arial" w:hAnsi="Arial" w:cs="Arial"/>
        </w:rPr>
        <w:t xml:space="preserve">room temperature </w:t>
      </w:r>
      <w:r>
        <w:rPr>
          <w:rFonts w:ascii="Arial" w:hAnsi="Arial" w:cs="Arial"/>
        </w:rPr>
        <w:t>and mixed well</w:t>
      </w:r>
      <w:r w:rsidR="00475348">
        <w:rPr>
          <w:rFonts w:ascii="Arial" w:hAnsi="Arial" w:cs="Arial"/>
        </w:rPr>
        <w:t xml:space="preserve"> </w:t>
      </w:r>
      <w:r w:rsidR="000E6285">
        <w:rPr>
          <w:rFonts w:ascii="Arial" w:hAnsi="Arial" w:cs="Arial"/>
        </w:rPr>
        <w:t>using vortexer</w:t>
      </w:r>
      <w:r>
        <w:rPr>
          <w:rFonts w:ascii="Arial" w:hAnsi="Arial" w:cs="Arial"/>
        </w:rPr>
        <w:t>. Briefly, 25</w:t>
      </w:r>
      <w:r w:rsidRPr="00F406A8">
        <w:rPr>
          <w:rFonts w:ascii="Arial" w:hAnsi="Arial" w:cs="Arial"/>
          <w:color w:val="000000" w:themeColor="text1"/>
        </w:rPr>
        <w:sym w:font="Symbol" w:char="F06D"/>
      </w:r>
      <w:r>
        <w:rPr>
          <w:rFonts w:ascii="Arial" w:hAnsi="Arial" w:cs="Arial"/>
          <w:color w:val="000000" w:themeColor="text1"/>
        </w:rPr>
        <w:t xml:space="preserve">l of mouse </w:t>
      </w:r>
      <w:r>
        <w:rPr>
          <w:rFonts w:ascii="Arial" w:hAnsi="Arial" w:cs="Arial"/>
          <w:shd w:val="clear" w:color="auto" w:fill="FFFFFF"/>
        </w:rPr>
        <w:t>serum was</w:t>
      </w:r>
      <w:r w:rsidRPr="005D7968">
        <w:rPr>
          <w:rFonts w:ascii="Arial" w:hAnsi="Arial" w:cs="Arial"/>
          <w:shd w:val="clear" w:color="auto" w:fill="FFFFFF"/>
        </w:rPr>
        <w:t xml:space="preserve"> </w:t>
      </w:r>
      <w:r>
        <w:rPr>
          <w:rFonts w:ascii="Arial" w:hAnsi="Arial" w:cs="Arial"/>
          <w:shd w:val="clear" w:color="auto" w:fill="FFFFFF"/>
        </w:rPr>
        <w:t>added</w:t>
      </w:r>
      <w:r w:rsidRPr="005D7968">
        <w:rPr>
          <w:rFonts w:ascii="Arial" w:hAnsi="Arial" w:cs="Arial"/>
          <w:shd w:val="clear" w:color="auto" w:fill="FFFFFF"/>
        </w:rPr>
        <w:t xml:space="preserve"> </w:t>
      </w:r>
      <w:r>
        <w:rPr>
          <w:rFonts w:ascii="Arial" w:hAnsi="Arial" w:cs="Arial"/>
          <w:shd w:val="clear" w:color="auto" w:fill="FFFFFF"/>
        </w:rPr>
        <w:t>into each micro</w:t>
      </w:r>
      <w:r w:rsidRPr="005D7968">
        <w:rPr>
          <w:rFonts w:ascii="Arial" w:hAnsi="Arial" w:cs="Arial"/>
          <w:shd w:val="clear" w:color="auto" w:fill="FFFFFF"/>
        </w:rPr>
        <w:t xml:space="preserve">well </w:t>
      </w:r>
      <w:r>
        <w:rPr>
          <w:rFonts w:ascii="Arial" w:hAnsi="Arial" w:cs="Arial"/>
          <w:shd w:val="clear" w:color="auto" w:fill="FFFFFF"/>
        </w:rPr>
        <w:t xml:space="preserve">of the plate, coated with the anti-cortisol MAb, along with the standards for </w:t>
      </w:r>
      <w:r w:rsidRPr="005D7968">
        <w:rPr>
          <w:rFonts w:ascii="Arial" w:hAnsi="Arial" w:cs="Arial"/>
          <w:shd w:val="clear" w:color="auto" w:fill="FFFFFF"/>
        </w:rPr>
        <w:t>6-point standard curve (1-80ng/ml), bl</w:t>
      </w:r>
      <w:r>
        <w:rPr>
          <w:rFonts w:ascii="Arial" w:hAnsi="Arial" w:cs="Arial"/>
          <w:shd w:val="clear" w:color="auto" w:fill="FFFFFF"/>
        </w:rPr>
        <w:t>ank and internal control. After</w:t>
      </w:r>
      <w:r w:rsidRPr="005D7968">
        <w:rPr>
          <w:rFonts w:ascii="Arial" w:hAnsi="Arial" w:cs="Arial"/>
          <w:shd w:val="clear" w:color="auto" w:fill="FFFFFF"/>
        </w:rPr>
        <w:t xml:space="preserve"> incubation</w:t>
      </w:r>
      <w:r>
        <w:rPr>
          <w:rFonts w:ascii="Arial" w:hAnsi="Arial" w:cs="Arial"/>
          <w:shd w:val="clear" w:color="auto" w:fill="FFFFFF"/>
        </w:rPr>
        <w:t xml:space="preserve"> at room temperature with shaking for 60min,</w:t>
      </w:r>
      <w:r w:rsidRPr="005D7968">
        <w:rPr>
          <w:rFonts w:ascii="Arial" w:hAnsi="Arial" w:cs="Arial"/>
          <w:shd w:val="clear" w:color="auto" w:fill="FFFFFF"/>
        </w:rPr>
        <w:t xml:space="preserve"> wells were washed three times </w:t>
      </w:r>
      <w:r>
        <w:rPr>
          <w:rFonts w:ascii="Arial" w:hAnsi="Arial" w:cs="Arial"/>
          <w:shd w:val="clear" w:color="auto" w:fill="FFFFFF"/>
        </w:rPr>
        <w:t xml:space="preserve">with wash buffer </w:t>
      </w:r>
      <w:r w:rsidRPr="005D7968">
        <w:rPr>
          <w:rFonts w:ascii="Arial" w:hAnsi="Arial" w:cs="Arial"/>
          <w:shd w:val="clear" w:color="auto" w:fill="FFFFFF"/>
        </w:rPr>
        <w:t xml:space="preserve">and treated with </w:t>
      </w:r>
      <w:r>
        <w:rPr>
          <w:rFonts w:ascii="Arial" w:hAnsi="Arial" w:cs="Arial"/>
          <w:shd w:val="clear" w:color="auto" w:fill="FFFFFF"/>
        </w:rPr>
        <w:t>3,3’</w:t>
      </w:r>
      <w:proofErr w:type="gramStart"/>
      <w:r>
        <w:rPr>
          <w:rFonts w:ascii="Arial" w:hAnsi="Arial" w:cs="Arial"/>
          <w:shd w:val="clear" w:color="auto" w:fill="FFFFFF"/>
        </w:rPr>
        <w:t>,5,5’</w:t>
      </w:r>
      <w:proofErr w:type="gramEnd"/>
      <w:r>
        <w:rPr>
          <w:rFonts w:ascii="Arial" w:hAnsi="Arial" w:cs="Arial"/>
          <w:shd w:val="clear" w:color="auto" w:fill="FFFFFF"/>
        </w:rPr>
        <w:t xml:space="preserve"> - Tetramethylbenzidine (</w:t>
      </w:r>
      <w:r w:rsidRPr="005D7968">
        <w:rPr>
          <w:rFonts w:ascii="Arial" w:hAnsi="Arial" w:cs="Arial"/>
          <w:shd w:val="clear" w:color="auto" w:fill="FFFFFF"/>
        </w:rPr>
        <w:t>TMB</w:t>
      </w:r>
      <w:r>
        <w:rPr>
          <w:rFonts w:ascii="Arial" w:hAnsi="Arial" w:cs="Arial"/>
          <w:shd w:val="clear" w:color="auto" w:fill="FFFFFF"/>
        </w:rPr>
        <w:t>)</w:t>
      </w:r>
      <w:r w:rsidRPr="005D7968">
        <w:rPr>
          <w:rFonts w:ascii="Arial" w:hAnsi="Arial" w:cs="Arial"/>
          <w:shd w:val="clear" w:color="auto" w:fill="FFFFFF"/>
        </w:rPr>
        <w:t xml:space="preserve"> substrate for 15min. The colorimetric reaction was then stopped and absorbance was measured at 450nm</w:t>
      </w:r>
      <w:r>
        <w:rPr>
          <w:rFonts w:ascii="Arial" w:hAnsi="Arial" w:cs="Arial"/>
          <w:shd w:val="clear" w:color="auto" w:fill="FFFFFF"/>
        </w:rPr>
        <w:t xml:space="preserve"> on ELISA reader</w:t>
      </w:r>
      <w:r w:rsidRPr="005D7968">
        <w:rPr>
          <w:rFonts w:ascii="Arial" w:hAnsi="Arial" w:cs="Arial"/>
          <w:shd w:val="clear" w:color="auto" w:fill="FFFFFF"/>
        </w:rPr>
        <w:t>. A 4-parametre logistic regression was applied to the standard curve for the calcula</w:t>
      </w:r>
      <w:r>
        <w:rPr>
          <w:rFonts w:ascii="Arial" w:hAnsi="Arial" w:cs="Arial"/>
          <w:shd w:val="clear" w:color="auto" w:fill="FFFFFF"/>
        </w:rPr>
        <w:t>tion of cortisol concentrations in the samples (</w:t>
      </w:r>
      <w:r w:rsidRPr="005D7968">
        <w:rPr>
          <w:rFonts w:ascii="Arial" w:hAnsi="Arial" w:cs="Arial"/>
          <w:shd w:val="clear" w:color="auto" w:fill="FFFFFF"/>
        </w:rPr>
        <w:t>ng/ml</w:t>
      </w:r>
      <w:r>
        <w:rPr>
          <w:rFonts w:ascii="Arial" w:hAnsi="Arial" w:cs="Arial"/>
          <w:shd w:val="clear" w:color="auto" w:fill="FFFFFF"/>
        </w:rPr>
        <w:t>). Samples were assessed i</w:t>
      </w:r>
      <w:r w:rsidRPr="005D7968">
        <w:rPr>
          <w:rFonts w:ascii="Arial" w:hAnsi="Arial" w:cs="Arial"/>
          <w:shd w:val="clear" w:color="auto" w:fill="FFFFFF"/>
        </w:rPr>
        <w:t>n duplicate.</w:t>
      </w:r>
    </w:p>
    <w:p w14:paraId="49554AE1" w14:textId="77777777" w:rsidR="0061193F" w:rsidRDefault="0061193F" w:rsidP="00951583">
      <w:pPr>
        <w:spacing w:line="480" w:lineRule="auto"/>
        <w:jc w:val="center"/>
        <w:rPr>
          <w:rFonts w:ascii="Arial" w:hAnsi="Arial" w:cs="Arial"/>
          <w:b/>
          <w:bCs/>
          <w:noProof/>
          <w:color w:val="000000" w:themeColor="text1"/>
        </w:rPr>
      </w:pPr>
    </w:p>
    <w:p w14:paraId="682675AC" w14:textId="77777777" w:rsidR="00E75B51" w:rsidRDefault="00E75B51" w:rsidP="00951583">
      <w:pPr>
        <w:spacing w:line="480" w:lineRule="auto"/>
        <w:jc w:val="center"/>
        <w:rPr>
          <w:rFonts w:ascii="Arial" w:hAnsi="Arial" w:cs="Arial"/>
          <w:b/>
          <w:bCs/>
          <w:noProof/>
          <w:color w:val="000000" w:themeColor="text1"/>
        </w:rPr>
      </w:pPr>
    </w:p>
    <w:p w14:paraId="267D42D1" w14:textId="77777777" w:rsidR="00173DB4" w:rsidRDefault="00173DB4" w:rsidP="00951583">
      <w:pPr>
        <w:spacing w:line="480" w:lineRule="auto"/>
        <w:jc w:val="center"/>
        <w:rPr>
          <w:rFonts w:ascii="Arial" w:hAnsi="Arial" w:cs="Arial"/>
          <w:b/>
          <w:bCs/>
          <w:noProof/>
          <w:color w:val="000000" w:themeColor="text1"/>
        </w:rPr>
      </w:pPr>
    </w:p>
    <w:p w14:paraId="2E792504" w14:textId="77777777" w:rsidR="00173DB4" w:rsidRDefault="00173DB4" w:rsidP="00951583">
      <w:pPr>
        <w:spacing w:line="480" w:lineRule="auto"/>
        <w:jc w:val="center"/>
        <w:rPr>
          <w:rFonts w:ascii="Arial" w:hAnsi="Arial" w:cs="Arial"/>
          <w:b/>
          <w:bCs/>
          <w:noProof/>
          <w:color w:val="000000" w:themeColor="text1"/>
        </w:rPr>
      </w:pPr>
    </w:p>
    <w:p w14:paraId="788DE32A" w14:textId="77777777" w:rsidR="00173DB4" w:rsidRDefault="00173DB4" w:rsidP="00951583">
      <w:pPr>
        <w:spacing w:line="480" w:lineRule="auto"/>
        <w:jc w:val="center"/>
        <w:rPr>
          <w:rFonts w:ascii="Arial" w:hAnsi="Arial" w:cs="Arial"/>
          <w:b/>
          <w:bCs/>
          <w:noProof/>
          <w:color w:val="000000" w:themeColor="text1"/>
        </w:rPr>
      </w:pPr>
    </w:p>
    <w:p w14:paraId="7650C4DB" w14:textId="77777777" w:rsidR="00173DB4" w:rsidRDefault="00173DB4" w:rsidP="00951583">
      <w:pPr>
        <w:spacing w:line="480" w:lineRule="auto"/>
        <w:jc w:val="center"/>
        <w:rPr>
          <w:rFonts w:ascii="Arial" w:hAnsi="Arial" w:cs="Arial"/>
          <w:b/>
          <w:bCs/>
          <w:noProof/>
          <w:color w:val="000000" w:themeColor="text1"/>
        </w:rPr>
      </w:pPr>
      <w:r>
        <w:rPr>
          <w:noProof/>
          <w:lang w:val="en-US"/>
        </w:rPr>
        <w:drawing>
          <wp:inline distT="0" distB="0" distL="0" distR="0" wp14:anchorId="60377F32" wp14:editId="4C178CB0">
            <wp:extent cx="6109142" cy="3035477"/>
            <wp:effectExtent l="0" t="0" r="1270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27245" cy="3044472"/>
                    </a:xfrm>
                    <a:prstGeom prst="rect">
                      <a:avLst/>
                    </a:prstGeom>
                  </pic:spPr>
                </pic:pic>
              </a:graphicData>
            </a:graphic>
          </wp:inline>
        </w:drawing>
      </w:r>
    </w:p>
    <w:p w14:paraId="139CF67B" w14:textId="77777777" w:rsidR="00F97D67" w:rsidRDefault="00F97D67" w:rsidP="00647F1C">
      <w:pPr>
        <w:keepNext/>
        <w:spacing w:line="480" w:lineRule="auto"/>
        <w:jc w:val="both"/>
        <w:rPr>
          <w:rFonts w:ascii="Arial" w:hAnsi="Arial" w:cs="Arial"/>
          <w:color w:val="244061" w:themeColor="accent1" w:themeShade="80"/>
        </w:rPr>
      </w:pPr>
      <w:bookmarkStart w:id="64" w:name="_Toc383544609"/>
    </w:p>
    <w:p w14:paraId="07A875F9" w14:textId="77777777" w:rsidR="0061193F" w:rsidRPr="00F97D67" w:rsidRDefault="004941CD" w:rsidP="00647F1C">
      <w:pPr>
        <w:keepNext/>
        <w:spacing w:line="480" w:lineRule="auto"/>
        <w:jc w:val="both"/>
        <w:rPr>
          <w:b/>
        </w:rPr>
      </w:pPr>
      <w:r w:rsidRPr="00F97D67">
        <w:rPr>
          <w:rFonts w:ascii="Arial" w:hAnsi="Arial" w:cs="Arial"/>
          <w:b/>
          <w:color w:val="244061" w:themeColor="accent1" w:themeShade="80"/>
        </w:rPr>
        <w:t xml:space="preserve">Figure </w:t>
      </w:r>
      <w:r w:rsidRPr="00F97D67">
        <w:rPr>
          <w:rFonts w:ascii="Arial" w:hAnsi="Arial" w:cs="Arial"/>
          <w:b/>
          <w:color w:val="244061" w:themeColor="accent1" w:themeShade="80"/>
        </w:rPr>
        <w:fldChar w:fldCharType="begin"/>
      </w:r>
      <w:r w:rsidRPr="00F97D67">
        <w:rPr>
          <w:rFonts w:ascii="Arial" w:hAnsi="Arial" w:cs="Arial"/>
          <w:b/>
          <w:color w:val="244061" w:themeColor="accent1" w:themeShade="80"/>
        </w:rPr>
        <w:instrText xml:space="preserve"> SEQ Figure \* ARABIC </w:instrText>
      </w:r>
      <w:r w:rsidRPr="00F97D67">
        <w:rPr>
          <w:rFonts w:ascii="Arial" w:hAnsi="Arial" w:cs="Arial"/>
          <w:b/>
          <w:color w:val="244061" w:themeColor="accent1" w:themeShade="80"/>
        </w:rPr>
        <w:fldChar w:fldCharType="separate"/>
      </w:r>
      <w:r w:rsidR="0091638B">
        <w:rPr>
          <w:rFonts w:ascii="Arial" w:hAnsi="Arial" w:cs="Arial"/>
          <w:b/>
          <w:noProof/>
          <w:color w:val="244061" w:themeColor="accent1" w:themeShade="80"/>
        </w:rPr>
        <w:t>18</w:t>
      </w:r>
      <w:r w:rsidRPr="00F97D67">
        <w:rPr>
          <w:rFonts w:ascii="Arial" w:hAnsi="Arial" w:cs="Arial"/>
          <w:b/>
          <w:color w:val="244061" w:themeColor="accent1" w:themeShade="80"/>
        </w:rPr>
        <w:fldChar w:fldCharType="end"/>
      </w:r>
      <w:r w:rsidRPr="00F97D67">
        <w:rPr>
          <w:rFonts w:ascii="Arial" w:hAnsi="Arial" w:cs="Arial"/>
          <w:b/>
          <w:color w:val="244061" w:themeColor="accent1" w:themeShade="80"/>
        </w:rPr>
        <w:t xml:space="preserve"> </w:t>
      </w:r>
      <w:r w:rsidR="0061193F" w:rsidRPr="00F97D67">
        <w:rPr>
          <w:rFonts w:ascii="Arial" w:eastAsiaTheme="minorHAnsi" w:hAnsi="Arial" w:cs="Arial"/>
          <w:b/>
          <w:bCs/>
          <w:color w:val="244061" w:themeColor="accent1" w:themeShade="80"/>
        </w:rPr>
        <w:t>Overview of the cortisol solid phase competitive ELISA</w:t>
      </w:r>
      <w:bookmarkEnd w:id="64"/>
    </w:p>
    <w:p w14:paraId="64C28827" w14:textId="77777777" w:rsidR="0061193F" w:rsidRPr="006B2E8E" w:rsidRDefault="004941CD" w:rsidP="004941CD">
      <w:pPr>
        <w:spacing w:line="360" w:lineRule="auto"/>
        <w:jc w:val="both"/>
        <w:rPr>
          <w:rFonts w:ascii="Arial" w:eastAsiaTheme="minorHAnsi" w:hAnsi="Arial" w:cs="Arial"/>
          <w:bCs/>
          <w:sz w:val="22"/>
          <w:szCs w:val="22"/>
        </w:rPr>
      </w:pPr>
      <w:r>
        <w:rPr>
          <w:rFonts w:ascii="Arial" w:eastAsiaTheme="minorHAnsi" w:hAnsi="Arial" w:cs="Arial"/>
          <w:bCs/>
          <w:sz w:val="22"/>
          <w:szCs w:val="22"/>
        </w:rPr>
        <w:t xml:space="preserve">The </w:t>
      </w:r>
      <w:proofErr w:type="gramStart"/>
      <w:r>
        <w:rPr>
          <w:rFonts w:ascii="Arial" w:eastAsiaTheme="minorHAnsi" w:hAnsi="Arial" w:cs="Arial"/>
          <w:bCs/>
          <w:sz w:val="22"/>
          <w:szCs w:val="22"/>
        </w:rPr>
        <w:t>samples (</w:t>
      </w:r>
      <w:r w:rsidR="00173DB4">
        <w:rPr>
          <w:rFonts w:ascii="Arial" w:eastAsiaTheme="minorHAnsi" w:hAnsi="Arial" w:cs="Arial"/>
          <w:bCs/>
          <w:sz w:val="22"/>
          <w:szCs w:val="22"/>
        </w:rPr>
        <w:t xml:space="preserve"> </w:t>
      </w:r>
      <w:proofErr w:type="gramEnd"/>
      <w:r w:rsidR="00173DB4">
        <w:rPr>
          <w:noProof/>
          <w:lang w:val="en-US"/>
        </w:rPr>
        <w:drawing>
          <wp:inline distT="0" distB="0" distL="0" distR="0" wp14:anchorId="3E7D0884" wp14:editId="5DBC7BDB">
            <wp:extent cx="282797" cy="178609"/>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1555" cy="196772"/>
                    </a:xfrm>
                    <a:prstGeom prst="rect">
                      <a:avLst/>
                    </a:prstGeom>
                  </pic:spPr>
                </pic:pic>
              </a:graphicData>
            </a:graphic>
          </wp:inline>
        </w:drawing>
      </w:r>
      <w:r w:rsidR="00173DB4">
        <w:rPr>
          <w:rFonts w:ascii="Arial" w:eastAsiaTheme="minorHAnsi" w:hAnsi="Arial" w:cs="Arial"/>
          <w:bCs/>
          <w:sz w:val="22"/>
          <w:szCs w:val="22"/>
        </w:rPr>
        <w:t xml:space="preserve"> </w:t>
      </w:r>
      <w:r>
        <w:rPr>
          <w:rFonts w:ascii="Arial" w:eastAsiaTheme="minorHAnsi" w:hAnsi="Arial" w:cs="Arial"/>
          <w:bCs/>
          <w:sz w:val="22"/>
          <w:szCs w:val="22"/>
        </w:rPr>
        <w:t xml:space="preserve">) </w:t>
      </w:r>
      <w:r w:rsidR="0061193F">
        <w:rPr>
          <w:rFonts w:ascii="Arial" w:eastAsiaTheme="minorHAnsi" w:hAnsi="Arial" w:cs="Arial"/>
          <w:bCs/>
          <w:sz w:val="22"/>
          <w:szCs w:val="22"/>
        </w:rPr>
        <w:t>a</w:t>
      </w:r>
      <w:r>
        <w:rPr>
          <w:rFonts w:ascii="Arial" w:eastAsiaTheme="minorHAnsi" w:hAnsi="Arial" w:cs="Arial"/>
          <w:bCs/>
          <w:sz w:val="22"/>
          <w:szCs w:val="22"/>
        </w:rPr>
        <w:t>nd cortisol enzyme conjugate (</w:t>
      </w:r>
      <w:r w:rsidR="00173DB4">
        <w:rPr>
          <w:rFonts w:ascii="Arial" w:eastAsiaTheme="minorHAnsi" w:hAnsi="Arial" w:cs="Arial"/>
          <w:bCs/>
          <w:sz w:val="22"/>
          <w:szCs w:val="22"/>
        </w:rPr>
        <w:t xml:space="preserve"> </w:t>
      </w:r>
      <w:r w:rsidR="00173DB4">
        <w:rPr>
          <w:noProof/>
          <w:lang w:val="en-US"/>
        </w:rPr>
        <w:drawing>
          <wp:inline distT="0" distB="0" distL="0" distR="0" wp14:anchorId="22E85A7A" wp14:editId="46E3AC99">
            <wp:extent cx="328768" cy="397466"/>
            <wp:effectExtent l="0" t="0" r="1905"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28768" cy="397466"/>
                    </a:xfrm>
                    <a:prstGeom prst="rect">
                      <a:avLst/>
                    </a:prstGeom>
                  </pic:spPr>
                </pic:pic>
              </a:graphicData>
            </a:graphic>
          </wp:inline>
        </w:drawing>
      </w:r>
      <w:r>
        <w:rPr>
          <w:rFonts w:ascii="Arial" w:eastAsiaTheme="minorHAnsi" w:hAnsi="Arial" w:cs="Arial"/>
          <w:bCs/>
          <w:sz w:val="22"/>
          <w:szCs w:val="22"/>
        </w:rPr>
        <w:t>) were</w:t>
      </w:r>
      <w:r w:rsidR="0061193F">
        <w:rPr>
          <w:rFonts w:ascii="Arial" w:eastAsiaTheme="minorHAnsi" w:hAnsi="Arial" w:cs="Arial"/>
          <w:bCs/>
          <w:sz w:val="22"/>
          <w:szCs w:val="22"/>
        </w:rPr>
        <w:t xml:space="preserve"> added to the wells of the 96-well plate coated with the anti-cortisol monoclonal antibody MAb.</w:t>
      </w:r>
      <w:r w:rsidR="001428DF">
        <w:rPr>
          <w:rFonts w:ascii="Arial" w:eastAsiaTheme="minorHAnsi" w:hAnsi="Arial" w:cs="Arial"/>
          <w:bCs/>
          <w:sz w:val="22"/>
          <w:szCs w:val="22"/>
        </w:rPr>
        <w:t xml:space="preserve"> Cortisol in the sample competed</w:t>
      </w:r>
      <w:r w:rsidR="0061193F">
        <w:rPr>
          <w:rFonts w:ascii="Arial" w:eastAsiaTheme="minorHAnsi" w:hAnsi="Arial" w:cs="Arial"/>
          <w:bCs/>
          <w:sz w:val="22"/>
          <w:szCs w:val="22"/>
        </w:rPr>
        <w:t xml:space="preserve"> with the reporter enzyme conjugate for limited antibody binding sites. The unbound cortisol a</w:t>
      </w:r>
      <w:r w:rsidR="001428DF">
        <w:rPr>
          <w:rFonts w:ascii="Arial" w:eastAsiaTheme="minorHAnsi" w:hAnsi="Arial" w:cs="Arial"/>
          <w:bCs/>
          <w:sz w:val="22"/>
          <w:szCs w:val="22"/>
        </w:rPr>
        <w:t>nd cortisol enzyme conjugate were</w:t>
      </w:r>
      <w:r w:rsidR="0061193F">
        <w:rPr>
          <w:rFonts w:ascii="Arial" w:eastAsiaTheme="minorHAnsi" w:hAnsi="Arial" w:cs="Arial"/>
          <w:bCs/>
          <w:sz w:val="22"/>
          <w:szCs w:val="22"/>
        </w:rPr>
        <w:t xml:space="preserve"> removed by washing the plate. Upon addition of the chromogenic TMB substrate </w:t>
      </w:r>
      <w:r>
        <w:rPr>
          <w:rFonts w:ascii="Arial" w:eastAsiaTheme="minorHAnsi" w:hAnsi="Arial" w:cs="Arial"/>
          <w:bCs/>
          <w:sz w:val="22"/>
          <w:szCs w:val="22"/>
        </w:rPr>
        <w:t>(</w:t>
      </w:r>
      <w:r w:rsidR="00FE666C">
        <w:rPr>
          <w:noProof/>
          <w:lang w:val="en-US"/>
        </w:rPr>
        <w:drawing>
          <wp:inline distT="0" distB="0" distL="0" distR="0" wp14:anchorId="27613EDA" wp14:editId="58B4FFCB">
            <wp:extent cx="362437" cy="158566"/>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2437" cy="158566"/>
                    </a:xfrm>
                    <a:prstGeom prst="rect">
                      <a:avLst/>
                    </a:prstGeom>
                  </pic:spPr>
                </pic:pic>
              </a:graphicData>
            </a:graphic>
          </wp:inline>
        </w:drawing>
      </w:r>
      <w:r>
        <w:rPr>
          <w:rFonts w:ascii="Arial" w:eastAsiaTheme="minorHAnsi" w:hAnsi="Arial" w:cs="Arial"/>
          <w:bCs/>
          <w:sz w:val="22"/>
          <w:szCs w:val="22"/>
        </w:rPr>
        <w:t xml:space="preserve">) </w:t>
      </w:r>
      <w:r w:rsidR="0061193F">
        <w:rPr>
          <w:rFonts w:ascii="Arial" w:eastAsiaTheme="minorHAnsi" w:hAnsi="Arial" w:cs="Arial"/>
          <w:bCs/>
          <w:sz w:val="22"/>
          <w:szCs w:val="22"/>
        </w:rPr>
        <w:t>to develop colour remaining enzymes elicit</w:t>
      </w:r>
      <w:r w:rsidR="001428DF">
        <w:rPr>
          <w:rFonts w:ascii="Arial" w:eastAsiaTheme="minorHAnsi" w:hAnsi="Arial" w:cs="Arial"/>
          <w:bCs/>
          <w:sz w:val="22"/>
          <w:szCs w:val="22"/>
        </w:rPr>
        <w:t>ed</w:t>
      </w:r>
      <w:r w:rsidR="0061193F">
        <w:rPr>
          <w:rFonts w:ascii="Arial" w:eastAsiaTheme="minorHAnsi" w:hAnsi="Arial" w:cs="Arial"/>
          <w:bCs/>
          <w:sz w:val="22"/>
          <w:szCs w:val="22"/>
        </w:rPr>
        <w:t xml:space="preserve"> signal. The samples with high antigen concentration generate</w:t>
      </w:r>
      <w:r w:rsidR="00F13626">
        <w:rPr>
          <w:rFonts w:ascii="Arial" w:eastAsiaTheme="minorHAnsi" w:hAnsi="Arial" w:cs="Arial"/>
          <w:bCs/>
          <w:sz w:val="22"/>
          <w:szCs w:val="22"/>
        </w:rPr>
        <w:t>d</w:t>
      </w:r>
      <w:r w:rsidR="0061193F">
        <w:rPr>
          <w:rFonts w:ascii="Arial" w:eastAsiaTheme="minorHAnsi" w:hAnsi="Arial" w:cs="Arial"/>
          <w:bCs/>
          <w:sz w:val="22"/>
          <w:szCs w:val="22"/>
        </w:rPr>
        <w:t xml:space="preserve"> a lower signal yielding inverse correlation between antigen concentration in the sample and colour development in the assay. The absorbance was measured on ELISA reader at 450nm. </w:t>
      </w:r>
    </w:p>
    <w:p w14:paraId="15EE30F0" w14:textId="77777777" w:rsidR="0061193F" w:rsidRPr="0017272B" w:rsidRDefault="0061193F" w:rsidP="0061193F">
      <w:pPr>
        <w:rPr>
          <w:rFonts w:ascii="Arial" w:hAnsi="Arial" w:cs="Arial"/>
        </w:rPr>
      </w:pPr>
    </w:p>
    <w:p w14:paraId="6DD828D2" w14:textId="77777777" w:rsidR="0061193F" w:rsidRPr="0017272B" w:rsidRDefault="0061193F" w:rsidP="0061193F">
      <w:pPr>
        <w:rPr>
          <w:rFonts w:ascii="Arial" w:hAnsi="Arial" w:cs="Arial"/>
        </w:rPr>
      </w:pPr>
    </w:p>
    <w:p w14:paraId="18A304FD" w14:textId="77777777" w:rsidR="0061193F" w:rsidRPr="0017272B" w:rsidRDefault="0061193F" w:rsidP="0061193F">
      <w:pPr>
        <w:rPr>
          <w:rFonts w:ascii="Arial" w:hAnsi="Arial" w:cs="Arial"/>
        </w:rPr>
      </w:pPr>
    </w:p>
    <w:p w14:paraId="41032BC3" w14:textId="77777777" w:rsidR="0061193F" w:rsidRPr="0017272B" w:rsidRDefault="0061193F" w:rsidP="0061193F">
      <w:pPr>
        <w:rPr>
          <w:rFonts w:ascii="Arial" w:hAnsi="Arial" w:cs="Arial"/>
        </w:rPr>
      </w:pPr>
    </w:p>
    <w:p w14:paraId="31B2A71D" w14:textId="77777777" w:rsidR="00DE6EF2" w:rsidRDefault="00DE6EF2" w:rsidP="0061193F">
      <w:pPr>
        <w:spacing w:line="480" w:lineRule="auto"/>
        <w:jc w:val="both"/>
        <w:rPr>
          <w:rFonts w:ascii="Arial" w:hAnsi="Arial" w:cs="Arial"/>
          <w:b/>
          <w:bCs/>
          <w:noProof/>
          <w:color w:val="000000" w:themeColor="text1"/>
        </w:rPr>
      </w:pPr>
    </w:p>
    <w:p w14:paraId="2DC1E41F" w14:textId="77777777" w:rsidR="00DE6EF2" w:rsidRDefault="00DE6EF2" w:rsidP="0061193F">
      <w:pPr>
        <w:spacing w:line="480" w:lineRule="auto"/>
        <w:jc w:val="both"/>
        <w:rPr>
          <w:rFonts w:ascii="Arial" w:hAnsi="Arial" w:cs="Arial"/>
          <w:b/>
          <w:bCs/>
          <w:noProof/>
          <w:color w:val="000000" w:themeColor="text1"/>
        </w:rPr>
      </w:pPr>
    </w:p>
    <w:p w14:paraId="025931E9" w14:textId="77777777" w:rsidR="00DE6EF2" w:rsidRDefault="00DE6EF2" w:rsidP="0061193F">
      <w:pPr>
        <w:spacing w:line="480" w:lineRule="auto"/>
        <w:jc w:val="both"/>
        <w:rPr>
          <w:rFonts w:ascii="Arial" w:hAnsi="Arial" w:cs="Arial"/>
          <w:b/>
          <w:bCs/>
          <w:noProof/>
          <w:color w:val="000000" w:themeColor="text1"/>
        </w:rPr>
      </w:pPr>
    </w:p>
    <w:p w14:paraId="32DC7769" w14:textId="77777777" w:rsidR="00DE6EF2" w:rsidRDefault="00DE6EF2" w:rsidP="0061193F">
      <w:pPr>
        <w:spacing w:line="480" w:lineRule="auto"/>
        <w:jc w:val="both"/>
        <w:rPr>
          <w:rFonts w:ascii="Arial" w:hAnsi="Arial" w:cs="Arial"/>
          <w:b/>
          <w:bCs/>
          <w:noProof/>
          <w:color w:val="000000" w:themeColor="text1"/>
        </w:rPr>
      </w:pPr>
    </w:p>
    <w:p w14:paraId="4EDDC0BA" w14:textId="77777777" w:rsidR="00DE6EF2" w:rsidRDefault="00DE6EF2" w:rsidP="0061193F">
      <w:pPr>
        <w:spacing w:line="480" w:lineRule="auto"/>
        <w:jc w:val="both"/>
        <w:rPr>
          <w:rFonts w:ascii="Arial" w:hAnsi="Arial" w:cs="Arial"/>
          <w:b/>
          <w:bCs/>
          <w:noProof/>
          <w:color w:val="000000" w:themeColor="text1"/>
        </w:rPr>
      </w:pPr>
    </w:p>
    <w:p w14:paraId="2C377849" w14:textId="77777777" w:rsidR="0061193F" w:rsidRPr="00586B01" w:rsidRDefault="0061193F" w:rsidP="00586B01">
      <w:pPr>
        <w:pStyle w:val="Heading3"/>
        <w:spacing w:line="480" w:lineRule="auto"/>
        <w:jc w:val="both"/>
        <w:rPr>
          <w:rFonts w:ascii="Arial" w:hAnsi="Arial" w:cs="Arial"/>
          <w:color w:val="auto"/>
        </w:rPr>
      </w:pPr>
      <w:bookmarkStart w:id="65" w:name="_Toc383723875"/>
      <w:r w:rsidRPr="00586B01">
        <w:rPr>
          <w:rFonts w:ascii="Arial" w:hAnsi="Arial" w:cs="Arial"/>
          <w:noProof/>
          <w:color w:val="auto"/>
        </w:rPr>
        <w:lastRenderedPageBreak/>
        <w:t>2.3.4 Mouse multiplex metabolic hormone assay</w:t>
      </w:r>
      <w:bookmarkEnd w:id="65"/>
    </w:p>
    <w:p w14:paraId="670E64C1" w14:textId="77777777" w:rsidR="0061193F" w:rsidRDefault="0061193F" w:rsidP="0061193F">
      <w:pPr>
        <w:spacing w:line="480" w:lineRule="auto"/>
        <w:jc w:val="both"/>
        <w:rPr>
          <w:rFonts w:ascii="Arial" w:hAnsi="Arial" w:cs="Arial"/>
          <w:b/>
        </w:rPr>
      </w:pPr>
      <w:r w:rsidRPr="00AA40B0">
        <w:rPr>
          <w:rFonts w:ascii="Arial" w:hAnsi="Arial" w:cs="Arial"/>
          <w:b/>
        </w:rPr>
        <w:t>Materials</w:t>
      </w:r>
    </w:p>
    <w:p w14:paraId="2E3C30F5" w14:textId="77777777" w:rsidR="0061193F" w:rsidRPr="00A91698" w:rsidRDefault="0061193F" w:rsidP="0061193F">
      <w:pPr>
        <w:pStyle w:val="ListParagraph"/>
        <w:numPr>
          <w:ilvl w:val="0"/>
          <w:numId w:val="23"/>
        </w:numPr>
        <w:spacing w:line="480" w:lineRule="auto"/>
        <w:jc w:val="both"/>
        <w:rPr>
          <w:rFonts w:ascii="Arial" w:hAnsi="Arial" w:cs="Arial"/>
        </w:rPr>
      </w:pPr>
      <w:r w:rsidRPr="00A91698">
        <w:rPr>
          <w:rFonts w:ascii="Arial" w:hAnsi="Arial" w:cs="Arial"/>
        </w:rPr>
        <w:t>Bio-Plex</w:t>
      </w:r>
      <w:r>
        <w:rPr>
          <w:rFonts w:ascii="Arial" w:hAnsi="Arial" w:cs="Arial"/>
        </w:rPr>
        <w:t xml:space="preserve"> Pro</w:t>
      </w:r>
      <w:r>
        <w:rPr>
          <w:rFonts w:ascii="Arial" w:hAnsi="Arial" w:cs="Arial"/>
          <w:vertAlign w:val="superscript"/>
        </w:rPr>
        <w:t xml:space="preserve">TM </w:t>
      </w:r>
      <w:r>
        <w:rPr>
          <w:rFonts w:ascii="Arial" w:hAnsi="Arial" w:cs="Arial"/>
        </w:rPr>
        <w:t>Mouse diabetes 8-plex assay (171F7001M, Bio-Rad, Watford, UK)</w:t>
      </w:r>
    </w:p>
    <w:p w14:paraId="562EEF9C" w14:textId="77777777" w:rsidR="0061193F" w:rsidRPr="00AA40B0" w:rsidRDefault="0061193F" w:rsidP="0061193F">
      <w:pPr>
        <w:spacing w:line="480" w:lineRule="auto"/>
        <w:jc w:val="both"/>
        <w:rPr>
          <w:rFonts w:ascii="Arial" w:hAnsi="Arial" w:cs="Arial"/>
          <w:b/>
        </w:rPr>
      </w:pPr>
      <w:r>
        <w:rPr>
          <w:rFonts w:ascii="Arial" w:hAnsi="Arial" w:cs="Arial"/>
          <w:b/>
        </w:rPr>
        <w:t>Equipment</w:t>
      </w:r>
    </w:p>
    <w:p w14:paraId="61AB0DE2" w14:textId="77777777" w:rsidR="0061193F" w:rsidRDefault="0061193F" w:rsidP="0061193F">
      <w:pPr>
        <w:pStyle w:val="ListParagraph"/>
        <w:numPr>
          <w:ilvl w:val="0"/>
          <w:numId w:val="23"/>
        </w:numPr>
        <w:spacing w:line="480" w:lineRule="auto"/>
        <w:jc w:val="both"/>
        <w:rPr>
          <w:rFonts w:ascii="Arial" w:hAnsi="Arial" w:cs="Arial"/>
        </w:rPr>
      </w:pPr>
      <w:r>
        <w:rPr>
          <w:rFonts w:ascii="Arial" w:hAnsi="Arial" w:cs="Arial"/>
        </w:rPr>
        <w:t>Bio-Plex MAGPIX Multiplex Reader (Bio-Rad, Watford, UK)</w:t>
      </w:r>
    </w:p>
    <w:p w14:paraId="7A408B9D" w14:textId="77777777" w:rsidR="0061193F" w:rsidRDefault="0061193F" w:rsidP="0061193F">
      <w:pPr>
        <w:spacing w:line="480" w:lineRule="auto"/>
        <w:jc w:val="both"/>
        <w:rPr>
          <w:rFonts w:ascii="Arial" w:hAnsi="Arial" w:cs="Arial"/>
          <w:b/>
        </w:rPr>
      </w:pPr>
      <w:r w:rsidRPr="003E79B0">
        <w:rPr>
          <w:rFonts w:ascii="Arial" w:hAnsi="Arial" w:cs="Arial"/>
          <w:b/>
        </w:rPr>
        <w:t>Method</w:t>
      </w:r>
    </w:p>
    <w:p w14:paraId="1938F12F" w14:textId="77777777" w:rsidR="006052FC" w:rsidRDefault="0061193F" w:rsidP="00925BA1">
      <w:pPr>
        <w:spacing w:line="480" w:lineRule="auto"/>
        <w:jc w:val="both"/>
        <w:rPr>
          <w:rFonts w:ascii="Arial" w:hAnsi="Arial" w:cs="Arial"/>
          <w:shd w:val="clear" w:color="auto" w:fill="FFFFFF"/>
        </w:rPr>
      </w:pPr>
      <w:r>
        <w:rPr>
          <w:rFonts w:ascii="Arial" w:hAnsi="Arial" w:cs="Arial"/>
        </w:rPr>
        <w:t>Serum ghrelin, leptin, insulin, GIP and GLP1 concentrations were assayed in mouse sera using mouse multiplex diabetes assay (Bio-Rad,</w:t>
      </w:r>
      <w:r w:rsidRPr="003E79B0">
        <w:rPr>
          <w:rFonts w:ascii="Arial" w:hAnsi="Arial" w:cs="Arial"/>
        </w:rPr>
        <w:t xml:space="preserve"> </w:t>
      </w:r>
      <w:r>
        <w:rPr>
          <w:rFonts w:ascii="Arial" w:hAnsi="Arial" w:cs="Arial"/>
        </w:rPr>
        <w:t>Watford, UK) following manufacturers’ instructions</w:t>
      </w:r>
      <w:r w:rsidR="00920496">
        <w:rPr>
          <w:rFonts w:ascii="Arial" w:hAnsi="Arial" w:cs="Arial"/>
        </w:rPr>
        <w:t xml:space="preserve"> (Appendix 3</w:t>
      </w:r>
      <w:r w:rsidR="00B8575F">
        <w:rPr>
          <w:rFonts w:ascii="Arial" w:hAnsi="Arial" w:cs="Arial"/>
        </w:rPr>
        <w:t>)</w:t>
      </w:r>
      <w:r>
        <w:rPr>
          <w:rFonts w:ascii="Arial" w:hAnsi="Arial" w:cs="Arial"/>
        </w:rPr>
        <w:t>. The mouse diabetes assay is magnetic bead-based multiplex assay that allows measurement of multiple proteins in small volume</w:t>
      </w:r>
      <w:r w:rsidR="007B3AFA">
        <w:rPr>
          <w:rFonts w:ascii="Arial" w:hAnsi="Arial" w:cs="Arial"/>
        </w:rPr>
        <w:t>s</w:t>
      </w:r>
      <w:r>
        <w:rPr>
          <w:rFonts w:ascii="Arial" w:hAnsi="Arial" w:cs="Arial"/>
        </w:rPr>
        <w:t xml:space="preserve"> of sera (Figure</w:t>
      </w:r>
      <w:r w:rsidR="00660E11">
        <w:rPr>
          <w:rFonts w:ascii="Arial" w:hAnsi="Arial" w:cs="Arial"/>
        </w:rPr>
        <w:t xml:space="preserve"> 19</w:t>
      </w:r>
      <w:r>
        <w:rPr>
          <w:rFonts w:ascii="Arial" w:hAnsi="Arial" w:cs="Arial"/>
        </w:rPr>
        <w:t xml:space="preserve">). Briefly, </w:t>
      </w:r>
      <w:r w:rsidR="00DC1B9F">
        <w:rPr>
          <w:rFonts w:ascii="Arial" w:hAnsi="Arial" w:cs="Arial"/>
        </w:rPr>
        <w:t xml:space="preserve">a </w:t>
      </w:r>
      <w:r>
        <w:rPr>
          <w:rFonts w:ascii="Arial" w:hAnsi="Arial" w:cs="Arial"/>
        </w:rPr>
        <w:t>96-well plate was pre-coated with 50</w:t>
      </w:r>
      <w:r w:rsidRPr="00F406A8">
        <w:rPr>
          <w:rFonts w:ascii="Arial" w:hAnsi="Arial" w:cs="Arial"/>
          <w:color w:val="000000" w:themeColor="text1"/>
        </w:rPr>
        <w:sym w:font="Symbol" w:char="F06D"/>
      </w:r>
      <w:r>
        <w:rPr>
          <w:rFonts w:ascii="Arial" w:hAnsi="Arial" w:cs="Arial"/>
          <w:color w:val="000000" w:themeColor="text1"/>
        </w:rPr>
        <w:t xml:space="preserve">l of beads coupled </w:t>
      </w:r>
      <w:r>
        <w:rPr>
          <w:rFonts w:ascii="Arial" w:hAnsi="Arial" w:cs="Arial"/>
        </w:rPr>
        <w:t>with the capture antibodies. After washing twice with wash buffer, 50</w:t>
      </w:r>
      <w:r w:rsidRPr="00F406A8">
        <w:rPr>
          <w:rFonts w:ascii="Arial" w:hAnsi="Arial" w:cs="Arial"/>
          <w:color w:val="000000" w:themeColor="text1"/>
        </w:rPr>
        <w:sym w:font="Symbol" w:char="F06D"/>
      </w:r>
      <w:r>
        <w:rPr>
          <w:rFonts w:ascii="Arial" w:hAnsi="Arial" w:cs="Arial"/>
          <w:color w:val="000000" w:themeColor="text1"/>
        </w:rPr>
        <w:t>l of standards, blank and serum samples were added into the wells, incubated at room temperature with shaking</w:t>
      </w:r>
      <w:r w:rsidR="001A77FD">
        <w:rPr>
          <w:rFonts w:ascii="Arial" w:hAnsi="Arial" w:cs="Arial"/>
          <w:color w:val="000000" w:themeColor="text1"/>
        </w:rPr>
        <w:t xml:space="preserve"> for 1hr</w:t>
      </w:r>
      <w:r>
        <w:rPr>
          <w:rFonts w:ascii="Arial" w:hAnsi="Arial" w:cs="Arial"/>
          <w:color w:val="000000" w:themeColor="text1"/>
        </w:rPr>
        <w:t>, washed and followed by</w:t>
      </w:r>
      <w:r w:rsidR="00DE6EF2">
        <w:rPr>
          <w:rFonts w:ascii="Arial" w:hAnsi="Arial" w:cs="Arial"/>
          <w:color w:val="000000" w:themeColor="text1"/>
        </w:rPr>
        <w:t xml:space="preserve"> </w:t>
      </w:r>
      <w:r>
        <w:rPr>
          <w:rFonts w:ascii="Arial" w:hAnsi="Arial" w:cs="Arial"/>
          <w:color w:val="000000" w:themeColor="text1"/>
        </w:rPr>
        <w:t xml:space="preserve">the detection antibodies and </w:t>
      </w:r>
      <w:r w:rsidRPr="00A932D2">
        <w:rPr>
          <w:rFonts w:ascii="Arial" w:hAnsi="Arial" w:cs="Arial"/>
        </w:rPr>
        <w:t>streptavidin-phycoerythrin</w:t>
      </w:r>
      <w:r>
        <w:rPr>
          <w:rFonts w:ascii="Arial" w:hAnsi="Arial" w:cs="Arial"/>
        </w:rPr>
        <w:t xml:space="preserve"> (SA-PE)</w:t>
      </w:r>
      <w:r>
        <w:rPr>
          <w:rFonts w:ascii="Arial" w:hAnsi="Arial" w:cs="Arial"/>
          <w:color w:val="000000" w:themeColor="text1"/>
        </w:rPr>
        <w:t xml:space="preserve"> conjugates. Following incubation at room temperature with shaking, the plate was washed three times </w:t>
      </w:r>
      <w:r w:rsidR="00501D54">
        <w:rPr>
          <w:rFonts w:ascii="Arial" w:hAnsi="Arial" w:cs="Arial"/>
          <w:color w:val="000000" w:themeColor="text1"/>
        </w:rPr>
        <w:t xml:space="preserve">with wash buffer </w:t>
      </w:r>
      <w:r>
        <w:rPr>
          <w:rFonts w:ascii="Arial" w:hAnsi="Arial" w:cs="Arial"/>
          <w:color w:val="000000" w:themeColor="text1"/>
        </w:rPr>
        <w:t>and beads were resuspended in 125</w:t>
      </w:r>
      <w:r w:rsidRPr="00F406A8">
        <w:rPr>
          <w:rFonts w:ascii="Arial" w:hAnsi="Arial" w:cs="Arial"/>
          <w:color w:val="000000" w:themeColor="text1"/>
        </w:rPr>
        <w:sym w:font="Symbol" w:char="F06D"/>
      </w:r>
      <w:r>
        <w:rPr>
          <w:rFonts w:ascii="Arial" w:hAnsi="Arial" w:cs="Arial"/>
          <w:color w:val="000000" w:themeColor="text1"/>
        </w:rPr>
        <w:t xml:space="preserve">l assay buffer </w:t>
      </w:r>
      <w:r w:rsidR="00330FE5">
        <w:rPr>
          <w:rFonts w:ascii="Arial" w:hAnsi="Arial" w:cs="Arial"/>
          <w:color w:val="000000" w:themeColor="text1"/>
        </w:rPr>
        <w:t>with shaking at 850rpm for 30s</w:t>
      </w:r>
      <w:r>
        <w:rPr>
          <w:rFonts w:ascii="Arial" w:hAnsi="Arial" w:cs="Arial"/>
          <w:color w:val="000000" w:themeColor="text1"/>
        </w:rPr>
        <w:t>. The plate was then read on Bio-Plex system using Bio-Plex Manager software (v 6.0).</w:t>
      </w:r>
      <w:r w:rsidR="00925BA1" w:rsidRPr="00925BA1">
        <w:rPr>
          <w:rFonts w:ascii="Arial" w:hAnsi="Arial" w:cs="Arial"/>
          <w:shd w:val="clear" w:color="auto" w:fill="FFFFFF"/>
        </w:rPr>
        <w:t xml:space="preserve"> </w:t>
      </w:r>
      <w:r w:rsidR="00925BA1">
        <w:rPr>
          <w:rFonts w:ascii="Arial" w:hAnsi="Arial" w:cs="Arial"/>
          <w:shd w:val="clear" w:color="auto" w:fill="FFFFFF"/>
        </w:rPr>
        <w:t>Samples (pg/ml) were assessed i</w:t>
      </w:r>
      <w:r w:rsidR="00925BA1" w:rsidRPr="005D7968">
        <w:rPr>
          <w:rFonts w:ascii="Arial" w:hAnsi="Arial" w:cs="Arial"/>
          <w:shd w:val="clear" w:color="auto" w:fill="FFFFFF"/>
        </w:rPr>
        <w:t>n duplicate.</w:t>
      </w:r>
    </w:p>
    <w:p w14:paraId="38896853" w14:textId="77777777" w:rsidR="006052FC" w:rsidRPr="006052FC" w:rsidRDefault="006052FC" w:rsidP="006052FC">
      <w:pPr>
        <w:rPr>
          <w:rFonts w:ascii="Arial" w:hAnsi="Arial" w:cs="Arial"/>
        </w:rPr>
      </w:pPr>
    </w:p>
    <w:p w14:paraId="0A74003D" w14:textId="77777777" w:rsidR="006052FC" w:rsidRPr="006052FC" w:rsidRDefault="006052FC" w:rsidP="006052FC">
      <w:pPr>
        <w:rPr>
          <w:rFonts w:ascii="Arial" w:hAnsi="Arial" w:cs="Arial"/>
        </w:rPr>
      </w:pPr>
    </w:p>
    <w:p w14:paraId="1F39CD99" w14:textId="77777777" w:rsidR="006052FC" w:rsidRDefault="006052FC" w:rsidP="006052FC">
      <w:pPr>
        <w:rPr>
          <w:rFonts w:ascii="Arial" w:hAnsi="Arial" w:cs="Arial"/>
        </w:rPr>
      </w:pPr>
    </w:p>
    <w:p w14:paraId="07912B38" w14:textId="77777777" w:rsidR="0061193F" w:rsidRPr="006052FC" w:rsidRDefault="0061193F" w:rsidP="006052FC">
      <w:pPr>
        <w:jc w:val="center"/>
        <w:rPr>
          <w:rFonts w:ascii="Arial" w:hAnsi="Arial" w:cs="Arial"/>
        </w:rPr>
      </w:pPr>
    </w:p>
    <w:p w14:paraId="6733C581" w14:textId="77777777" w:rsidR="003853D6" w:rsidRDefault="003853D6" w:rsidP="003853D6">
      <w:pPr>
        <w:keepNext/>
        <w:spacing w:line="480" w:lineRule="auto"/>
        <w:jc w:val="center"/>
      </w:pPr>
      <w:r w:rsidRPr="003853D6">
        <w:rPr>
          <w:rFonts w:ascii="Arial" w:hAnsi="Arial" w:cs="Arial"/>
          <w:noProof/>
          <w:shd w:val="clear" w:color="auto" w:fill="FFFFFF"/>
          <w:lang w:val="en-US"/>
        </w:rPr>
        <w:lastRenderedPageBreak/>
        <w:drawing>
          <wp:inline distT="0" distB="0" distL="0" distR="0" wp14:anchorId="32C5FD57" wp14:editId="7094D057">
            <wp:extent cx="4847900" cy="2917825"/>
            <wp:effectExtent l="0" t="0" r="0" b="3175"/>
            <wp:docPr id="10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48784" cy="2918357"/>
                    </a:xfrm>
                    <a:prstGeom prst="rect">
                      <a:avLst/>
                    </a:prstGeom>
                    <a:noFill/>
                    <a:ln>
                      <a:noFill/>
                    </a:ln>
                  </pic:spPr>
                </pic:pic>
              </a:graphicData>
            </a:graphic>
          </wp:inline>
        </w:drawing>
      </w:r>
    </w:p>
    <w:p w14:paraId="482CCE9D" w14:textId="77777777" w:rsidR="0061193F" w:rsidRPr="003853D6" w:rsidRDefault="003853D6" w:rsidP="003853D6">
      <w:pPr>
        <w:pStyle w:val="Caption"/>
        <w:spacing w:line="360" w:lineRule="auto"/>
        <w:jc w:val="both"/>
        <w:rPr>
          <w:rFonts w:ascii="Arial" w:hAnsi="Arial" w:cs="Arial"/>
          <w:color w:val="244061" w:themeColor="accent1" w:themeShade="80"/>
          <w:sz w:val="24"/>
          <w:szCs w:val="24"/>
          <w:shd w:val="clear" w:color="auto" w:fill="FFFFFF"/>
        </w:rPr>
      </w:pPr>
      <w:bookmarkStart w:id="66" w:name="_Toc383544610"/>
      <w:r w:rsidRPr="003853D6">
        <w:rPr>
          <w:rFonts w:ascii="Arial" w:hAnsi="Arial" w:cs="Arial"/>
          <w:color w:val="244061" w:themeColor="accent1" w:themeShade="80"/>
          <w:sz w:val="24"/>
          <w:szCs w:val="24"/>
        </w:rPr>
        <w:t xml:space="preserve">Figure </w:t>
      </w:r>
      <w:r w:rsidRPr="003853D6">
        <w:rPr>
          <w:rFonts w:ascii="Arial" w:hAnsi="Arial" w:cs="Arial"/>
          <w:color w:val="244061" w:themeColor="accent1" w:themeShade="80"/>
          <w:sz w:val="24"/>
          <w:szCs w:val="24"/>
        </w:rPr>
        <w:fldChar w:fldCharType="begin"/>
      </w:r>
      <w:r w:rsidRPr="003853D6">
        <w:rPr>
          <w:rFonts w:ascii="Arial" w:hAnsi="Arial" w:cs="Arial"/>
          <w:color w:val="244061" w:themeColor="accent1" w:themeShade="80"/>
          <w:sz w:val="24"/>
          <w:szCs w:val="24"/>
        </w:rPr>
        <w:instrText xml:space="preserve"> SEQ Figure \* ARABIC </w:instrText>
      </w:r>
      <w:r w:rsidRPr="003853D6">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19</w:t>
      </w:r>
      <w:r w:rsidRPr="003853D6">
        <w:rPr>
          <w:rFonts w:ascii="Arial" w:hAnsi="Arial" w:cs="Arial"/>
          <w:color w:val="244061" w:themeColor="accent1" w:themeShade="80"/>
          <w:sz w:val="24"/>
          <w:szCs w:val="24"/>
        </w:rPr>
        <w:fldChar w:fldCharType="end"/>
      </w:r>
      <w:r w:rsidRPr="003853D6">
        <w:rPr>
          <w:rFonts w:ascii="Arial" w:hAnsi="Arial" w:cs="Arial"/>
          <w:color w:val="244061" w:themeColor="accent1" w:themeShade="80"/>
          <w:sz w:val="24"/>
          <w:szCs w:val="24"/>
        </w:rPr>
        <w:t xml:space="preserve"> </w:t>
      </w:r>
      <w:r w:rsidR="0061193F" w:rsidRPr="003853D6">
        <w:rPr>
          <w:rFonts w:ascii="Arial" w:hAnsi="Arial" w:cs="Arial"/>
          <w:color w:val="244061" w:themeColor="accent1" w:themeShade="80"/>
          <w:sz w:val="24"/>
          <w:szCs w:val="24"/>
        </w:rPr>
        <w:t>Schematic representation of Bio-Plex sandwich immunoassay principle</w:t>
      </w:r>
      <w:bookmarkEnd w:id="66"/>
    </w:p>
    <w:p w14:paraId="79FF3453" w14:textId="77777777" w:rsidR="0061193F" w:rsidRPr="0099025C" w:rsidRDefault="0061193F" w:rsidP="0061193F">
      <w:pPr>
        <w:spacing w:line="360" w:lineRule="auto"/>
        <w:jc w:val="both"/>
        <w:rPr>
          <w:rFonts w:ascii="Arial" w:hAnsi="Arial" w:cs="Arial"/>
          <w:sz w:val="22"/>
          <w:szCs w:val="22"/>
        </w:rPr>
      </w:pPr>
      <w:r w:rsidRPr="0099025C">
        <w:rPr>
          <w:rFonts w:ascii="Arial" w:hAnsi="Arial" w:cs="Arial"/>
          <w:sz w:val="22"/>
          <w:szCs w:val="22"/>
        </w:rPr>
        <w:t xml:space="preserve">The magnetic beads covalently bound to the capture antibodies react with the sample containing the </w:t>
      </w:r>
      <w:r w:rsidR="006052FC">
        <w:rPr>
          <w:rFonts w:ascii="Arial" w:hAnsi="Arial" w:cs="Arial"/>
          <w:sz w:val="22"/>
          <w:szCs w:val="22"/>
        </w:rPr>
        <w:t>biomarkers</w:t>
      </w:r>
      <w:r w:rsidRPr="0099025C">
        <w:rPr>
          <w:rFonts w:ascii="Arial" w:hAnsi="Arial" w:cs="Arial"/>
          <w:sz w:val="22"/>
          <w:szCs w:val="22"/>
        </w:rPr>
        <w:t xml:space="preserve"> of interest. After the series of washes to remove the unbound protein, biotinylated detection antibody is added to create sandwich complex. The final detection complex is formed by the addition of streptavidin-phycoerythrin (SA-PE) conjugate, where PE serves as </w:t>
      </w:r>
      <w:r>
        <w:rPr>
          <w:rFonts w:ascii="Arial" w:hAnsi="Arial" w:cs="Arial"/>
          <w:sz w:val="22"/>
          <w:szCs w:val="22"/>
        </w:rPr>
        <w:t xml:space="preserve">a </w:t>
      </w:r>
      <w:r w:rsidRPr="0099025C">
        <w:rPr>
          <w:rFonts w:ascii="Arial" w:hAnsi="Arial" w:cs="Arial"/>
          <w:sz w:val="22"/>
          <w:szCs w:val="22"/>
        </w:rPr>
        <w:t>fluorescent</w:t>
      </w:r>
      <w:r>
        <w:rPr>
          <w:rFonts w:ascii="Arial" w:hAnsi="Arial" w:cs="Arial"/>
          <w:sz w:val="22"/>
          <w:szCs w:val="22"/>
        </w:rPr>
        <w:t xml:space="preserve"> indicator/</w:t>
      </w:r>
      <w:r w:rsidRPr="0099025C">
        <w:rPr>
          <w:rFonts w:ascii="Arial" w:hAnsi="Arial" w:cs="Arial"/>
          <w:sz w:val="22"/>
          <w:szCs w:val="22"/>
        </w:rPr>
        <w:t>reporter (</w:t>
      </w:r>
      <w:r>
        <w:rPr>
          <w:rFonts w:ascii="Arial" w:hAnsi="Arial" w:cs="Arial"/>
          <w:sz w:val="22"/>
          <w:szCs w:val="22"/>
        </w:rPr>
        <w:t xml:space="preserve">Bio-Plex Pro Diabetes Assay Instruction manual, </w:t>
      </w:r>
      <w:r w:rsidRPr="0099025C">
        <w:rPr>
          <w:rFonts w:ascii="Arial" w:hAnsi="Arial" w:cs="Arial"/>
          <w:sz w:val="22"/>
          <w:szCs w:val="22"/>
        </w:rPr>
        <w:t>Bio-Rad, Watford, UK).</w:t>
      </w:r>
    </w:p>
    <w:p w14:paraId="4E874571" w14:textId="77777777" w:rsidR="003853D6" w:rsidRDefault="003853D6" w:rsidP="00D40E59">
      <w:pPr>
        <w:pStyle w:val="Heading2"/>
      </w:pPr>
    </w:p>
    <w:p w14:paraId="367FF278" w14:textId="77777777" w:rsidR="003853D6" w:rsidRPr="003853D6" w:rsidRDefault="003853D6" w:rsidP="003853D6"/>
    <w:p w14:paraId="6585A714" w14:textId="77777777" w:rsidR="0061193F" w:rsidRDefault="0061193F" w:rsidP="00D40E59">
      <w:pPr>
        <w:pStyle w:val="Heading2"/>
      </w:pPr>
      <w:bookmarkStart w:id="67" w:name="_Toc383723876"/>
      <w:r>
        <w:t>2.4 Statistical analysis</w:t>
      </w:r>
      <w:bookmarkEnd w:id="67"/>
    </w:p>
    <w:p w14:paraId="5367A107" w14:textId="77777777" w:rsidR="0061193F" w:rsidRPr="000C4470" w:rsidRDefault="0061193F" w:rsidP="003853D6">
      <w:pPr>
        <w:widowControl w:val="0"/>
        <w:autoSpaceDE w:val="0"/>
        <w:autoSpaceDN w:val="0"/>
        <w:adjustRightInd w:val="0"/>
        <w:spacing w:after="240" w:line="480" w:lineRule="auto"/>
        <w:jc w:val="both"/>
        <w:rPr>
          <w:rFonts w:ascii="Arial" w:hAnsi="Arial" w:cs="Arial"/>
          <w:lang w:eastAsia="en-GB"/>
        </w:rPr>
      </w:pPr>
      <w:r>
        <w:rPr>
          <w:rFonts w:ascii="Arial" w:hAnsi="Arial" w:cs="Arial"/>
          <w:color w:val="000000" w:themeColor="text1"/>
        </w:rPr>
        <w:t xml:space="preserve">All analyses were performed using GraphPad Prism software 6.0f version (GraphPad Inc, La Jolla, CA, USA). The results were presented as the mean </w:t>
      </w:r>
      <w:r w:rsidRPr="008011A8">
        <w:rPr>
          <w:rFonts w:ascii="Arial" w:eastAsia="MS Gothic" w:hAnsi="Arial" w:cs="Arial"/>
          <w:color w:val="000000"/>
        </w:rPr>
        <w:t>±</w:t>
      </w:r>
      <w:r>
        <w:rPr>
          <w:rFonts w:ascii="Arial" w:eastAsia="MS Gothic" w:hAnsi="Arial" w:cs="Arial"/>
          <w:color w:val="000000"/>
        </w:rPr>
        <w:t xml:space="preserve"> standard error (SE). </w:t>
      </w:r>
      <w:r>
        <w:rPr>
          <w:rFonts w:ascii="Arial" w:hAnsi="Arial" w:cs="Arial"/>
          <w:color w:val="000000" w:themeColor="text1"/>
        </w:rPr>
        <w:t xml:space="preserve">The Normal distribution of data was assessed using </w:t>
      </w:r>
      <w:r w:rsidRPr="00091339">
        <w:rPr>
          <w:rFonts w:ascii="Arial" w:hAnsi="Arial" w:cs="Arial"/>
          <w:lang w:eastAsia="en-GB"/>
        </w:rPr>
        <w:t>the Shapiro-Wilk</w:t>
      </w:r>
      <w:r>
        <w:rPr>
          <w:rFonts w:ascii="Arial" w:hAnsi="Arial" w:cs="Arial"/>
          <w:color w:val="000000" w:themeColor="text1"/>
        </w:rPr>
        <w:t xml:space="preserve"> normality test. Statistical significance was tested using parametric or non-parametric statistical tests. For comparing two groups, two-tail Student’s </w:t>
      </w:r>
      <w:r w:rsidRPr="00152963">
        <w:rPr>
          <w:rFonts w:ascii="Arial" w:hAnsi="Arial" w:cs="Arial"/>
          <w:i/>
          <w:color w:val="000000" w:themeColor="text1"/>
        </w:rPr>
        <w:t>t</w:t>
      </w:r>
      <w:r>
        <w:rPr>
          <w:rFonts w:ascii="Arial" w:hAnsi="Arial" w:cs="Arial"/>
          <w:color w:val="000000" w:themeColor="text1"/>
        </w:rPr>
        <w:t xml:space="preserve">-test (paired or unpaired) was used or Mann-Whitney test if the data were not normally distributed. For comparing more than two groups, two-way ANOVA (analysis of variance) was used with Tukey post-hoc test or </w:t>
      </w:r>
      <w:r w:rsidRPr="00A67E23">
        <w:rPr>
          <w:rFonts w:ascii="Arial" w:hAnsi="Arial" w:cs="Arial"/>
          <w:lang w:eastAsia="en-GB"/>
        </w:rPr>
        <w:t xml:space="preserve">Kruskal-Wallis test with Dunn’s </w:t>
      </w:r>
      <w:r>
        <w:rPr>
          <w:rFonts w:ascii="Arial" w:hAnsi="Arial" w:cs="Arial"/>
          <w:lang w:eastAsia="en-GB"/>
        </w:rPr>
        <w:t xml:space="preserve">post-hoc test if the data were not normally distributed to assess the effects of loading, fasting/feeding and their </w:t>
      </w:r>
      <w:r w:rsidRPr="00F43FA4">
        <w:rPr>
          <w:rFonts w:ascii="Arial" w:hAnsi="Arial" w:cs="Arial"/>
          <w:lang w:eastAsia="en-GB"/>
        </w:rPr>
        <w:t xml:space="preserve">interactions within and across the </w:t>
      </w:r>
      <w:r>
        <w:rPr>
          <w:rFonts w:ascii="Arial" w:hAnsi="Arial" w:cs="Arial"/>
          <w:lang w:eastAsia="en-GB"/>
        </w:rPr>
        <w:t xml:space="preserve">experimental </w:t>
      </w:r>
      <w:r w:rsidRPr="00F43FA4">
        <w:rPr>
          <w:rFonts w:ascii="Arial" w:hAnsi="Arial" w:cs="Arial"/>
          <w:lang w:eastAsia="en-GB"/>
        </w:rPr>
        <w:t>groups.</w:t>
      </w:r>
      <w:r w:rsidR="003853D6">
        <w:rPr>
          <w:rFonts w:ascii="Arial" w:hAnsi="Arial" w:cs="Arial"/>
          <w:lang w:eastAsia="en-GB"/>
        </w:rPr>
        <w:t xml:space="preserve"> </w:t>
      </w:r>
      <w:r>
        <w:rPr>
          <w:rFonts w:ascii="Arial" w:hAnsi="Arial" w:cs="Arial"/>
          <w:lang w:eastAsia="en-GB"/>
        </w:rPr>
        <w:t xml:space="preserve">The significance was set </w:t>
      </w:r>
      <w:r w:rsidRPr="00152963">
        <w:rPr>
          <w:rFonts w:ascii="Arial" w:hAnsi="Arial" w:cs="Arial"/>
          <w:color w:val="0C0C0C"/>
          <w:lang w:eastAsia="en-GB"/>
        </w:rPr>
        <w:t xml:space="preserve">at p&lt;0.05. </w:t>
      </w:r>
    </w:p>
    <w:p w14:paraId="49995F8F" w14:textId="77777777" w:rsidR="00E9205E" w:rsidRPr="009209C8" w:rsidRDefault="00E9205E" w:rsidP="00204988">
      <w:pPr>
        <w:pStyle w:val="TOCHeading"/>
        <w:rPr>
          <w:sz w:val="24"/>
          <w:szCs w:val="24"/>
        </w:rPr>
      </w:pPr>
    </w:p>
    <w:p w14:paraId="1BF3DEDF" w14:textId="77777777" w:rsidR="009209C8" w:rsidRPr="009209C8" w:rsidRDefault="009209C8" w:rsidP="009209C8">
      <w:pPr>
        <w:pStyle w:val="TOCHeading"/>
        <w:spacing w:line="360" w:lineRule="auto"/>
        <w:rPr>
          <w:rFonts w:eastAsia="Times New Roman"/>
          <w:bCs w:val="0"/>
          <w:color w:val="1F497D" w:themeColor="text2"/>
          <w:sz w:val="24"/>
          <w:szCs w:val="24"/>
          <w:u w:val="double"/>
        </w:rPr>
      </w:pPr>
      <w:bookmarkStart w:id="68" w:name="_Toc383723877"/>
    </w:p>
    <w:p w14:paraId="75B9D664" w14:textId="77777777" w:rsidR="009209C8" w:rsidRPr="009209C8" w:rsidRDefault="009209C8" w:rsidP="009209C8">
      <w:pPr>
        <w:pStyle w:val="TOCHeading"/>
        <w:spacing w:line="360" w:lineRule="auto"/>
        <w:rPr>
          <w:rFonts w:eastAsia="Times New Roman"/>
          <w:bCs w:val="0"/>
          <w:color w:val="1F497D" w:themeColor="text2"/>
          <w:sz w:val="24"/>
          <w:szCs w:val="24"/>
          <w:u w:val="double"/>
        </w:rPr>
      </w:pPr>
    </w:p>
    <w:p w14:paraId="7562C22C" w14:textId="77777777" w:rsidR="009209C8" w:rsidRDefault="009209C8" w:rsidP="009209C8">
      <w:pPr>
        <w:pStyle w:val="TOCHeading"/>
        <w:spacing w:line="360" w:lineRule="auto"/>
        <w:rPr>
          <w:rFonts w:eastAsia="Times New Roman"/>
          <w:bCs w:val="0"/>
          <w:color w:val="1F497D" w:themeColor="text2"/>
          <w:sz w:val="40"/>
          <w:szCs w:val="40"/>
          <w:u w:val="double"/>
        </w:rPr>
      </w:pPr>
      <w:r>
        <w:rPr>
          <w:rFonts w:eastAsia="Times New Roman"/>
          <w:bCs w:val="0"/>
          <w:color w:val="1F497D" w:themeColor="text2"/>
          <w:sz w:val="40"/>
          <w:szCs w:val="40"/>
          <w:u w:val="double"/>
        </w:rPr>
        <w:t>CHAPTER 3</w:t>
      </w:r>
    </w:p>
    <w:p w14:paraId="68BFF7F6" w14:textId="77777777" w:rsidR="00A0409D" w:rsidRPr="00707E30" w:rsidRDefault="00A0409D" w:rsidP="00204988">
      <w:pPr>
        <w:pStyle w:val="Heading1"/>
      </w:pPr>
      <w:r w:rsidRPr="00707E30">
        <w:t>The effect of mechanical loading on bone mass and architecture of fed or overnight fasted young mice</w:t>
      </w:r>
      <w:bookmarkEnd w:id="68"/>
    </w:p>
    <w:p w14:paraId="27987A73" w14:textId="77777777" w:rsidR="00A0409D" w:rsidRPr="006E4E43" w:rsidRDefault="00A0409D" w:rsidP="00204988">
      <w:pPr>
        <w:pStyle w:val="TOCHeading"/>
      </w:pPr>
    </w:p>
    <w:p w14:paraId="1F9E5EB4" w14:textId="77777777" w:rsidR="00A0409D" w:rsidRDefault="00A0409D" w:rsidP="00204988">
      <w:pPr>
        <w:pStyle w:val="TOCHeading"/>
      </w:pPr>
    </w:p>
    <w:p w14:paraId="19A3D976" w14:textId="77777777" w:rsidR="00A0409D" w:rsidRDefault="00A0409D" w:rsidP="00204988">
      <w:pPr>
        <w:pStyle w:val="TOCHeading"/>
      </w:pPr>
    </w:p>
    <w:p w14:paraId="3DDA54F1" w14:textId="77777777" w:rsidR="00A0409D" w:rsidRDefault="00A0409D" w:rsidP="00204988">
      <w:pPr>
        <w:pStyle w:val="TOCHeading"/>
      </w:pPr>
    </w:p>
    <w:p w14:paraId="7BF9698E" w14:textId="77777777" w:rsidR="00A0409D" w:rsidRDefault="00A0409D" w:rsidP="00204988">
      <w:pPr>
        <w:pStyle w:val="TOCHeading"/>
      </w:pPr>
    </w:p>
    <w:p w14:paraId="2A535BC8" w14:textId="77777777" w:rsidR="00A0409D" w:rsidRDefault="00A0409D" w:rsidP="00204988">
      <w:pPr>
        <w:pStyle w:val="TOCHeading"/>
      </w:pPr>
    </w:p>
    <w:p w14:paraId="5AF4D069" w14:textId="77777777" w:rsidR="00A0409D" w:rsidRDefault="00A0409D" w:rsidP="00204988">
      <w:pPr>
        <w:pStyle w:val="TOCHeading"/>
      </w:pPr>
    </w:p>
    <w:p w14:paraId="7CEC344B" w14:textId="77777777" w:rsidR="00A0409D" w:rsidRDefault="00A0409D" w:rsidP="00204988">
      <w:pPr>
        <w:pStyle w:val="TOCHeading"/>
      </w:pPr>
    </w:p>
    <w:p w14:paraId="0C9F0D85" w14:textId="77777777" w:rsidR="00A0409D" w:rsidRDefault="00A0409D" w:rsidP="00204988">
      <w:pPr>
        <w:pStyle w:val="TOCHeading"/>
      </w:pPr>
    </w:p>
    <w:p w14:paraId="4CD66CED" w14:textId="77777777" w:rsidR="00A0409D" w:rsidRDefault="00A0409D" w:rsidP="00204988">
      <w:pPr>
        <w:pStyle w:val="TOCHeading"/>
      </w:pPr>
    </w:p>
    <w:p w14:paraId="591D901F" w14:textId="77777777" w:rsidR="001F7C74" w:rsidRDefault="001F7C74" w:rsidP="00204988">
      <w:pPr>
        <w:pStyle w:val="TOCHeading"/>
      </w:pPr>
    </w:p>
    <w:p w14:paraId="5E2ECECD" w14:textId="77777777" w:rsidR="00A0409D" w:rsidRDefault="00A0409D" w:rsidP="00D40E59">
      <w:pPr>
        <w:pStyle w:val="Heading2"/>
      </w:pPr>
      <w:bookmarkStart w:id="69" w:name="_Toc383723878"/>
      <w:r>
        <w:lastRenderedPageBreak/>
        <w:t>3.1 Introduction</w:t>
      </w:r>
      <w:bookmarkEnd w:id="69"/>
    </w:p>
    <w:p w14:paraId="44C06AA2" w14:textId="77777777" w:rsidR="00A0409D" w:rsidRDefault="00A0409D" w:rsidP="001F7C74">
      <w:pPr>
        <w:spacing w:line="480" w:lineRule="auto"/>
        <w:jc w:val="both"/>
        <w:rPr>
          <w:rFonts w:ascii="Arial" w:hAnsi="Arial"/>
          <w:bCs/>
        </w:rPr>
      </w:pPr>
      <w:r>
        <w:rPr>
          <w:rFonts w:ascii="Arial" w:hAnsi="Arial"/>
          <w:bCs/>
        </w:rPr>
        <w:t xml:space="preserve">The effects of mechanical loading on bone mass and architecture are widely studied on animal models. Various </w:t>
      </w:r>
      <w:r w:rsidRPr="00345C5D">
        <w:rPr>
          <w:rFonts w:ascii="Arial" w:hAnsi="Arial"/>
          <w:bCs/>
          <w:i/>
        </w:rPr>
        <w:t>in vivo</w:t>
      </w:r>
      <w:r>
        <w:rPr>
          <w:rFonts w:ascii="Arial" w:hAnsi="Arial"/>
          <w:bCs/>
        </w:rPr>
        <w:t xml:space="preserve"> models of both increased and decreased mechanical loadings were designed to investigate bone’s adaptive response to mechanical loading similar to the physiological processes observed in humans. </w:t>
      </w:r>
    </w:p>
    <w:p w14:paraId="24C7B2BA" w14:textId="77777777" w:rsidR="00A0409D" w:rsidRDefault="00A0409D" w:rsidP="00A0409D">
      <w:pPr>
        <w:spacing w:line="480" w:lineRule="auto"/>
        <w:jc w:val="both"/>
        <w:rPr>
          <w:rFonts w:ascii="Arial" w:hAnsi="Arial"/>
          <w:bCs/>
        </w:rPr>
      </w:pPr>
    </w:p>
    <w:p w14:paraId="1C20564D" w14:textId="77777777" w:rsidR="00A0409D" w:rsidRDefault="00A0409D" w:rsidP="00A0409D">
      <w:pPr>
        <w:spacing w:line="480" w:lineRule="auto"/>
        <w:jc w:val="both"/>
        <w:rPr>
          <w:rFonts w:ascii="Arial" w:hAnsi="Arial"/>
          <w:bCs/>
          <w:noProof/>
        </w:rPr>
      </w:pPr>
      <w:r>
        <w:rPr>
          <w:rFonts w:ascii="Arial" w:hAnsi="Arial"/>
          <w:bCs/>
        </w:rPr>
        <w:t>Invasive models of increased mechanical loading were used in variety of model organisms since 19</w:t>
      </w:r>
      <w:r w:rsidRPr="00B24E6E">
        <w:rPr>
          <w:rFonts w:ascii="Arial" w:hAnsi="Arial"/>
          <w:bCs/>
          <w:vertAlign w:val="superscript"/>
        </w:rPr>
        <w:t>th</w:t>
      </w:r>
      <w:r>
        <w:rPr>
          <w:rFonts w:ascii="Arial" w:hAnsi="Arial"/>
          <w:bCs/>
        </w:rPr>
        <w:t xml:space="preserve"> century </w:t>
      </w:r>
      <w:r w:rsidR="003D2F2D">
        <w:rPr>
          <w:rFonts w:ascii="Arial" w:hAnsi="Arial"/>
          <w:bCs/>
        </w:rPr>
        <w:fldChar w:fldCharType="begin">
          <w:fldData xml:space="preserve">PEVuZE5vdGU+PENpdGU+PEF1dGhvcj5SaWVzZW5mZWxkPC9BdXRob3I+PFllYXI+MTk3MjwvWWVh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</w:fldData>
        </w:fldChar>
      </w:r>
      <w:r w:rsidR="00651EFF">
        <w:rPr>
          <w:rFonts w:ascii="Arial" w:hAnsi="Arial"/>
          <w:bCs/>
        </w:rPr>
        <w:instrText xml:space="preserve"> ADDIN EN.CITE </w:instrText>
      </w:r>
      <w:r w:rsidR="00651EFF">
        <w:rPr>
          <w:rFonts w:ascii="Arial" w:hAnsi="Arial"/>
          <w:bCs/>
        </w:rPr>
        <w:fldChar w:fldCharType="begin">
          <w:fldData xml:space="preserve">PEVuZE5vdGU+PENpdGU+PEF1dGhvcj5SaWVzZW5mZWxkPC9BdXRob3I+PFllYXI+MTk3MjwvWWVh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</w:fldData>
        </w:fldChar>
      </w:r>
      <w:r w:rsidR="00651EFF">
        <w:rPr>
          <w:rFonts w:ascii="Arial" w:hAnsi="Arial"/>
          <w:bCs/>
        </w:rPr>
        <w:instrText xml:space="preserve"> ADDIN EN.CITE.DATA </w:instrText>
      </w:r>
      <w:r w:rsidR="00651EFF">
        <w:rPr>
          <w:rFonts w:ascii="Arial" w:hAnsi="Arial"/>
          <w:bCs/>
        </w:rPr>
      </w:r>
      <w:r w:rsidR="00651EFF">
        <w:rPr>
          <w:rFonts w:ascii="Arial" w:hAnsi="Arial"/>
          <w:bCs/>
        </w:rPr>
        <w:fldChar w:fldCharType="end"/>
      </w:r>
      <w:r w:rsidR="003D2F2D">
        <w:rPr>
          <w:rFonts w:ascii="Arial" w:hAnsi="Arial"/>
          <w:bCs/>
        </w:rPr>
      </w:r>
      <w:r w:rsidR="003D2F2D">
        <w:rPr>
          <w:rFonts w:ascii="Arial" w:hAnsi="Arial"/>
          <w:bCs/>
        </w:rPr>
        <w:fldChar w:fldCharType="separate"/>
      </w:r>
      <w:r w:rsidR="00A369B7">
        <w:rPr>
          <w:rFonts w:ascii="Arial" w:hAnsi="Arial"/>
          <w:bCs/>
          <w:noProof/>
        </w:rPr>
        <w:t>(Riesenfeld, 1972, Goodship et al., 1979, Lanyon et al., 1982, Hille et al., 1988)</w:t>
      </w:r>
      <w:r w:rsidR="003D2F2D">
        <w:rPr>
          <w:rFonts w:ascii="Arial" w:hAnsi="Arial"/>
          <w:bCs/>
        </w:rPr>
        <w:fldChar w:fldCharType="end"/>
      </w:r>
      <w:r w:rsidR="00A369B7">
        <w:rPr>
          <w:rFonts w:ascii="Arial" w:hAnsi="Arial"/>
          <w:bCs/>
        </w:rPr>
        <w:t xml:space="preserve">. </w:t>
      </w:r>
      <w:r>
        <w:rPr>
          <w:rFonts w:ascii="Arial" w:hAnsi="Arial"/>
          <w:bCs/>
        </w:rPr>
        <w:t>More developed models of invasive loading involved surgical placement and embedding of the metal pins into the proximal and distal cortices of the long bones and application of axial loading between the pins</w:t>
      </w:r>
      <w:r w:rsidR="00801D47">
        <w:rPr>
          <w:rFonts w:ascii="Arial" w:hAnsi="Arial"/>
          <w:bCs/>
        </w:rPr>
        <w:t xml:space="preserve"> </w:t>
      </w:r>
      <w:r w:rsidR="00801D47">
        <w:rPr>
          <w:rFonts w:ascii="Arial" w:hAnsi="Arial"/>
          <w:bCs/>
        </w:rPr>
        <w:fldChar w:fldCharType="begin">
          <w:fldData xml:space="preserve">PEVuZE5vdGU+PENpdGU+PEF1dGhvcj5IZXJ0PC9BdXRob3I+PFllYXI+MTk3MTwvWWVhcj48UmVj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</w:fldData>
        </w:fldChar>
      </w:r>
      <w:r w:rsidR="00B97465">
        <w:rPr>
          <w:rFonts w:ascii="Arial" w:hAnsi="Arial"/>
          <w:bCs/>
        </w:rPr>
        <w:instrText xml:space="preserve"> ADDIN EN.CITE </w:instrText>
      </w:r>
      <w:r w:rsidR="00B97465">
        <w:rPr>
          <w:rFonts w:ascii="Arial" w:hAnsi="Arial"/>
          <w:bCs/>
        </w:rPr>
        <w:fldChar w:fldCharType="begin">
          <w:fldData xml:space="preserve">PEVuZE5vdGU+PENpdGU+PEF1dGhvcj5IZXJ0PC9BdXRob3I+PFllYXI+MTk3MTwvWWVhcj48UmVj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</w:fldData>
        </w:fldChar>
      </w:r>
      <w:r w:rsidR="00B97465">
        <w:rPr>
          <w:rFonts w:ascii="Arial" w:hAnsi="Arial"/>
          <w:bCs/>
        </w:rPr>
        <w:instrText xml:space="preserve"> ADDIN EN.CITE.DATA </w:instrText>
      </w:r>
      <w:r w:rsidR="00B97465">
        <w:rPr>
          <w:rFonts w:ascii="Arial" w:hAnsi="Arial"/>
          <w:bCs/>
        </w:rPr>
      </w:r>
      <w:r w:rsidR="00B97465">
        <w:rPr>
          <w:rFonts w:ascii="Arial" w:hAnsi="Arial"/>
          <w:bCs/>
        </w:rPr>
        <w:fldChar w:fldCharType="end"/>
      </w:r>
      <w:r w:rsidR="00801D47">
        <w:rPr>
          <w:rFonts w:ascii="Arial" w:hAnsi="Arial"/>
          <w:bCs/>
        </w:rPr>
      </w:r>
      <w:r w:rsidR="00801D47">
        <w:rPr>
          <w:rFonts w:ascii="Arial" w:hAnsi="Arial"/>
          <w:bCs/>
        </w:rPr>
        <w:fldChar w:fldCharType="separate"/>
      </w:r>
      <w:r w:rsidR="009467A2">
        <w:rPr>
          <w:rFonts w:ascii="Arial" w:hAnsi="Arial"/>
          <w:bCs/>
          <w:noProof/>
        </w:rPr>
        <w:t>(Hert et al., 1971, Lisková and Hert, 1971, Churches et al., 1979, Churches and Howlett, 1982, O'Connor et al., 1982)</w:t>
      </w:r>
      <w:r w:rsidR="00801D47">
        <w:rPr>
          <w:rFonts w:ascii="Arial" w:hAnsi="Arial"/>
          <w:bCs/>
        </w:rPr>
        <w:fldChar w:fldCharType="end"/>
      </w:r>
      <w:r w:rsidR="009467A2">
        <w:rPr>
          <w:rFonts w:ascii="Arial" w:hAnsi="Arial"/>
          <w:bCs/>
        </w:rPr>
        <w:t xml:space="preserve">. </w:t>
      </w:r>
      <w:r>
        <w:rPr>
          <w:rFonts w:ascii="Arial" w:hAnsi="Arial"/>
          <w:bCs/>
        </w:rPr>
        <w:t xml:space="preserve">Rubin and Lanyon further adapted this model in 1980s by isolating the avian ulna and placing surgical pins into the either ends of central part of the ulna through which the loading was applied </w:t>
      </w:r>
      <w:r w:rsidR="00EE3B13">
        <w:rPr>
          <w:rFonts w:ascii="Arial" w:hAnsi="Arial"/>
          <w:bCs/>
        </w:rPr>
        <w:fldChar w:fldCharType="begin">
          <w:fldData xml:space="preserve">PEVuZE5vdGU+PENpdGU+PEF1dGhvcj5SdWJpbjwvQXV0aG9yPjxZZWFyPjE5ODQ8L1llYXI+PFJl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</w:fldData>
        </w:fldChar>
      </w:r>
      <w:r w:rsidR="0000415D">
        <w:rPr>
          <w:rFonts w:ascii="Arial" w:hAnsi="Arial"/>
          <w:bCs/>
        </w:rPr>
        <w:instrText xml:space="preserve"> ADDIN EN.CITE </w:instrText>
      </w:r>
      <w:r w:rsidR="0000415D">
        <w:rPr>
          <w:rFonts w:ascii="Arial" w:hAnsi="Arial"/>
          <w:bCs/>
        </w:rPr>
        <w:fldChar w:fldCharType="begin">
          <w:fldData xml:space="preserve">PEVuZE5vdGU+PENpdGU+PEF1dGhvcj5SdWJpbjwvQXV0aG9yPjxZZWFyPjE5ODQ8L1llYXI+PFJl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</w:fldData>
        </w:fldChar>
      </w:r>
      <w:r w:rsidR="0000415D">
        <w:rPr>
          <w:rFonts w:ascii="Arial" w:hAnsi="Arial"/>
          <w:bCs/>
        </w:rPr>
        <w:instrText xml:space="preserve"> ADDIN EN.CITE.DATA </w:instrText>
      </w:r>
      <w:r w:rsidR="0000415D">
        <w:rPr>
          <w:rFonts w:ascii="Arial" w:hAnsi="Arial"/>
          <w:bCs/>
        </w:rPr>
      </w:r>
      <w:r w:rsidR="0000415D">
        <w:rPr>
          <w:rFonts w:ascii="Arial" w:hAnsi="Arial"/>
          <w:bCs/>
        </w:rPr>
        <w:fldChar w:fldCharType="end"/>
      </w:r>
      <w:r w:rsidR="00EE3B13">
        <w:rPr>
          <w:rFonts w:ascii="Arial" w:hAnsi="Arial"/>
          <w:bCs/>
        </w:rPr>
      </w:r>
      <w:r w:rsidR="00EE3B13">
        <w:rPr>
          <w:rFonts w:ascii="Arial" w:hAnsi="Arial"/>
          <w:bCs/>
        </w:rPr>
        <w:fldChar w:fldCharType="separate"/>
      </w:r>
      <w:r w:rsidR="00DB24C9">
        <w:rPr>
          <w:rFonts w:ascii="Arial" w:hAnsi="Arial"/>
          <w:bCs/>
          <w:noProof/>
        </w:rPr>
        <w:t>(Rubin and Lanyon, 1984, Rubin and Lanyon, 1985, Rubin and Lanyon, 1987)</w:t>
      </w:r>
      <w:r w:rsidR="00EE3B13">
        <w:rPr>
          <w:rFonts w:ascii="Arial" w:hAnsi="Arial"/>
          <w:bCs/>
        </w:rPr>
        <w:fldChar w:fldCharType="end"/>
      </w:r>
      <w:r w:rsidR="00EF5469">
        <w:rPr>
          <w:rFonts w:ascii="Arial" w:hAnsi="Arial"/>
          <w:bCs/>
        </w:rPr>
        <w:t xml:space="preserve">. </w:t>
      </w:r>
      <w:r>
        <w:rPr>
          <w:rFonts w:ascii="Arial" w:hAnsi="Arial"/>
          <w:bCs/>
        </w:rPr>
        <w:t xml:space="preserve">The main advantage of this model was that the peak strain, strain rates and loading cycles could be controlled allowing </w:t>
      </w:r>
      <w:proofErr w:type="gramStart"/>
      <w:r>
        <w:rPr>
          <w:rFonts w:ascii="Arial" w:hAnsi="Arial"/>
          <w:bCs/>
        </w:rPr>
        <w:t>to apply</w:t>
      </w:r>
      <w:proofErr w:type="gramEnd"/>
      <w:r>
        <w:rPr>
          <w:rFonts w:ascii="Arial" w:hAnsi="Arial"/>
          <w:bCs/>
        </w:rPr>
        <w:t xml:space="preserve"> more precise artificial loads. However, placement of metal pins into the bone could induce inflammatory reaction, therefore, only cortical bone in the diaphysis, away from the pins could be studied leaving out the trabecular bone in the epiphyseal areas.  </w:t>
      </w:r>
    </w:p>
    <w:p w14:paraId="1F9B7B73" w14:textId="77777777" w:rsidR="00A0409D" w:rsidRDefault="00A0409D" w:rsidP="00A0409D">
      <w:pPr>
        <w:spacing w:line="480" w:lineRule="auto"/>
        <w:jc w:val="both"/>
        <w:rPr>
          <w:rFonts w:ascii="Arial" w:hAnsi="Arial"/>
          <w:bCs/>
        </w:rPr>
      </w:pPr>
    </w:p>
    <w:p w14:paraId="2ADBBC73" w14:textId="77777777" w:rsidR="00A0409D" w:rsidRDefault="00A0409D" w:rsidP="00A0409D">
      <w:pPr>
        <w:spacing w:line="480" w:lineRule="auto"/>
        <w:jc w:val="both"/>
        <w:rPr>
          <w:rFonts w:ascii="Arial" w:hAnsi="Arial"/>
          <w:bCs/>
        </w:rPr>
      </w:pPr>
      <w:r>
        <w:rPr>
          <w:rFonts w:ascii="Arial" w:hAnsi="Arial"/>
          <w:bCs/>
        </w:rPr>
        <w:t>To overcome the limitations of invasive models, the no</w:t>
      </w:r>
      <w:r w:rsidR="00EF5469">
        <w:rPr>
          <w:rFonts w:ascii="Arial" w:hAnsi="Arial"/>
          <w:bCs/>
        </w:rPr>
        <w:t xml:space="preserve">n-invasive models of mechanical </w:t>
      </w:r>
      <w:r>
        <w:rPr>
          <w:rFonts w:ascii="Arial" w:hAnsi="Arial"/>
          <w:bCs/>
        </w:rPr>
        <w:t xml:space="preserve">loading have been developed for use in rodents including four-point bending model </w:t>
      </w:r>
      <w:r w:rsidR="00DB24C9">
        <w:rPr>
          <w:rFonts w:ascii="Arial" w:hAnsi="Arial"/>
          <w:bCs/>
        </w:rPr>
        <w:fldChar w:fldCharType="begin"/>
      </w:r>
      <w:r w:rsidR="00A108A1">
        <w:rPr>
          <w:rFonts w:ascii="Arial" w:hAnsi="Arial"/>
          <w:bCs/>
        </w:rPr>
        <w:instrText xml:space="preserve"> ADDIN EN.CITE &lt;EndNote&gt;&lt;Cite&gt;&lt;Author&gt;Turner&lt;/Author&gt;&lt;Year&gt;1991&lt;/Year&gt;&lt;RecNum&gt;428&lt;/RecNum&gt;&lt;DisplayText&gt;(Turner et al., 1991)&lt;/DisplayText&gt;&lt;record&gt;&lt;rec-number&gt;428&lt;/rec-number&gt;&lt;foreign-keys&gt;&lt;key app="EN" db-id="ae9rewfrpdttrheppfxxv0p4950wpd25r09x" timestamp="1520658305"&gt;428&lt;/key&gt;&lt;/foreign-keys&gt;&lt;ref-type name="Journal Article"&gt;17&lt;/ref-type&gt;&lt;contributors&gt;&lt;authors&gt;&lt;author&gt;Turner, C. H.&lt;/author&gt;&lt;author&gt;Akhter, M. P.&lt;/author&gt;&lt;author&gt;Raab, D. M.&lt;/author&gt;&lt;author&gt;Kimmel, D. B.&lt;/author&gt;&lt;author&gt;Recker, R. R.&lt;/author&gt;&lt;/authors&gt;&lt;/contributors&gt;&lt;titles&gt;&lt;title&gt;A noninvasive, in vivo model for studying strain adaptive bone modeling&lt;/title&gt;&lt;secondary-title&gt;Bone&lt;/secondary-title&gt;&lt;/titles&gt;&lt;periodical&gt;&lt;full-title&gt;Bone&lt;/full-title&gt;&lt;/periodical&gt;&lt;pages&gt;73-79&lt;/pages&gt;&lt;volume&gt;12&lt;/volume&gt;&lt;number&gt;2&lt;/number&gt;&lt;keywords&gt;&lt;keyword&gt;Modeling&lt;/keyword&gt;&lt;keyword&gt;Rat&lt;/keyword&gt;&lt;keyword&gt;Adaptation&lt;/keyword&gt;&lt;keyword&gt;Morphometry&lt;/keyword&gt;&lt;keyword&gt;Physical Activity&lt;/keyword&gt;&lt;keyword&gt;Mechanical Stress&lt;/keyword&gt;&lt;/keywords&gt;&lt;dates&gt;&lt;year&gt;1991&lt;/year&gt;&lt;/dates&gt;&lt;isbn&gt;8756-3282&lt;/isbn&gt;&lt;urls&gt;&lt;/urls&gt;&lt;electronic-resource-num&gt;10.1016/8756-3282(91)90003-2&lt;/electronic-resource-num&gt;&lt;/record&gt;&lt;/Cite&gt;&lt;/EndNote&gt;</w:instrText>
      </w:r>
      <w:r w:rsidR="00DB24C9">
        <w:rPr>
          <w:rFonts w:ascii="Arial" w:hAnsi="Arial"/>
          <w:bCs/>
        </w:rPr>
        <w:fldChar w:fldCharType="separate"/>
      </w:r>
      <w:r w:rsidR="00DB24C9">
        <w:rPr>
          <w:rFonts w:ascii="Arial" w:hAnsi="Arial"/>
          <w:bCs/>
          <w:noProof/>
        </w:rPr>
        <w:t>(Turner et al., 1991)</w:t>
      </w:r>
      <w:r w:rsidR="00DB24C9">
        <w:rPr>
          <w:rFonts w:ascii="Arial" w:hAnsi="Arial"/>
          <w:bCs/>
        </w:rPr>
        <w:fldChar w:fldCharType="end"/>
      </w:r>
      <w:r>
        <w:rPr>
          <w:rFonts w:ascii="Arial" w:hAnsi="Arial"/>
          <w:bCs/>
        </w:rPr>
        <w:t xml:space="preserve">, cantilever bending </w:t>
      </w:r>
      <w:r w:rsidR="00DB24C9">
        <w:rPr>
          <w:rFonts w:ascii="Arial" w:hAnsi="Arial"/>
          <w:bCs/>
        </w:rPr>
        <w:fldChar w:fldCharType="begin"/>
      </w:r>
      <w:r w:rsidR="00651EFF">
        <w:rPr>
          <w:rFonts w:ascii="Arial" w:hAnsi="Arial"/>
          <w:bCs/>
        </w:rPr>
        <w:instrText xml:space="preserve"> ADDIN EN.CITE &lt;EndNote&gt;&lt;Cite&gt;&lt;Author&gt;Gross&lt;/Author&gt;&lt;Year&gt;2002&lt;/Year&gt;&lt;RecNum&gt;429&lt;/RecNum&gt;&lt;DisplayText&gt;(Gross et al., 2002)&lt;/DisplayText&gt;&lt;record&gt;&lt;rec-number&gt;429&lt;/rec-number&gt;&lt;foreign-keys&gt;&lt;key app="EN" db-id="ae9rewfrpdttrheppfxxv0p4950wpd25r09x" timestamp="1520658305"&gt;429&lt;/key&gt;&lt;/foreign-keys&gt;&lt;ref-type name="Journal Article"&gt;17&lt;/ref-type&gt;&lt;contributors&gt;&lt;authors&gt;&lt;author&gt;Gross, Ted S.&lt;/author&gt;&lt;author&gt;Srinivasan, Sundar&lt;/author&gt;&lt;author&gt;Liu, Chung C.&lt;/author&gt;&lt;author&gt;Clemens, Thomas L.&lt;/author&gt;&lt;author&gt;Bain, Steven D.&lt;/author&gt;&lt;/authors&gt;&lt;/contributors&gt;&lt;titles&gt;&lt;title&gt;Noninvasive loading of the murine tibia: an in vivo model for the study of mechanotransduction&lt;/title&gt;&lt;secondary-title&gt;Journal of  Bone and Mineral Research&lt;/secondary-title&gt;&lt;/titles&gt;&lt;periodical&gt;&lt;full-title&gt;Journal of  Bone and Mineral Research&lt;/full-title&gt;&lt;/periodical&gt;&lt;pages&gt;493-501&lt;/pages&gt;&lt;volume&gt;17&lt;/volume&gt;&lt;number&gt;3&lt;/number&gt;&lt;keywords&gt;&lt;keyword&gt;Tibia -- Physiology&lt;/keyword&gt;&lt;/keywords&gt;&lt;dates&gt;&lt;year&gt;2002&lt;/year&gt;&lt;/dates&gt;&lt;isbn&gt;0884-0431&lt;/isbn&gt;&lt;urls&gt;&lt;/urls&gt;&lt;/record&gt;&lt;/Cite&gt;&lt;/EndNote&gt;</w:instrText>
      </w:r>
      <w:r w:rsidR="00DB24C9">
        <w:rPr>
          <w:rFonts w:ascii="Arial" w:hAnsi="Arial"/>
          <w:bCs/>
        </w:rPr>
        <w:fldChar w:fldCharType="separate"/>
      </w:r>
      <w:r w:rsidR="00DB24C9">
        <w:rPr>
          <w:rFonts w:ascii="Arial" w:hAnsi="Arial"/>
          <w:bCs/>
          <w:noProof/>
        </w:rPr>
        <w:t>(Gross et al., 2002)</w:t>
      </w:r>
      <w:r w:rsidR="00DB24C9">
        <w:rPr>
          <w:rFonts w:ascii="Arial" w:hAnsi="Arial"/>
          <w:bCs/>
        </w:rPr>
        <w:fldChar w:fldCharType="end"/>
      </w:r>
      <w:r w:rsidR="00DB24C9">
        <w:rPr>
          <w:rFonts w:ascii="Arial" w:hAnsi="Arial"/>
          <w:bCs/>
        </w:rPr>
        <w:t>,</w:t>
      </w:r>
      <w:r>
        <w:rPr>
          <w:rFonts w:ascii="Arial" w:hAnsi="Arial"/>
          <w:bCs/>
        </w:rPr>
        <w:t xml:space="preserve"> treadmill exercise</w:t>
      </w:r>
      <w:r w:rsidR="00DB24C9">
        <w:rPr>
          <w:rFonts w:ascii="Arial" w:hAnsi="Arial"/>
          <w:bCs/>
        </w:rPr>
        <w:t xml:space="preserve"> </w:t>
      </w:r>
      <w:r w:rsidR="00D0391D">
        <w:rPr>
          <w:rFonts w:ascii="Arial" w:hAnsi="Arial"/>
          <w:bCs/>
        </w:rPr>
        <w:fldChar w:fldCharType="begin"/>
      </w:r>
      <w:r w:rsidR="0000415D">
        <w:rPr>
          <w:rFonts w:ascii="Arial" w:hAnsi="Arial"/>
          <w:bCs/>
        </w:rPr>
        <w:instrText xml:space="preserve"> ADDIN EN.CITE &lt;EndNote&gt;&lt;Cite&gt;&lt;Author&gt;Woo&lt;/Author&gt;&lt;Year&gt;1981&lt;/Year&gt;&lt;RecNum&gt;430&lt;/RecNum&gt;&lt;DisplayText&gt;(Woo et al., 1981)&lt;/DisplayText&gt;&lt;record&gt;&lt;rec-number&gt;430&lt;/rec-number&gt;&lt;foreign-keys&gt;&lt;key app="EN" db-id="ae9rewfrpdttrheppfxxv0p4950wpd25r09x" timestamp="1520658305"&gt;430&lt;/key&gt;&lt;/foreign-keys&gt;&lt;ref-type name="Journal Article"&gt;17&lt;/ref-type&gt;&lt;contributors&gt;&lt;authors&gt;&lt;author&gt;Woo, L. S.&lt;/author&gt;&lt;author&gt;Kuei, C. S.&lt;/author&gt;&lt;author&gt;Amiel, A. D.&lt;/author&gt;&lt;author&gt;Gomez, C. M.&lt;/author&gt;&lt;author&gt;Hayes, C. W.&lt;/author&gt;&lt;author&gt;White, H. F.&lt;/author&gt;&lt;author&gt;Akeson, H. W.&lt;/author&gt;&lt;/authors&gt;&lt;/contributors&gt;&lt;titles&gt;&lt;title&gt;The effect of prolonged physical training on the properties of long bone: a study of Wolffʼs Law&lt;/title&gt;&lt;secondary-title&gt;The Journal of Bone and Joint Surgery&lt;/secondary-title&gt;&lt;/titles&gt;&lt;periodical&gt;&lt;full-title&gt;The Journal of Bone and Joint Surgery&lt;/full-title&gt;&lt;/periodical&gt;&lt;pages&gt;780-787&lt;/pages&gt;&lt;volume&gt;63&lt;/volume&gt;&lt;number&gt;5&lt;/number&gt;&lt;keywords&gt;&lt;keyword&gt;Physical Exertion&lt;/keyword&gt;&lt;keyword&gt;Femur -- Physiology&lt;/keyword&gt;&lt;keyword&gt;Swine -- Physiology&lt;/keyword&gt;&lt;/keywords&gt;&lt;dates&gt;&lt;year&gt;1981&lt;/year&gt;&lt;/dates&gt;&lt;isbn&gt;0021-9355&lt;/isbn&gt;&lt;urls&gt;&lt;/urls&gt;&lt;electronic-resource-num&gt;10.2106/JBJS.G.00853&lt;/electronic-resource-num&gt;&lt;/record&gt;&lt;/Cite&gt;&lt;/EndNote&gt;</w:instrText>
      </w:r>
      <w:r w:rsidR="00D0391D">
        <w:rPr>
          <w:rFonts w:ascii="Arial" w:hAnsi="Arial"/>
          <w:bCs/>
        </w:rPr>
        <w:fldChar w:fldCharType="separate"/>
      </w:r>
      <w:r w:rsidR="00D0391D">
        <w:rPr>
          <w:rFonts w:ascii="Arial" w:hAnsi="Arial"/>
          <w:bCs/>
          <w:noProof/>
        </w:rPr>
        <w:t>(Woo et al., 1981)</w:t>
      </w:r>
      <w:r w:rsidR="00D0391D">
        <w:rPr>
          <w:rFonts w:ascii="Arial" w:hAnsi="Arial"/>
          <w:bCs/>
        </w:rPr>
        <w:fldChar w:fldCharType="end"/>
      </w:r>
      <w:r w:rsidR="00D0391D">
        <w:rPr>
          <w:rFonts w:ascii="Arial" w:hAnsi="Arial"/>
          <w:bCs/>
        </w:rPr>
        <w:t xml:space="preserve"> </w:t>
      </w:r>
      <w:r>
        <w:rPr>
          <w:rFonts w:ascii="Arial" w:hAnsi="Arial"/>
          <w:bCs/>
        </w:rPr>
        <w:t xml:space="preserve">and axial compression models of mechanical loading </w:t>
      </w:r>
      <w:r w:rsidR="00D0391D">
        <w:rPr>
          <w:rFonts w:ascii="Arial" w:hAnsi="Arial"/>
          <w:bCs/>
        </w:rPr>
        <w:fldChar w:fldCharType="begin">
          <w:fldData xml:space="preserve">PEVuZE5vdGU+PENpdGU+PEF1dGhvcj5EZSBTb3V6YTwvQXV0aG9yPjxZZWFyPjIwMDU8L1llYXI+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</w:fldData>
        </w:fldChar>
      </w:r>
      <w:r w:rsidR="00A108A1">
        <w:rPr>
          <w:rFonts w:ascii="Arial" w:hAnsi="Arial"/>
          <w:bCs/>
        </w:rPr>
        <w:instrText xml:space="preserve"> ADDIN EN.CITE </w:instrText>
      </w:r>
      <w:r w:rsidR="00A108A1">
        <w:rPr>
          <w:rFonts w:ascii="Arial" w:hAnsi="Arial"/>
          <w:bCs/>
        </w:rPr>
        <w:fldChar w:fldCharType="begin">
          <w:fldData xml:space="preserve">PEVuZE5vdGU+PENpdGU+PEF1dGhvcj5EZSBTb3V6YTwvQXV0aG9yPjxZZWFyPjIwMDU8L1llYXI+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</w:fldData>
        </w:fldChar>
      </w:r>
      <w:r w:rsidR="00A108A1">
        <w:rPr>
          <w:rFonts w:ascii="Arial" w:hAnsi="Arial"/>
          <w:bCs/>
        </w:rPr>
        <w:instrText xml:space="preserve"> ADDIN EN.CITE.DATA </w:instrText>
      </w:r>
      <w:r w:rsidR="00A108A1">
        <w:rPr>
          <w:rFonts w:ascii="Arial" w:hAnsi="Arial"/>
          <w:bCs/>
        </w:rPr>
      </w:r>
      <w:r w:rsidR="00A108A1">
        <w:rPr>
          <w:rFonts w:ascii="Arial" w:hAnsi="Arial"/>
          <w:bCs/>
        </w:rPr>
        <w:fldChar w:fldCharType="end"/>
      </w:r>
      <w:r w:rsidR="00D0391D">
        <w:rPr>
          <w:rFonts w:ascii="Arial" w:hAnsi="Arial"/>
          <w:bCs/>
        </w:rPr>
      </w:r>
      <w:r w:rsidR="00D0391D">
        <w:rPr>
          <w:rFonts w:ascii="Arial" w:hAnsi="Arial"/>
          <w:bCs/>
        </w:rPr>
        <w:fldChar w:fldCharType="separate"/>
      </w:r>
      <w:r w:rsidR="00FF64AC">
        <w:rPr>
          <w:rFonts w:ascii="Arial" w:hAnsi="Arial"/>
          <w:bCs/>
          <w:noProof/>
        </w:rPr>
        <w:t>(De Souza et al., 2005a, Sugiyama et al., 2008, Moustafa et al., 2009, Sugiyama et al., 2010)</w:t>
      </w:r>
      <w:r w:rsidR="00D0391D">
        <w:rPr>
          <w:rFonts w:ascii="Arial" w:hAnsi="Arial"/>
          <w:bCs/>
        </w:rPr>
        <w:fldChar w:fldCharType="end"/>
      </w:r>
      <w:r w:rsidR="00FF64AC">
        <w:rPr>
          <w:rFonts w:ascii="Arial" w:hAnsi="Arial"/>
          <w:bCs/>
        </w:rPr>
        <w:t xml:space="preserve">. </w:t>
      </w:r>
      <w:r>
        <w:rPr>
          <w:rFonts w:ascii="Arial" w:hAnsi="Arial"/>
          <w:bCs/>
        </w:rPr>
        <w:t xml:space="preserve">The simple model of </w:t>
      </w:r>
      <w:r>
        <w:rPr>
          <w:rFonts w:ascii="Arial" w:hAnsi="Arial"/>
          <w:bCs/>
        </w:rPr>
        <w:lastRenderedPageBreak/>
        <w:t xml:space="preserve">increased mechanical loading is treadmill exercise training model exploited over the years to </w:t>
      </w:r>
      <w:r w:rsidR="00A71A69">
        <w:rPr>
          <w:rFonts w:ascii="Arial" w:hAnsi="Arial"/>
          <w:bCs/>
        </w:rPr>
        <w:t>study</w:t>
      </w:r>
      <w:r>
        <w:rPr>
          <w:rFonts w:ascii="Arial" w:hAnsi="Arial"/>
          <w:bCs/>
        </w:rPr>
        <w:t xml:space="preserve"> how bone adapts to its mechanical environment</w:t>
      </w:r>
      <w:r w:rsidR="000509D9">
        <w:rPr>
          <w:rFonts w:ascii="Arial" w:hAnsi="Arial"/>
          <w:bCs/>
        </w:rPr>
        <w:t xml:space="preserve"> </w:t>
      </w:r>
      <w:r w:rsidR="000509D9">
        <w:rPr>
          <w:rFonts w:ascii="Arial" w:hAnsi="Arial"/>
          <w:bCs/>
        </w:rPr>
        <w:fldChar w:fldCharType="begin">
          <w:fldData xml:space="preserve">PEVuZE5vdGU+PENpdGU+PEF1dGhvcj5ZZWg8L0F1dGhvcj48WWVhcj4xOTkzPC9ZZWFyPjxSZWNO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</w:fldData>
        </w:fldChar>
      </w:r>
      <w:r w:rsidR="0000415D">
        <w:rPr>
          <w:rFonts w:ascii="Arial" w:hAnsi="Arial"/>
          <w:bCs/>
        </w:rPr>
        <w:instrText xml:space="preserve"> ADDIN EN.CITE </w:instrText>
      </w:r>
      <w:r w:rsidR="0000415D">
        <w:rPr>
          <w:rFonts w:ascii="Arial" w:hAnsi="Arial"/>
          <w:bCs/>
        </w:rPr>
        <w:fldChar w:fldCharType="begin">
          <w:fldData xml:space="preserve">PEVuZE5vdGU+PENpdGU+PEF1dGhvcj5ZZWg8L0F1dGhvcj48WWVhcj4xOTkzPC9ZZWFyPjxSZWNO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</w:fldData>
        </w:fldChar>
      </w:r>
      <w:r w:rsidR="0000415D">
        <w:rPr>
          <w:rFonts w:ascii="Arial" w:hAnsi="Arial"/>
          <w:bCs/>
        </w:rPr>
        <w:instrText xml:space="preserve"> ADDIN EN.CITE.DATA </w:instrText>
      </w:r>
      <w:r w:rsidR="0000415D">
        <w:rPr>
          <w:rFonts w:ascii="Arial" w:hAnsi="Arial"/>
          <w:bCs/>
        </w:rPr>
      </w:r>
      <w:r w:rsidR="0000415D">
        <w:rPr>
          <w:rFonts w:ascii="Arial" w:hAnsi="Arial"/>
          <w:bCs/>
        </w:rPr>
        <w:fldChar w:fldCharType="end"/>
      </w:r>
      <w:r w:rsidR="000509D9">
        <w:rPr>
          <w:rFonts w:ascii="Arial" w:hAnsi="Arial"/>
          <w:bCs/>
        </w:rPr>
      </w:r>
      <w:r w:rsidR="000509D9">
        <w:rPr>
          <w:rFonts w:ascii="Arial" w:hAnsi="Arial"/>
          <w:bCs/>
        </w:rPr>
        <w:fldChar w:fldCharType="separate"/>
      </w:r>
      <w:r w:rsidR="000509D9">
        <w:rPr>
          <w:rFonts w:ascii="Arial" w:hAnsi="Arial"/>
          <w:bCs/>
          <w:noProof/>
        </w:rPr>
        <w:t>(Yeh et al., 1993, Bourrin et al., 1995, Turner and Robling, 2003, Iwamoto et al., 2004)</w:t>
      </w:r>
      <w:r w:rsidR="000509D9">
        <w:rPr>
          <w:rFonts w:ascii="Arial" w:hAnsi="Arial"/>
          <w:bCs/>
        </w:rPr>
        <w:fldChar w:fldCharType="end"/>
      </w:r>
      <w:r w:rsidR="000509D9">
        <w:rPr>
          <w:rFonts w:ascii="Arial" w:hAnsi="Arial"/>
          <w:bCs/>
        </w:rPr>
        <w:t xml:space="preserve">. </w:t>
      </w:r>
      <w:r>
        <w:rPr>
          <w:rFonts w:ascii="Arial" w:hAnsi="Arial"/>
          <w:bCs/>
        </w:rPr>
        <w:t xml:space="preserve">The model allows mechanical forces derived from muscular contractions to increase strains on the skeleton and transmit ground force reactions along the length of the bones leading to adaptive changes both in cortical and trabecular bones. Although treadmill exercise is comparatively well-controlled model (duration of the exercise, speed and angle of the treadmill platform) </w:t>
      </w:r>
      <w:r w:rsidR="000509D9">
        <w:rPr>
          <w:rFonts w:ascii="Arial" w:hAnsi="Arial"/>
          <w:bCs/>
        </w:rPr>
        <w:fldChar w:fldCharType="begin"/>
      </w:r>
      <w:r w:rsidR="0000415D">
        <w:rPr>
          <w:rFonts w:ascii="Arial" w:hAnsi="Arial"/>
          <w:bCs/>
        </w:rPr>
        <w:instrText xml:space="preserve"> ADDIN EN.CITE &lt;EndNote&gt;&lt;Cite&gt;&lt;Author&gt;Turner&lt;/Author&gt;&lt;Year&gt;2003&lt;/Year&gt;&lt;RecNum&gt;435&lt;/RecNum&gt;&lt;DisplayText&gt;(Turner and Robling, 2003)&lt;/DisplayText&gt;&lt;record&gt;&lt;rec-number&gt;435&lt;/rec-number&gt;&lt;foreign-keys&gt;&lt;key app="EN" db-id="ae9rewfrpdttrheppfxxv0p4950wpd25r09x" timestamp="1520658306"&gt;435&lt;/key&gt;&lt;/foreign-keys&gt;&lt;ref-type name="Journal Article"&gt;17&lt;/ref-type&gt;&lt;contributors&gt;&lt;authors&gt;&lt;author&gt;Turner, Ch&lt;/author&gt;&lt;author&gt;Robling, A. G.&lt;/author&gt;&lt;/authors&gt;&lt;/contributors&gt;&lt;titles&gt;&lt;title&gt;Designing exercise regimens to increase bone strength&lt;/title&gt;&lt;secondary-title&gt;Exercise and Sport Sciences Reviews&lt;/secondary-title&gt;&lt;/titles&gt;&lt;pages&gt;45-50&lt;/pages&gt;&lt;volume&gt;31&lt;/volume&gt;&lt;dates&gt;&lt;year&gt;2003&lt;/year&gt;&lt;/dates&gt;&lt;isbn&gt;0091-6331&lt;/isbn&gt;&lt;urls&gt;&lt;/urls&gt;&lt;electronic-resource-num&gt;10.1097/00003677-200301000-00009&lt;/electronic-resource-num&gt;&lt;/record&gt;&lt;/Cite&gt;&lt;/EndNote&gt;</w:instrText>
      </w:r>
      <w:r w:rsidR="000509D9">
        <w:rPr>
          <w:rFonts w:ascii="Arial" w:hAnsi="Arial"/>
          <w:bCs/>
        </w:rPr>
        <w:fldChar w:fldCharType="separate"/>
      </w:r>
      <w:r w:rsidR="00A84BD5">
        <w:rPr>
          <w:rFonts w:ascii="Arial" w:hAnsi="Arial"/>
          <w:bCs/>
          <w:noProof/>
        </w:rPr>
        <w:t>(Turner and Robling, 2003)</w:t>
      </w:r>
      <w:r w:rsidR="000509D9">
        <w:rPr>
          <w:rFonts w:ascii="Arial" w:hAnsi="Arial"/>
          <w:bCs/>
        </w:rPr>
        <w:fldChar w:fldCharType="end"/>
      </w:r>
      <w:r w:rsidR="00A84BD5">
        <w:rPr>
          <w:rFonts w:ascii="Arial" w:hAnsi="Arial"/>
          <w:bCs/>
        </w:rPr>
        <w:t xml:space="preserve"> </w:t>
      </w:r>
      <w:r>
        <w:rPr>
          <w:rFonts w:ascii="Arial" w:hAnsi="Arial"/>
          <w:bCs/>
        </w:rPr>
        <w:t xml:space="preserve">and exercise-engendered strains are measurable </w:t>
      </w:r>
      <w:r w:rsidR="000509D9">
        <w:rPr>
          <w:rFonts w:ascii="Arial" w:hAnsi="Arial"/>
          <w:bCs/>
        </w:rPr>
        <w:fldChar w:fldCharType="begin"/>
      </w:r>
      <w:r w:rsidR="00A108A1">
        <w:rPr>
          <w:rFonts w:ascii="Arial" w:hAnsi="Arial"/>
          <w:bCs/>
        </w:rPr>
        <w:instrText xml:space="preserve"> ADDIN EN.CITE &lt;EndNote&gt;&lt;Cite&gt;&lt;Author&gt;Rubin&lt;/Author&gt;&lt;Year&gt;1982&lt;/Year&gt;&lt;RecNum&gt;270&lt;/RecNum&gt;&lt;DisplayText&gt;(Rubin and Lanyon, 1982)&lt;/DisplayText&gt;&lt;record&gt;&lt;rec-number&gt;270&lt;/rec-number&gt;&lt;foreign-keys&gt;&lt;key app="EN" db-id="ae9rewfrpdttrheppfxxv0p4950wpd25r09x" timestamp="1520658236"&gt;270&lt;/key&gt;&lt;key app="ENWeb" db-id=""&gt;0&lt;/key&gt;&lt;/foreign-keys&gt;&lt;ref-type name="Journal Article"&gt;17&lt;/ref-type&gt;&lt;contributors&gt;&lt;authors&gt;&lt;author&gt;Rubin, C. T.&lt;/author&gt;&lt;author&gt;Lanyon, L. E.&lt;/author&gt;&lt;/authors&gt;&lt;/contributors&gt;&lt;titles&gt;&lt;title&gt;Limb mechanics as a function of speed and gait: a study of functional strains in the radius and tibia of horse and dog&lt;/title&gt;&lt;secondary-title&gt;Journal of Experimental Biology&lt;/secondary-title&gt;&lt;/titles&gt;&lt;periodical&gt;&lt;full-title&gt;Journal of Experimental Biology&lt;/full-title&gt;&lt;/periodical&gt;&lt;pages&gt;187-211&lt;/pages&gt;&lt;volume&gt;101&lt;/volume&gt;&lt;dates&gt;&lt;year&gt;1982&lt;/year&gt;&lt;/dates&gt;&lt;isbn&gt;00220949&lt;/isbn&gt;&lt;urls&gt;&lt;/urls&gt;&lt;/record&gt;&lt;/Cite&gt;&lt;/EndNote&gt;</w:instrText>
      </w:r>
      <w:r w:rsidR="000509D9">
        <w:rPr>
          <w:rFonts w:ascii="Arial" w:hAnsi="Arial"/>
          <w:bCs/>
        </w:rPr>
        <w:fldChar w:fldCharType="separate"/>
      </w:r>
      <w:r w:rsidR="00A84BD5">
        <w:rPr>
          <w:rFonts w:ascii="Arial" w:hAnsi="Arial"/>
          <w:bCs/>
          <w:noProof/>
        </w:rPr>
        <w:t>(Rubin and Lanyon, 1982)</w:t>
      </w:r>
      <w:r w:rsidR="000509D9">
        <w:rPr>
          <w:rFonts w:ascii="Arial" w:hAnsi="Arial"/>
          <w:bCs/>
        </w:rPr>
        <w:fldChar w:fldCharType="end"/>
      </w:r>
      <w:r w:rsidR="00A84BD5">
        <w:rPr>
          <w:rFonts w:ascii="Arial" w:hAnsi="Arial"/>
          <w:bCs/>
        </w:rPr>
        <w:t xml:space="preserve">, </w:t>
      </w:r>
      <w:r>
        <w:rPr>
          <w:rFonts w:ascii="Arial" w:hAnsi="Arial"/>
          <w:bCs/>
        </w:rPr>
        <w:t xml:space="preserve">it is difficult to control inter-individual and experimental group variations.  </w:t>
      </w:r>
    </w:p>
    <w:p w14:paraId="4AD9612B" w14:textId="77777777" w:rsidR="00A0409D" w:rsidRDefault="00A0409D" w:rsidP="00A0409D">
      <w:pPr>
        <w:spacing w:line="480" w:lineRule="auto"/>
        <w:jc w:val="both"/>
        <w:rPr>
          <w:rFonts w:ascii="Arial" w:hAnsi="Arial"/>
          <w:bCs/>
        </w:rPr>
      </w:pPr>
    </w:p>
    <w:p w14:paraId="10717CD9" w14:textId="77777777" w:rsidR="00A0409D" w:rsidRDefault="00A0409D" w:rsidP="00A0409D">
      <w:pPr>
        <w:spacing w:line="480" w:lineRule="auto"/>
        <w:jc w:val="both"/>
        <w:rPr>
          <w:rFonts w:ascii="Arial" w:hAnsi="Arial"/>
          <w:bCs/>
        </w:rPr>
      </w:pPr>
      <w:r>
        <w:rPr>
          <w:rFonts w:ascii="Arial" w:hAnsi="Arial"/>
          <w:bCs/>
        </w:rPr>
        <w:t>The non-invasive axial tibial loading model has been widely established in C57BL/6 mice and used in many laboratories, including ours, to investigate bone’s adaptive response to mechanical loading</w:t>
      </w:r>
      <w:r w:rsidR="004A7006">
        <w:rPr>
          <w:rFonts w:ascii="Arial" w:hAnsi="Arial"/>
          <w:bCs/>
        </w:rPr>
        <w:t xml:space="preserve"> </w:t>
      </w:r>
      <w:r w:rsidR="00B73FBB">
        <w:rPr>
          <w:rFonts w:ascii="Arial" w:hAnsi="Arial"/>
          <w:bCs/>
        </w:rPr>
        <w:fldChar w:fldCharType="begin">
          <w:fldData xml:space="preserve">PEVuZE5vdGU+PENpdGU+PEF1dGhvcj5IaWxsYW08L0F1dGhvcj48WWVhcj4xOTk1PC9ZZWFyPjxS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</w:fldData>
        </w:fldChar>
      </w:r>
      <w:r w:rsidR="00651EFF">
        <w:rPr>
          <w:rFonts w:ascii="Arial" w:hAnsi="Arial"/>
          <w:bCs/>
        </w:rPr>
        <w:instrText xml:space="preserve"> ADDIN EN.CITE </w:instrText>
      </w:r>
      <w:r w:rsidR="00651EFF">
        <w:rPr>
          <w:rFonts w:ascii="Arial" w:hAnsi="Arial"/>
          <w:bCs/>
        </w:rPr>
        <w:fldChar w:fldCharType="begin">
          <w:fldData xml:space="preserve">PEVuZE5vdGU+PENpdGU+PEF1dGhvcj5IaWxsYW08L0F1dGhvcj48WWVhcj4xOTk1PC9ZZWFyPjxS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</w:fldData>
        </w:fldChar>
      </w:r>
      <w:r w:rsidR="00651EFF">
        <w:rPr>
          <w:rFonts w:ascii="Arial" w:hAnsi="Arial"/>
          <w:bCs/>
        </w:rPr>
        <w:instrText xml:space="preserve"> ADDIN EN.CITE.DATA </w:instrText>
      </w:r>
      <w:r w:rsidR="00651EFF">
        <w:rPr>
          <w:rFonts w:ascii="Arial" w:hAnsi="Arial"/>
          <w:bCs/>
        </w:rPr>
      </w:r>
      <w:r w:rsidR="00651EFF">
        <w:rPr>
          <w:rFonts w:ascii="Arial" w:hAnsi="Arial"/>
          <w:bCs/>
        </w:rPr>
        <w:fldChar w:fldCharType="end"/>
      </w:r>
      <w:r w:rsidR="00B73FBB">
        <w:rPr>
          <w:rFonts w:ascii="Arial" w:hAnsi="Arial"/>
          <w:bCs/>
        </w:rPr>
      </w:r>
      <w:r w:rsidR="00B73FBB">
        <w:rPr>
          <w:rFonts w:ascii="Arial" w:hAnsi="Arial"/>
          <w:bCs/>
        </w:rPr>
        <w:fldChar w:fldCharType="separate"/>
      </w:r>
      <w:r w:rsidR="00B73FBB">
        <w:rPr>
          <w:rFonts w:ascii="Arial" w:hAnsi="Arial"/>
          <w:bCs/>
          <w:noProof/>
        </w:rPr>
        <w:t>(Hillam and Skerry, 1995, Akhter et al., 1998, De Souza et al., 2005a, De Souza et al., 2005b, Sugiyama et al., 2010, Meakin et al., 2013)</w:t>
      </w:r>
      <w:r w:rsidR="00B73FBB">
        <w:rPr>
          <w:rFonts w:ascii="Arial" w:hAnsi="Arial"/>
          <w:bCs/>
        </w:rPr>
        <w:fldChar w:fldCharType="end"/>
      </w:r>
      <w:r w:rsidR="004A7006">
        <w:rPr>
          <w:rFonts w:ascii="Arial" w:hAnsi="Arial"/>
          <w:bCs/>
        </w:rPr>
        <w:t xml:space="preserve">. </w:t>
      </w:r>
      <w:r>
        <w:rPr>
          <w:rFonts w:ascii="Arial" w:hAnsi="Arial"/>
          <w:bCs/>
        </w:rPr>
        <w:t xml:space="preserve">Therefore, this model was selected for use in the experiments described within this thesis. The main </w:t>
      </w:r>
      <w:r w:rsidRPr="0003489D">
        <w:rPr>
          <w:rFonts w:ascii="Arial" w:hAnsi="Arial"/>
          <w:bCs/>
        </w:rPr>
        <w:t>advan</w:t>
      </w:r>
      <w:r>
        <w:rPr>
          <w:rFonts w:ascii="Arial" w:hAnsi="Arial"/>
          <w:bCs/>
        </w:rPr>
        <w:t>tages of tibial loading model are</w:t>
      </w:r>
      <w:r w:rsidRPr="0003489D">
        <w:rPr>
          <w:rFonts w:ascii="Arial" w:hAnsi="Arial"/>
          <w:bCs/>
        </w:rPr>
        <w:t xml:space="preserve"> that </w:t>
      </w:r>
      <w:r>
        <w:rPr>
          <w:rFonts w:ascii="Arial" w:hAnsi="Arial"/>
          <w:bCs/>
        </w:rPr>
        <w:t xml:space="preserve">the strain stimulus can be controlled and </w:t>
      </w:r>
      <w:r w:rsidRPr="0003489D">
        <w:rPr>
          <w:rFonts w:ascii="Arial" w:hAnsi="Arial"/>
          <w:bCs/>
        </w:rPr>
        <w:t xml:space="preserve">both cortical and trabecular bone masses increase with mechanical loading </w:t>
      </w:r>
      <w:r w:rsidR="00B73FBB">
        <w:rPr>
          <w:rFonts w:ascii="Arial" w:hAnsi="Arial"/>
          <w:bCs/>
        </w:rPr>
        <w:fldChar w:fldCharType="begin">
          <w:fldData xml:space="preserve">PEVuZE5vdGU+PENpdGU+PEF1dGhvcj5TdWdpeWFtYTwvQXV0aG9yPjxZZWFyPjIwMDg8L1llYXI+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</w:fldData>
        </w:fldChar>
      </w:r>
      <w:r w:rsidR="00A108A1">
        <w:rPr>
          <w:rFonts w:ascii="Arial" w:hAnsi="Arial"/>
          <w:bCs/>
        </w:rPr>
        <w:instrText xml:space="preserve"> ADDIN EN.CITE </w:instrText>
      </w:r>
      <w:r w:rsidR="00A108A1">
        <w:rPr>
          <w:rFonts w:ascii="Arial" w:hAnsi="Arial"/>
          <w:bCs/>
        </w:rPr>
        <w:fldChar w:fldCharType="begin">
          <w:fldData xml:space="preserve">PEVuZE5vdGU+PENpdGU+PEF1dGhvcj5TdWdpeWFtYTwvQXV0aG9yPjxZZWFyPjIwMDg8L1llYXI+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</w:fldData>
        </w:fldChar>
      </w:r>
      <w:r w:rsidR="00A108A1">
        <w:rPr>
          <w:rFonts w:ascii="Arial" w:hAnsi="Arial"/>
          <w:bCs/>
        </w:rPr>
        <w:instrText xml:space="preserve"> ADDIN EN.CITE.DATA </w:instrText>
      </w:r>
      <w:r w:rsidR="00A108A1">
        <w:rPr>
          <w:rFonts w:ascii="Arial" w:hAnsi="Arial"/>
          <w:bCs/>
        </w:rPr>
      </w:r>
      <w:r w:rsidR="00A108A1">
        <w:rPr>
          <w:rFonts w:ascii="Arial" w:hAnsi="Arial"/>
          <w:bCs/>
        </w:rPr>
        <w:fldChar w:fldCharType="end"/>
      </w:r>
      <w:r w:rsidR="00B73FBB">
        <w:rPr>
          <w:rFonts w:ascii="Arial" w:hAnsi="Arial"/>
          <w:bCs/>
        </w:rPr>
      </w:r>
      <w:r w:rsidR="00B73FBB">
        <w:rPr>
          <w:rFonts w:ascii="Arial" w:hAnsi="Arial"/>
          <w:bCs/>
        </w:rPr>
        <w:fldChar w:fldCharType="separate"/>
      </w:r>
      <w:r w:rsidR="00B73FBB">
        <w:rPr>
          <w:rFonts w:ascii="Arial" w:hAnsi="Arial"/>
          <w:bCs/>
          <w:noProof/>
        </w:rPr>
        <w:t>(Sugiyama et al., 2008, Sugiyama et al., 2010)</w:t>
      </w:r>
      <w:r w:rsidR="00B73FBB">
        <w:rPr>
          <w:rFonts w:ascii="Arial" w:hAnsi="Arial"/>
          <w:bCs/>
        </w:rPr>
        <w:fldChar w:fldCharType="end"/>
      </w:r>
      <w:r w:rsidR="004A7006">
        <w:rPr>
          <w:rFonts w:ascii="Arial" w:hAnsi="Arial"/>
          <w:bCs/>
        </w:rPr>
        <w:t xml:space="preserve">. </w:t>
      </w:r>
      <w:r>
        <w:rPr>
          <w:rFonts w:ascii="Arial" w:hAnsi="Arial"/>
          <w:bCs/>
        </w:rPr>
        <w:t xml:space="preserve">Several previous studies have determined ways to optimise the loading regimen design. Peak strain magnitude, strain distribution and rate are important components of the strain stimulus to engender osteogenic response to mechanical loading </w:t>
      </w:r>
      <w:r w:rsidR="00B73FBB">
        <w:rPr>
          <w:rFonts w:ascii="Arial" w:hAnsi="Arial"/>
          <w:bCs/>
        </w:rPr>
        <w:fldChar w:fldCharType="begin">
          <w:fldData xml:space="preserve">PEVuZE5vdGU+PENpdGU+PEF1dGhvcj5PJmFwb3M7Q29ubm9yPC9BdXRob3I+PFllYXI+MTk4Mjwv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</w:fldData>
        </w:fldChar>
      </w:r>
      <w:r w:rsidR="0000415D">
        <w:rPr>
          <w:rFonts w:ascii="Arial" w:hAnsi="Arial"/>
          <w:bCs/>
        </w:rPr>
        <w:instrText xml:space="preserve"> ADDIN EN.CITE </w:instrText>
      </w:r>
      <w:r w:rsidR="0000415D">
        <w:rPr>
          <w:rFonts w:ascii="Arial" w:hAnsi="Arial"/>
          <w:bCs/>
        </w:rPr>
        <w:fldChar w:fldCharType="begin">
          <w:fldData xml:space="preserve">PEVuZE5vdGU+PENpdGU+PEF1dGhvcj5PJmFwb3M7Q29ubm9yPC9BdXRob3I+PFllYXI+MTk4Mjwv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</w:fldData>
        </w:fldChar>
      </w:r>
      <w:r w:rsidR="0000415D">
        <w:rPr>
          <w:rFonts w:ascii="Arial" w:hAnsi="Arial"/>
          <w:bCs/>
        </w:rPr>
        <w:instrText xml:space="preserve"> ADDIN EN.CITE.DATA </w:instrText>
      </w:r>
      <w:r w:rsidR="0000415D">
        <w:rPr>
          <w:rFonts w:ascii="Arial" w:hAnsi="Arial"/>
          <w:bCs/>
        </w:rPr>
      </w:r>
      <w:r w:rsidR="0000415D">
        <w:rPr>
          <w:rFonts w:ascii="Arial" w:hAnsi="Arial"/>
          <w:bCs/>
        </w:rPr>
        <w:fldChar w:fldCharType="end"/>
      </w:r>
      <w:r w:rsidR="00B73FBB">
        <w:rPr>
          <w:rFonts w:ascii="Arial" w:hAnsi="Arial"/>
          <w:bCs/>
        </w:rPr>
      </w:r>
      <w:r w:rsidR="00B73FBB">
        <w:rPr>
          <w:rFonts w:ascii="Arial" w:hAnsi="Arial"/>
          <w:bCs/>
        </w:rPr>
        <w:fldChar w:fldCharType="separate"/>
      </w:r>
      <w:r w:rsidR="00B73FBB">
        <w:rPr>
          <w:rFonts w:ascii="Arial" w:hAnsi="Arial"/>
          <w:bCs/>
          <w:noProof/>
        </w:rPr>
        <w:t>(O'Connor et al., 1982, Lanyon et al., 1982, Rubin and Lanyon, 1984, Rubin and Lanyon, 1987, Turner et al., 1995, Mosley and Lanyon, 1998)</w:t>
      </w:r>
      <w:r w:rsidR="00B73FBB">
        <w:rPr>
          <w:rFonts w:ascii="Arial" w:hAnsi="Arial"/>
          <w:bCs/>
        </w:rPr>
        <w:fldChar w:fldCharType="end"/>
      </w:r>
      <w:r w:rsidR="00024B21">
        <w:rPr>
          <w:rFonts w:ascii="Arial" w:hAnsi="Arial"/>
          <w:bCs/>
        </w:rPr>
        <w:t xml:space="preserve">. </w:t>
      </w:r>
      <w:r>
        <w:rPr>
          <w:rFonts w:ascii="Arial" w:hAnsi="Arial"/>
          <w:bCs/>
        </w:rPr>
        <w:t xml:space="preserve">It was shown that continuous static loading does not elicit adaptive response in bones </w:t>
      </w:r>
      <w:r w:rsidR="00B73FBB">
        <w:rPr>
          <w:rFonts w:ascii="Arial" w:hAnsi="Arial"/>
          <w:bCs/>
        </w:rPr>
        <w:fldChar w:fldCharType="begin"/>
      </w:r>
      <w:r w:rsidR="00B73FBB">
        <w:rPr>
          <w:rFonts w:ascii="Arial" w:hAnsi="Arial"/>
          <w:bCs/>
        </w:rPr>
        <w:instrText xml:space="preserve"> ADDIN EN.CITE &lt;EndNote&gt;&lt;Cite&gt;&lt;Author&gt;Hert&lt;/Author&gt;&lt;Year&gt;1971&lt;/Year&gt;&lt;RecNum&gt;477&lt;/RecNum&gt;&lt;DisplayText&gt;(Hert et al., 1971)&lt;/DisplayText&gt;&lt;record&gt;&lt;rec-number&gt;477&lt;/rec-number&gt;&lt;foreign-keys&gt;&lt;key app="EN" db-id="wpsvwwtdrfvxshef2e5prez9td52f02rxz5p" timestamp="1520286747"&gt;477&lt;/key&gt;&lt;/foreign-keys&gt;&lt;ref-type name="Journal Article"&gt;17&lt;/ref-type&gt;&lt;contributors&gt;&lt;authors&gt;&lt;author&gt;Hert, J.,&lt;/author&gt;&lt;author&gt;Lisková, M., &lt;/author&gt;&lt;author&gt;Landa, J. &lt;/author&gt;&lt;/authors&gt;&lt;/contributors&gt;&lt;titles&gt;&lt;title&gt;Reaction of bone to mechanical stimuli. 1. Continuous and intermittent loading of tibia in rabbit.&lt;/title&gt;&lt;secondary-title&gt;Folia morphologica&lt;/secondary-title&gt;&lt;/titles&gt;&lt;periodical&gt;&lt;full-title&gt;Folia morphologica&lt;/full-title&gt;&lt;/periodical&gt;&lt;pages&gt; 290-300&lt;/pages&gt;&lt;volume&gt;19:3&lt;/volume&gt;&lt;dates&gt;&lt;year&gt;1971&lt;/year&gt;&lt;/dates&gt;&lt;urls&gt;&lt;/urls&gt;&lt;/record&gt;&lt;/Cite&gt;&lt;/EndNote&gt;</w:instrText>
      </w:r>
      <w:r w:rsidR="00B73FBB">
        <w:rPr>
          <w:rFonts w:ascii="Arial" w:hAnsi="Arial"/>
          <w:bCs/>
        </w:rPr>
        <w:fldChar w:fldCharType="separate"/>
      </w:r>
      <w:r w:rsidR="00B73FBB">
        <w:rPr>
          <w:rFonts w:ascii="Arial" w:hAnsi="Arial"/>
          <w:bCs/>
          <w:noProof/>
        </w:rPr>
        <w:t>(Hert et al., 1971)</w:t>
      </w:r>
      <w:r w:rsidR="00B73FBB">
        <w:rPr>
          <w:rFonts w:ascii="Arial" w:hAnsi="Arial"/>
          <w:bCs/>
        </w:rPr>
        <w:fldChar w:fldCharType="end"/>
      </w:r>
      <w:r w:rsidR="00C2128B">
        <w:rPr>
          <w:rFonts w:ascii="Arial" w:hAnsi="Arial"/>
          <w:bCs/>
        </w:rPr>
        <w:t>,</w:t>
      </w:r>
      <w:r>
        <w:rPr>
          <w:rFonts w:ascii="Arial" w:hAnsi="Arial"/>
          <w:bCs/>
        </w:rPr>
        <w:t xml:space="preserve"> whereas dynamic cyclic loading of the same bones with either trapezoidal, triangular or sinusoidal waveforms induces osteogenic response</w:t>
      </w:r>
      <w:r w:rsidR="00531269">
        <w:rPr>
          <w:rFonts w:ascii="Arial" w:hAnsi="Arial"/>
          <w:bCs/>
        </w:rPr>
        <w:t xml:space="preserve"> </w:t>
      </w:r>
      <w:r w:rsidR="00B73FBB">
        <w:rPr>
          <w:rFonts w:ascii="Arial" w:hAnsi="Arial"/>
          <w:bCs/>
        </w:rPr>
        <w:fldChar w:fldCharType="begin">
          <w:fldData xml:space="preserve">PEVuZE5vdGU+PENpdGU+PEF1dGhvcj5EZSBTb3V6YTwvQXV0aG9yPjxZZWFyPjIwMDU8L1llYXI+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</w:fldData>
        </w:fldChar>
      </w:r>
      <w:r w:rsidR="0000415D">
        <w:rPr>
          <w:rFonts w:ascii="Arial" w:hAnsi="Arial"/>
          <w:bCs/>
        </w:rPr>
        <w:instrText xml:space="preserve"> ADDIN EN.CITE </w:instrText>
      </w:r>
      <w:r w:rsidR="0000415D">
        <w:rPr>
          <w:rFonts w:ascii="Arial" w:hAnsi="Arial"/>
          <w:bCs/>
        </w:rPr>
        <w:fldChar w:fldCharType="begin">
          <w:fldData xml:space="preserve">PEVuZE5vdGU+PENpdGU+PEF1dGhvcj5EZSBTb3V6YTwvQXV0aG9yPjxZZWFyPjIwMDU8L1llYXI+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</w:fldData>
        </w:fldChar>
      </w:r>
      <w:r w:rsidR="0000415D">
        <w:rPr>
          <w:rFonts w:ascii="Arial" w:hAnsi="Arial"/>
          <w:bCs/>
        </w:rPr>
        <w:instrText xml:space="preserve"> ADDIN EN.CITE.DATA </w:instrText>
      </w:r>
      <w:r w:rsidR="0000415D">
        <w:rPr>
          <w:rFonts w:ascii="Arial" w:hAnsi="Arial"/>
          <w:bCs/>
        </w:rPr>
      </w:r>
      <w:r w:rsidR="0000415D">
        <w:rPr>
          <w:rFonts w:ascii="Arial" w:hAnsi="Arial"/>
          <w:bCs/>
        </w:rPr>
        <w:fldChar w:fldCharType="end"/>
      </w:r>
      <w:r w:rsidR="00B73FBB">
        <w:rPr>
          <w:rFonts w:ascii="Arial" w:hAnsi="Arial"/>
          <w:bCs/>
        </w:rPr>
      </w:r>
      <w:r w:rsidR="00B73FBB">
        <w:rPr>
          <w:rFonts w:ascii="Arial" w:hAnsi="Arial"/>
          <w:bCs/>
        </w:rPr>
        <w:fldChar w:fldCharType="separate"/>
      </w:r>
      <w:r w:rsidR="00B73FBB">
        <w:rPr>
          <w:rFonts w:ascii="Arial" w:hAnsi="Arial"/>
          <w:bCs/>
          <w:noProof/>
        </w:rPr>
        <w:t>(De Souza et al., 2005a, Sugiyama et al., 2010, Zaman et al., 2010)</w:t>
      </w:r>
      <w:r w:rsidR="00B73FBB">
        <w:rPr>
          <w:rFonts w:ascii="Arial" w:hAnsi="Arial"/>
          <w:bCs/>
        </w:rPr>
        <w:fldChar w:fldCharType="end"/>
      </w:r>
      <w:r w:rsidR="00531269">
        <w:rPr>
          <w:rFonts w:ascii="Arial" w:hAnsi="Arial"/>
          <w:bCs/>
        </w:rPr>
        <w:t>.</w:t>
      </w:r>
      <w:r>
        <w:rPr>
          <w:rFonts w:ascii="Arial" w:hAnsi="Arial"/>
          <w:bCs/>
        </w:rPr>
        <w:t xml:space="preserve"> Previous studies determined the number of loading cycles required to </w:t>
      </w:r>
      <w:r>
        <w:rPr>
          <w:rFonts w:ascii="Arial" w:hAnsi="Arial"/>
          <w:bCs/>
        </w:rPr>
        <w:lastRenderedPageBreak/>
        <w:t>generate osteogenic response in bone. Rubin and Lanyon</w:t>
      </w:r>
      <w:r w:rsidRPr="00537E92">
        <w:rPr>
          <w:rFonts w:ascii="Arial" w:hAnsi="Arial"/>
          <w:bCs/>
        </w:rPr>
        <w:t xml:space="preserve"> </w:t>
      </w:r>
      <w:r>
        <w:rPr>
          <w:rFonts w:ascii="Arial" w:hAnsi="Arial"/>
          <w:bCs/>
        </w:rPr>
        <w:t>first demonstrated that 36 cycles of mechanical loading in a given loading episode was</w:t>
      </w:r>
      <w:r w:rsidRPr="00537E92">
        <w:rPr>
          <w:rFonts w:ascii="Arial" w:hAnsi="Arial"/>
          <w:bCs/>
        </w:rPr>
        <w:t xml:space="preserve"> sufficient to stimulate maximal bone formation</w:t>
      </w:r>
      <w:r>
        <w:rPr>
          <w:rFonts w:ascii="Arial" w:hAnsi="Arial"/>
          <w:bCs/>
        </w:rPr>
        <w:t xml:space="preserve"> in isolated turkey ulna. Furthermore, increasing the number of loading cycles up to 1800 did not engender additional adaptive response in the ulnae </w:t>
      </w:r>
      <w:r w:rsidRPr="00537E92">
        <w:rPr>
          <w:rFonts w:ascii="Arial" w:hAnsi="Arial"/>
          <w:bCs/>
        </w:rPr>
        <w:fldChar w:fldCharType="begin"/>
      </w:r>
      <w:r w:rsidR="0000415D">
        <w:rPr>
          <w:rFonts w:ascii="Arial" w:hAnsi="Arial"/>
          <w:bCs/>
        </w:rPr>
        <w:instrText xml:space="preserve"> ADDIN EN.CITE &lt;EndNote&gt;&lt;Cite&gt;&lt;Author&gt;Rubin&lt;/Author&gt;&lt;Year&gt;1984&lt;/Year&gt;&lt;RecNum&gt;426&lt;/RecNum&gt;&lt;DisplayText&gt;(Rubin and Lanyon, 1984)&lt;/DisplayText&gt;&lt;record&gt;&lt;rec-number&gt;426&lt;/rec-number&gt;&lt;foreign-keys&gt;&lt;key app="EN" db-id="ae9rewfrpdttrheppfxxv0p4950wpd25r09x" timestamp="1520658304"&gt;426&lt;/key&gt;&lt;/foreign-keys&gt;&lt;ref-type name="Journal Article"&gt;17&lt;/ref-type&gt;&lt;contributors&gt;&lt;authors&gt;&lt;author&gt;Rubin, C. T.&lt;/author&gt;&lt;author&gt;Lanyon, L. E.&lt;/author&gt;&lt;/authors&gt;&lt;/contributors&gt;&lt;titles&gt;&lt;title&gt;Regulation of bone-formation by applied dynamic loads&lt;/title&gt;&lt;secondary-title&gt;Journal of Bone and Joint Surgery&lt;/secondary-title&gt;&lt;/titles&gt;&lt;periodical&gt;&lt;full-title&gt;Journal Of Bone And Joint Surgery&lt;/full-title&gt;&lt;/periodical&gt;&lt;pages&gt;397-402&lt;/pages&gt;&lt;volume&gt;66A&lt;/volume&gt;&lt;number&gt;3&lt;/number&gt;&lt;dates&gt;&lt;year&gt;1984&lt;/year&gt;&lt;pub-dates&gt;&lt;date&gt;1984&lt;/date&gt;&lt;/pub-dates&gt;&lt;/dates&gt;&lt;isbn&gt;0021-9355&lt;/isbn&gt;&lt;accession-num&gt;WOS:A1984SJ22700012&lt;/accession-num&gt;&lt;urls&gt;&lt;related-urls&gt;&lt;url&gt;&amp;lt;Go to ISI&amp;gt;://WOS:A1984SJ22700012&lt;/url&gt;&lt;/related-urls&gt;&lt;/urls&gt;&lt;/record&gt;&lt;/Cite&gt;&lt;/EndNote&gt;</w:instrText>
      </w:r>
      <w:r w:rsidRPr="00537E92">
        <w:rPr>
          <w:rFonts w:ascii="Arial" w:hAnsi="Arial"/>
          <w:bCs/>
        </w:rPr>
        <w:fldChar w:fldCharType="separate"/>
      </w:r>
      <w:r w:rsidRPr="00537E92">
        <w:rPr>
          <w:rFonts w:ascii="Arial" w:hAnsi="Arial"/>
          <w:bCs/>
          <w:noProof/>
        </w:rPr>
        <w:t>(Rubin and Lanyon, 1984)</w:t>
      </w:r>
      <w:r w:rsidRPr="00537E92">
        <w:rPr>
          <w:rFonts w:ascii="Arial" w:hAnsi="Arial"/>
          <w:bCs/>
        </w:rPr>
        <w:fldChar w:fldCharType="end"/>
      </w:r>
      <w:r>
        <w:rPr>
          <w:rFonts w:ascii="Arial" w:hAnsi="Arial"/>
          <w:bCs/>
        </w:rPr>
        <w:t xml:space="preserve">. Several studies revealed that </w:t>
      </w:r>
      <w:r w:rsidR="00DF035F">
        <w:rPr>
          <w:rFonts w:ascii="Arial" w:hAnsi="Arial"/>
          <w:bCs/>
        </w:rPr>
        <w:t>adding</w:t>
      </w:r>
      <w:r>
        <w:rPr>
          <w:rFonts w:ascii="Arial" w:hAnsi="Arial"/>
          <w:bCs/>
        </w:rPr>
        <w:t xml:space="preserve"> rest periods between each loading cycle enhanced bone’s osteogenic response to loading both in young and aged mice suggesting that mechanical loading stimulus may saturate with continuously increasing number of loading cycles</w:t>
      </w:r>
      <w:r w:rsidR="00313493">
        <w:rPr>
          <w:rFonts w:ascii="Arial" w:hAnsi="Arial"/>
          <w:bCs/>
        </w:rPr>
        <w:t xml:space="preserve"> </w:t>
      </w:r>
      <w:r w:rsidR="00B73FBB">
        <w:rPr>
          <w:rFonts w:ascii="Arial" w:hAnsi="Arial"/>
          <w:bCs/>
        </w:rPr>
        <w:fldChar w:fldCharType="begin">
          <w:fldData xml:space="preserve">PEVuZE5vdGU+PENpdGU+PEF1dGhvcj5Sb2JsaW5nPC9BdXRob3I+PFllYXI+MjAwMDwvWWVhcj48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</w:fldData>
        </w:fldChar>
      </w:r>
      <w:r w:rsidR="0000415D">
        <w:rPr>
          <w:rFonts w:ascii="Arial" w:hAnsi="Arial"/>
          <w:bCs/>
        </w:rPr>
        <w:instrText xml:space="preserve"> ADDIN EN.CITE </w:instrText>
      </w:r>
      <w:r w:rsidR="0000415D">
        <w:rPr>
          <w:rFonts w:ascii="Arial" w:hAnsi="Arial"/>
          <w:bCs/>
        </w:rPr>
        <w:fldChar w:fldCharType="begin">
          <w:fldData xml:space="preserve">PEVuZE5vdGU+PENpdGU+PEF1dGhvcj5Sb2JsaW5nPC9BdXRob3I+PFllYXI+MjAwMDwvWWVhcj48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</w:fldData>
        </w:fldChar>
      </w:r>
      <w:r w:rsidR="0000415D">
        <w:rPr>
          <w:rFonts w:ascii="Arial" w:hAnsi="Arial"/>
          <w:bCs/>
        </w:rPr>
        <w:instrText xml:space="preserve"> ADDIN EN.CITE.DATA </w:instrText>
      </w:r>
      <w:r w:rsidR="0000415D">
        <w:rPr>
          <w:rFonts w:ascii="Arial" w:hAnsi="Arial"/>
          <w:bCs/>
        </w:rPr>
      </w:r>
      <w:r w:rsidR="0000415D">
        <w:rPr>
          <w:rFonts w:ascii="Arial" w:hAnsi="Arial"/>
          <w:bCs/>
        </w:rPr>
        <w:fldChar w:fldCharType="end"/>
      </w:r>
      <w:r w:rsidR="00B73FBB">
        <w:rPr>
          <w:rFonts w:ascii="Arial" w:hAnsi="Arial"/>
          <w:bCs/>
        </w:rPr>
      </w:r>
      <w:r w:rsidR="00B73FBB">
        <w:rPr>
          <w:rFonts w:ascii="Arial" w:hAnsi="Arial"/>
          <w:bCs/>
        </w:rPr>
        <w:fldChar w:fldCharType="separate"/>
      </w:r>
      <w:r w:rsidR="00B73FBB">
        <w:rPr>
          <w:rFonts w:ascii="Arial" w:hAnsi="Arial"/>
          <w:bCs/>
          <w:noProof/>
        </w:rPr>
        <w:t>(Robling et al., 2000, Srinivasan et al., 2002)</w:t>
      </w:r>
      <w:r w:rsidR="00B73FBB">
        <w:rPr>
          <w:rFonts w:ascii="Arial" w:hAnsi="Arial"/>
          <w:bCs/>
        </w:rPr>
        <w:fldChar w:fldCharType="end"/>
      </w:r>
      <w:r w:rsidR="00313493">
        <w:rPr>
          <w:rFonts w:ascii="Arial" w:hAnsi="Arial"/>
          <w:bCs/>
        </w:rPr>
        <w:t>.</w:t>
      </w:r>
      <w:r>
        <w:rPr>
          <w:rFonts w:ascii="Arial" w:hAnsi="Arial"/>
          <w:bCs/>
        </w:rPr>
        <w:t xml:space="preserve"> </w:t>
      </w:r>
    </w:p>
    <w:p w14:paraId="6CCF5C95" w14:textId="77777777" w:rsidR="00A0409D" w:rsidRDefault="00A0409D" w:rsidP="00A0409D">
      <w:pPr>
        <w:spacing w:line="480" w:lineRule="auto"/>
        <w:jc w:val="both"/>
        <w:rPr>
          <w:rFonts w:ascii="Arial" w:hAnsi="Arial"/>
          <w:bCs/>
        </w:rPr>
      </w:pPr>
    </w:p>
    <w:p w14:paraId="6A1FB278" w14:textId="77777777" w:rsidR="00A0409D" w:rsidRDefault="004E66E7" w:rsidP="00A0409D">
      <w:pPr>
        <w:spacing w:line="480" w:lineRule="auto"/>
        <w:jc w:val="both"/>
        <w:rPr>
          <w:rFonts w:ascii="Arial" w:hAnsi="Arial" w:cs="Arial"/>
        </w:rPr>
      </w:pPr>
      <w:r>
        <w:rPr>
          <w:rFonts w:ascii="Arial" w:hAnsi="Arial"/>
          <w:bCs/>
        </w:rPr>
        <w:t>A w</w:t>
      </w:r>
      <w:r w:rsidR="00A0409D">
        <w:rPr>
          <w:rFonts w:ascii="Arial" w:hAnsi="Arial"/>
          <w:bCs/>
        </w:rPr>
        <w:t xml:space="preserve">ell-established 2-week, three times weekly tibial axial loading protocol was chosen for mechanical loading experiments, which was previously shown to induce local anabolic responses both in cortical and trabecular bones, </w:t>
      </w:r>
      <w:r w:rsidR="00A0409D">
        <w:rPr>
          <w:rFonts w:ascii="Arial" w:hAnsi="Arial" w:cs="Arial"/>
        </w:rPr>
        <w:t xml:space="preserve">confined to the loaded tibiae </w:t>
      </w:r>
      <w:r w:rsidR="00B73FBB">
        <w:rPr>
          <w:rFonts w:ascii="Arial" w:hAnsi="Arial" w:cs="Arial"/>
        </w:rPr>
        <w:fldChar w:fldCharType="begin">
          <w:fldData xml:space="preserve">PEVuZE5vdGU+PENpdGU+PEF1dGhvcj5TdWdpeWFtYTwvQXV0aG9yPjxZZWFyPjIwMTA8L1llYXI+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</w:fldData>
        </w:fldChar>
      </w:r>
      <w:r w:rsidR="00A108A1">
        <w:rPr>
          <w:rFonts w:ascii="Arial" w:hAnsi="Arial" w:cs="Arial"/>
        </w:rPr>
        <w:instrText xml:space="preserve"> ADDIN EN.CITE </w:instrText>
      </w:r>
      <w:r w:rsidR="00A108A1">
        <w:rPr>
          <w:rFonts w:ascii="Arial" w:hAnsi="Arial" w:cs="Arial"/>
        </w:rPr>
        <w:fldChar w:fldCharType="begin">
          <w:fldData xml:space="preserve">PEVuZE5vdGU+PENpdGU+PEF1dGhvcj5TdWdpeWFtYTwvQXV0aG9yPjxZZWFyPjIwMTA8L1llYXI+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</w:fldData>
        </w:fldChar>
      </w:r>
      <w:r w:rsidR="00A108A1">
        <w:rPr>
          <w:rFonts w:ascii="Arial" w:hAnsi="Arial" w:cs="Arial"/>
        </w:rPr>
        <w:instrText xml:space="preserve"> ADDIN EN.CITE.DATA </w:instrText>
      </w:r>
      <w:r w:rsidR="00A108A1">
        <w:rPr>
          <w:rFonts w:ascii="Arial" w:hAnsi="Arial" w:cs="Arial"/>
        </w:rPr>
      </w:r>
      <w:r w:rsidR="00A108A1">
        <w:rPr>
          <w:rFonts w:ascii="Arial" w:hAnsi="Arial" w:cs="Arial"/>
        </w:rPr>
        <w:fldChar w:fldCharType="end"/>
      </w:r>
      <w:r w:rsidR="00B73FBB">
        <w:rPr>
          <w:rFonts w:ascii="Arial" w:hAnsi="Arial" w:cs="Arial"/>
        </w:rPr>
      </w:r>
      <w:r w:rsidR="00B73FBB">
        <w:rPr>
          <w:rFonts w:ascii="Arial" w:hAnsi="Arial" w:cs="Arial"/>
        </w:rPr>
        <w:fldChar w:fldCharType="separate"/>
      </w:r>
      <w:r w:rsidR="00B73FBB">
        <w:rPr>
          <w:rFonts w:ascii="Arial" w:hAnsi="Arial" w:cs="Arial"/>
          <w:noProof/>
        </w:rPr>
        <w:t>(Sugiyama et al., 2010, McKenzie and Silva, 2011)</w:t>
      </w:r>
      <w:r w:rsidR="00B73FBB">
        <w:rPr>
          <w:rFonts w:ascii="Arial" w:hAnsi="Arial" w:cs="Arial"/>
        </w:rPr>
        <w:fldChar w:fldCharType="end"/>
      </w:r>
      <w:r w:rsidR="00D3114C">
        <w:rPr>
          <w:rFonts w:ascii="Arial" w:hAnsi="Arial" w:cs="Arial"/>
        </w:rPr>
        <w:t xml:space="preserve">. </w:t>
      </w:r>
      <w:r w:rsidR="00A0409D">
        <w:rPr>
          <w:rFonts w:ascii="Arial" w:hAnsi="Arial" w:cs="Arial"/>
        </w:rPr>
        <w:t xml:space="preserve">Thus this model allows </w:t>
      </w:r>
      <w:proofErr w:type="gramStart"/>
      <w:r w:rsidR="00A0409D">
        <w:rPr>
          <w:rFonts w:ascii="Arial" w:hAnsi="Arial" w:cs="Arial"/>
        </w:rPr>
        <w:t>to use</w:t>
      </w:r>
      <w:proofErr w:type="gramEnd"/>
      <w:r w:rsidR="00A0409D">
        <w:rPr>
          <w:rFonts w:ascii="Arial" w:hAnsi="Arial" w:cs="Arial"/>
        </w:rPr>
        <w:t xml:space="preserve"> the contralateral tibiae as an internal non-loaded controls reducing the number of the experimental animals and increasing the statistical power.</w:t>
      </w:r>
    </w:p>
    <w:p w14:paraId="5D0E86A0" w14:textId="77777777" w:rsidR="00A0409D" w:rsidRDefault="00A0409D" w:rsidP="00A0409D">
      <w:pPr>
        <w:spacing w:line="480" w:lineRule="auto"/>
        <w:jc w:val="both"/>
        <w:rPr>
          <w:rFonts w:ascii="Arial" w:hAnsi="Arial" w:cs="Arial"/>
        </w:rPr>
      </w:pPr>
    </w:p>
    <w:p w14:paraId="114F8A95" w14:textId="77777777" w:rsidR="00A0409D" w:rsidRDefault="00A0409D" w:rsidP="00A0409D">
      <w:pPr>
        <w:spacing w:line="480" w:lineRule="auto"/>
        <w:jc w:val="both"/>
        <w:rPr>
          <w:rFonts w:ascii="Arial" w:hAnsi="Arial" w:cs="Arial"/>
        </w:rPr>
      </w:pPr>
      <w:r>
        <w:rPr>
          <w:rFonts w:ascii="Arial" w:hAnsi="Arial"/>
          <w:bCs/>
        </w:rPr>
        <w:t>Mechanical loading with maximum force of 13N and 40 trapezoidal shaped waveform cycles with 9</w:t>
      </w:r>
      <w:r w:rsidR="00330FE5">
        <w:rPr>
          <w:rFonts w:ascii="Arial" w:hAnsi="Arial"/>
          <w:bCs/>
        </w:rPr>
        <w:t>s</w:t>
      </w:r>
      <w:r>
        <w:rPr>
          <w:rFonts w:ascii="Arial" w:hAnsi="Arial"/>
          <w:bCs/>
        </w:rPr>
        <w:t xml:space="preserve"> rest intervals between each cycle was used to engender maximal osteogenic response in young 19-week-old mouse right tibiae in each loading event </w:t>
      </w:r>
      <w:r w:rsidR="00B73FBB">
        <w:rPr>
          <w:rFonts w:ascii="Arial" w:hAnsi="Arial"/>
          <w:bCs/>
        </w:rPr>
        <w:fldChar w:fldCharType="begin">
          <w:fldData xml:space="preserve">PEVuZE5vdGU+PENpdGU+PEF1dGhvcj5SdWJpbjwvQXV0aG9yPjxZZWFyPjE5ODQ8L1llYXI+PFJl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</w:fldData>
        </w:fldChar>
      </w:r>
      <w:r w:rsidR="0000415D">
        <w:rPr>
          <w:rFonts w:ascii="Arial" w:hAnsi="Arial"/>
          <w:bCs/>
        </w:rPr>
        <w:instrText xml:space="preserve"> ADDIN EN.CITE </w:instrText>
      </w:r>
      <w:r w:rsidR="0000415D">
        <w:rPr>
          <w:rFonts w:ascii="Arial" w:hAnsi="Arial"/>
          <w:bCs/>
        </w:rPr>
        <w:fldChar w:fldCharType="begin">
          <w:fldData xml:space="preserve">PEVuZE5vdGU+PENpdGU+PEF1dGhvcj5SdWJpbjwvQXV0aG9yPjxZZWFyPjE5ODQ8L1llYXI+PFJl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</w:fldData>
        </w:fldChar>
      </w:r>
      <w:r w:rsidR="0000415D">
        <w:rPr>
          <w:rFonts w:ascii="Arial" w:hAnsi="Arial"/>
          <w:bCs/>
        </w:rPr>
        <w:instrText xml:space="preserve"> ADDIN EN.CITE.DATA </w:instrText>
      </w:r>
      <w:r w:rsidR="0000415D">
        <w:rPr>
          <w:rFonts w:ascii="Arial" w:hAnsi="Arial"/>
          <w:bCs/>
        </w:rPr>
      </w:r>
      <w:r w:rsidR="0000415D">
        <w:rPr>
          <w:rFonts w:ascii="Arial" w:hAnsi="Arial"/>
          <w:bCs/>
        </w:rPr>
        <w:fldChar w:fldCharType="end"/>
      </w:r>
      <w:r w:rsidR="00B73FBB">
        <w:rPr>
          <w:rFonts w:ascii="Arial" w:hAnsi="Arial"/>
          <w:bCs/>
        </w:rPr>
      </w:r>
      <w:r w:rsidR="00B73FBB">
        <w:rPr>
          <w:rFonts w:ascii="Arial" w:hAnsi="Arial"/>
          <w:bCs/>
        </w:rPr>
        <w:fldChar w:fldCharType="separate"/>
      </w:r>
      <w:r w:rsidR="00B73FBB">
        <w:rPr>
          <w:rFonts w:ascii="Arial" w:hAnsi="Arial"/>
          <w:bCs/>
          <w:noProof/>
        </w:rPr>
        <w:t>(Rubin and Lanyon, 1984, Moustafa et al., 2009, Meakin et al., 2014)</w:t>
      </w:r>
      <w:r w:rsidR="00B73FBB">
        <w:rPr>
          <w:rFonts w:ascii="Arial" w:hAnsi="Arial"/>
          <w:bCs/>
        </w:rPr>
        <w:fldChar w:fldCharType="end"/>
      </w:r>
      <w:r w:rsidR="001F6E30">
        <w:rPr>
          <w:rFonts w:ascii="Arial" w:hAnsi="Arial"/>
          <w:bCs/>
        </w:rPr>
        <w:t xml:space="preserve">. </w:t>
      </w:r>
      <w:r w:rsidRPr="006F7076">
        <w:rPr>
          <w:rFonts w:ascii="Arial" w:hAnsi="Arial"/>
          <w:bCs/>
        </w:rPr>
        <w:t>According to the previous studies, the longitudinal bone growth</w:t>
      </w:r>
      <w:r>
        <w:rPr>
          <w:rFonts w:ascii="Arial" w:hAnsi="Arial"/>
          <w:bCs/>
        </w:rPr>
        <w:t xml:space="preserve"> and peak bone density do not change significantly in mice after 4 months of age</w:t>
      </w:r>
      <w:r w:rsidRPr="006F7076">
        <w:rPr>
          <w:rFonts w:ascii="Arial" w:hAnsi="Arial"/>
          <w:bCs/>
        </w:rPr>
        <w:t xml:space="preserve"> </w:t>
      </w:r>
      <w:r w:rsidR="00B73FBB">
        <w:rPr>
          <w:rFonts w:ascii="Arial" w:hAnsi="Arial"/>
          <w:bCs/>
        </w:rPr>
        <w:fldChar w:fldCharType="begin"/>
      </w:r>
      <w:r w:rsidR="00A108A1">
        <w:rPr>
          <w:rFonts w:ascii="Arial" w:hAnsi="Arial"/>
          <w:bCs/>
        </w:rPr>
        <w:instrText xml:space="preserve"> ADDIN EN.CITE &lt;EndNote&gt;&lt;Cite&gt;&lt;Author&gt;Somerville&lt;/Author&gt;&lt;Year&gt;2004&lt;/Year&gt;&lt;RecNum&gt;441&lt;/RecNum&gt;&lt;DisplayText&gt;(Somerville et al., 2004)&lt;/DisplayText&gt;&lt;record&gt;&lt;rec-number&gt;441&lt;/rec-number&gt;&lt;foreign-keys&gt;&lt;key app="EN" db-id="ae9rewfrpdttrheppfxxv0p4950wpd25r09x" timestamp="1520658306"&gt;441&lt;/key&gt;&lt;/foreign-keys&gt;&lt;ref-type name="Journal Article"&gt;17&lt;/ref-type&gt;&lt;contributors&gt;&lt;authors&gt;&lt;author&gt;Somerville, J.&lt;/author&gt;&lt;author&gt;Aspden, R.&lt;/author&gt;&lt;author&gt;Armour, K.&lt;/author&gt;&lt;author&gt;Reid, D.&lt;/author&gt;&lt;/authors&gt;&lt;/contributors&gt;&lt;titles&gt;&lt;title&gt;Growth of C57Bl/ 6 Mice and the Material and Mechanical Properties of Cortical Bone from the Tibia&lt;/title&gt;&lt;secondary-title&gt;Calcified Tissue International&lt;/secondary-title&gt;&lt;/titles&gt;&lt;periodical&gt;&lt;full-title&gt;Calcified Tissue International&lt;/full-title&gt;&lt;/periodical&gt;&lt;pages&gt;469-475&lt;/pages&gt;&lt;volume&gt;74&lt;/volume&gt;&lt;number&gt;5&lt;/number&gt;&lt;keywords&gt;&lt;keyword&gt;Mouse&lt;/keyword&gt;&lt;keyword&gt;Bone&lt;/keyword&gt;&lt;keyword&gt;Growth&lt;/keyword&gt;&lt;keyword&gt;Material properties&lt;/keyword&gt;&lt;keyword&gt;Mechanical properties&lt;/keyword&gt;&lt;/keywords&gt;&lt;dates&gt;&lt;year&gt;2004&lt;/year&gt;&lt;/dates&gt;&lt;pub-location&gt;New York&lt;/pub-location&gt;&lt;isbn&gt;0171-967X&lt;/isbn&gt;&lt;urls&gt;&lt;/urls&gt;&lt;electronic-resource-num&gt;10.1007/s00223-003-0101-x&lt;/electronic-resource-num&gt;&lt;/record&gt;&lt;/Cite&gt;&lt;/EndNote&gt;</w:instrText>
      </w:r>
      <w:r w:rsidR="00B73FBB">
        <w:rPr>
          <w:rFonts w:ascii="Arial" w:hAnsi="Arial"/>
          <w:bCs/>
        </w:rPr>
        <w:fldChar w:fldCharType="separate"/>
      </w:r>
      <w:r w:rsidR="00B73FBB">
        <w:rPr>
          <w:rFonts w:ascii="Arial" w:hAnsi="Arial"/>
          <w:bCs/>
          <w:noProof/>
        </w:rPr>
        <w:t>(Somerville et al., 2004)</w:t>
      </w:r>
      <w:r w:rsidR="00B73FBB">
        <w:rPr>
          <w:rFonts w:ascii="Arial" w:hAnsi="Arial"/>
          <w:bCs/>
        </w:rPr>
        <w:fldChar w:fldCharType="end"/>
      </w:r>
      <w:r w:rsidR="001F6E30">
        <w:rPr>
          <w:rFonts w:ascii="Arial" w:hAnsi="Arial"/>
          <w:bCs/>
        </w:rPr>
        <w:t>.</w:t>
      </w:r>
      <w:r>
        <w:rPr>
          <w:rFonts w:ascii="Arial" w:hAnsi="Arial" w:cs="Arial"/>
        </w:rPr>
        <w:t xml:space="preserve"> </w:t>
      </w:r>
      <w:r>
        <w:rPr>
          <w:rFonts w:ascii="Arial" w:hAnsi="Arial"/>
          <w:bCs/>
        </w:rPr>
        <w:t>Since relatively low number of loading cycles is required to stimulate osteogenesis,</w:t>
      </w:r>
      <w:r w:rsidRPr="00537E92">
        <w:rPr>
          <w:rFonts w:ascii="Arial" w:hAnsi="Arial"/>
          <w:bCs/>
        </w:rPr>
        <w:t xml:space="preserve"> </w:t>
      </w:r>
      <w:r w:rsidRPr="00537E92">
        <w:rPr>
          <w:rFonts w:ascii="Arial" w:eastAsiaTheme="minorHAnsi" w:hAnsi="Arial"/>
          <w:bCs/>
        </w:rPr>
        <w:t>for</w:t>
      </w:r>
      <w:r>
        <w:rPr>
          <w:rFonts w:ascii="Arial" w:eastAsiaTheme="minorHAnsi" w:hAnsi="Arial"/>
          <w:bCs/>
          <w:lang w:val="en-US"/>
        </w:rPr>
        <w:t xml:space="preserve"> the first experiment</w:t>
      </w:r>
      <w:r w:rsidRPr="00537E92">
        <w:rPr>
          <w:rFonts w:ascii="Arial" w:eastAsiaTheme="minorHAnsi" w:hAnsi="Arial"/>
          <w:bCs/>
          <w:lang w:val="en-US"/>
        </w:rPr>
        <w:t xml:space="preserve"> the regimen of 20 cycles </w:t>
      </w:r>
      <w:r>
        <w:rPr>
          <w:rFonts w:ascii="Arial" w:eastAsiaTheme="minorHAnsi" w:hAnsi="Arial"/>
          <w:bCs/>
          <w:lang w:val="en-US"/>
        </w:rPr>
        <w:t xml:space="preserve">in each loading event was used. This also allowed </w:t>
      </w:r>
      <w:proofErr w:type="gramStart"/>
      <w:r>
        <w:rPr>
          <w:rFonts w:ascii="Arial" w:eastAsiaTheme="minorHAnsi" w:hAnsi="Arial"/>
          <w:bCs/>
          <w:lang w:val="en-US"/>
        </w:rPr>
        <w:t>to test</w:t>
      </w:r>
      <w:proofErr w:type="gramEnd"/>
      <w:r>
        <w:rPr>
          <w:rFonts w:ascii="Arial" w:eastAsiaTheme="minorHAnsi" w:hAnsi="Arial"/>
          <w:bCs/>
          <w:lang w:val="en-US"/>
        </w:rPr>
        <w:t xml:space="preserve"> the reliability of the old Instron </w:t>
      </w:r>
      <w:r w:rsidRPr="00981960">
        <w:rPr>
          <w:rFonts w:ascii="Arial" w:hAnsi="Arial" w:cs="Arial"/>
        </w:rPr>
        <w:t>servo-hydraulic loading machine</w:t>
      </w:r>
      <w:r>
        <w:rPr>
          <w:rFonts w:ascii="Arial" w:hAnsi="Arial" w:cs="Arial"/>
        </w:rPr>
        <w:t xml:space="preserve"> used then by our laboratory </w:t>
      </w:r>
      <w:r>
        <w:rPr>
          <w:rFonts w:ascii="Arial" w:hAnsi="Arial" w:cs="Arial"/>
        </w:rPr>
        <w:lastRenderedPageBreak/>
        <w:t xml:space="preserve">before the new </w:t>
      </w:r>
      <w:r w:rsidRPr="00B04945">
        <w:rPr>
          <w:rFonts w:ascii="Arial" w:hAnsi="Arial" w:cs="Arial"/>
        </w:rPr>
        <w:t>linear motor materials testing machine (ElectroForce 5500, Bose Co</w:t>
      </w:r>
      <w:r>
        <w:rPr>
          <w:rFonts w:ascii="Arial" w:hAnsi="Arial" w:cs="Arial"/>
        </w:rPr>
        <w:t>.</w:t>
      </w:r>
      <w:r w:rsidRPr="00B04945">
        <w:rPr>
          <w:rFonts w:ascii="Arial" w:hAnsi="Arial" w:cs="Arial"/>
        </w:rPr>
        <w:t>)</w:t>
      </w:r>
      <w:r>
        <w:rPr>
          <w:rFonts w:ascii="Arial" w:hAnsi="Arial" w:cs="Arial"/>
        </w:rPr>
        <w:t xml:space="preserve"> was purchased. </w:t>
      </w:r>
    </w:p>
    <w:p w14:paraId="33844388" w14:textId="77777777" w:rsidR="007850A6" w:rsidRDefault="007850A6" w:rsidP="00A0409D">
      <w:pPr>
        <w:spacing w:line="480" w:lineRule="auto"/>
        <w:jc w:val="both"/>
        <w:rPr>
          <w:rFonts w:ascii="Arial" w:eastAsiaTheme="minorHAnsi" w:hAnsi="Arial"/>
          <w:bCs/>
          <w:lang w:val="en-US"/>
        </w:rPr>
      </w:pPr>
    </w:p>
    <w:p w14:paraId="741F843B" w14:textId="77777777" w:rsidR="00A0409D" w:rsidRDefault="00A0409D" w:rsidP="00A0409D">
      <w:pPr>
        <w:spacing w:line="480" w:lineRule="auto"/>
        <w:jc w:val="both"/>
        <w:rPr>
          <w:rFonts w:ascii="Arial" w:hAnsi="Arial" w:cs="Arial"/>
        </w:rPr>
      </w:pPr>
      <w:r w:rsidRPr="007C25E4">
        <w:rPr>
          <w:rFonts w:ascii="Arial" w:eastAsiaTheme="minorHAnsi" w:hAnsi="Arial"/>
          <w:bCs/>
          <w:lang w:val="en-US"/>
        </w:rPr>
        <w:t xml:space="preserve">To </w:t>
      </w:r>
      <w:r>
        <w:rPr>
          <w:rFonts w:ascii="Arial" w:eastAsiaTheme="minorHAnsi" w:hAnsi="Arial"/>
          <w:bCs/>
          <w:lang w:val="en-US"/>
        </w:rPr>
        <w:t>establish</w:t>
      </w:r>
      <w:r w:rsidRPr="007C25E4">
        <w:rPr>
          <w:rFonts w:ascii="Arial" w:eastAsiaTheme="minorHAnsi" w:hAnsi="Arial"/>
          <w:bCs/>
          <w:lang w:val="en-US"/>
        </w:rPr>
        <w:t xml:space="preserve"> a robust model </w:t>
      </w:r>
      <w:r>
        <w:rPr>
          <w:rFonts w:ascii="Arial" w:eastAsiaTheme="minorHAnsi" w:hAnsi="Arial"/>
          <w:bCs/>
          <w:lang w:val="en-US"/>
        </w:rPr>
        <w:t xml:space="preserve">to study </w:t>
      </w:r>
      <w:r w:rsidRPr="007C25E4">
        <w:rPr>
          <w:rFonts w:ascii="Arial" w:eastAsiaTheme="minorHAnsi" w:hAnsi="Arial"/>
          <w:bCs/>
          <w:lang w:val="en-US"/>
        </w:rPr>
        <w:t>the effect of timing of feeding on bone’s response to loading we first assessed the effect of overnight</w:t>
      </w:r>
      <w:r w:rsidR="007850A6">
        <w:rPr>
          <w:rFonts w:ascii="Arial" w:eastAsiaTheme="minorHAnsi" w:hAnsi="Arial"/>
          <w:bCs/>
          <w:lang w:val="en-US"/>
        </w:rPr>
        <w:t>,</w:t>
      </w:r>
      <w:r w:rsidRPr="007C25E4">
        <w:rPr>
          <w:rFonts w:ascii="Arial" w:eastAsiaTheme="minorHAnsi" w:hAnsi="Arial"/>
          <w:bCs/>
          <w:lang w:val="en-US"/>
        </w:rPr>
        <w:t xml:space="preserve"> </w:t>
      </w:r>
      <w:r w:rsidR="00A254F3">
        <w:rPr>
          <w:rFonts w:ascii="Arial" w:eastAsiaTheme="minorHAnsi" w:hAnsi="Arial"/>
          <w:bCs/>
          <w:lang w:val="en-US"/>
        </w:rPr>
        <w:t>prolonged 16-hour</w:t>
      </w:r>
      <w:r>
        <w:rPr>
          <w:rFonts w:ascii="Arial" w:eastAsiaTheme="minorHAnsi" w:hAnsi="Arial"/>
          <w:bCs/>
          <w:lang w:val="en-US"/>
        </w:rPr>
        <w:t xml:space="preserve"> </w:t>
      </w:r>
      <w:r w:rsidRPr="007C25E4">
        <w:rPr>
          <w:rFonts w:ascii="Arial" w:eastAsiaTheme="minorHAnsi" w:hAnsi="Arial"/>
          <w:bCs/>
          <w:lang w:val="en-US"/>
        </w:rPr>
        <w:t xml:space="preserve">food restriction on feeding behaviour of </w:t>
      </w:r>
      <w:r>
        <w:rPr>
          <w:rFonts w:ascii="Arial" w:hAnsi="Arial" w:cs="Arial"/>
        </w:rPr>
        <w:t>young</w:t>
      </w:r>
      <w:r w:rsidRPr="007C25E4">
        <w:rPr>
          <w:rFonts w:ascii="Arial" w:hAnsi="Arial" w:cs="Arial"/>
        </w:rPr>
        <w:t xml:space="preserve"> male mice.</w:t>
      </w:r>
      <w:r>
        <w:rPr>
          <w:rFonts w:ascii="Arial" w:hAnsi="Arial" w:cs="Arial"/>
        </w:rPr>
        <w:t xml:space="preserve"> C57BL/6 mice are most commonly used strains for energy homeostasis studies in </w:t>
      </w:r>
      <w:r w:rsidR="00A254F3">
        <w:rPr>
          <w:rFonts w:ascii="Arial" w:hAnsi="Arial" w:cs="Arial"/>
        </w:rPr>
        <w:t>rodents</w:t>
      </w:r>
      <w:r w:rsidR="001E191C">
        <w:rPr>
          <w:rFonts w:ascii="Arial" w:hAnsi="Arial" w:cs="Arial"/>
        </w:rPr>
        <w:t xml:space="preserve"> </w:t>
      </w:r>
      <w:r w:rsidR="00B73FBB">
        <w:rPr>
          <w:rFonts w:ascii="Arial" w:hAnsi="Arial" w:cs="Arial"/>
        </w:rPr>
        <w:fldChar w:fldCharType="begin">
          <w:fldData xml:space="preserve">PEVuZE5vdGU+PENpdGU+PEF1dGhvcj5Lb2hzYWthPC9BdXRob3I+PFllYXI+MjAwNzwvWWVhcj48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PEVuZE5vdGU+PENpdGU+PEF1dGhvcj5Lb2hzYWthPC9BdXRob3I+PFllYXI+MjAwNzwvWWVhcj48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B73FBB">
        <w:rPr>
          <w:rFonts w:ascii="Arial" w:hAnsi="Arial" w:cs="Arial"/>
        </w:rPr>
      </w:r>
      <w:r w:rsidR="00B73FBB">
        <w:rPr>
          <w:rFonts w:ascii="Arial" w:hAnsi="Arial" w:cs="Arial"/>
        </w:rPr>
        <w:fldChar w:fldCharType="separate"/>
      </w:r>
      <w:r w:rsidR="00B73FBB">
        <w:rPr>
          <w:rFonts w:ascii="Arial" w:hAnsi="Arial" w:cs="Arial"/>
          <w:noProof/>
        </w:rPr>
        <w:t>(Kohsaka et al., 2007, Agouni et al., 2010, Ayala et al., 2010, Hatori et al., 2012)</w:t>
      </w:r>
      <w:r w:rsidR="00B73FBB">
        <w:rPr>
          <w:rFonts w:ascii="Arial" w:hAnsi="Arial" w:cs="Arial"/>
        </w:rPr>
        <w:fldChar w:fldCharType="end"/>
      </w:r>
      <w:r w:rsidR="001E191C">
        <w:rPr>
          <w:rFonts w:ascii="Arial" w:hAnsi="Arial" w:cs="Arial"/>
        </w:rPr>
        <w:t xml:space="preserve"> </w:t>
      </w:r>
      <w:r>
        <w:rPr>
          <w:rFonts w:ascii="Arial" w:hAnsi="Arial" w:cs="Arial"/>
        </w:rPr>
        <w:t xml:space="preserve">and are shown to be most susceptible to diet-induced obesity </w:t>
      </w:r>
      <w:r w:rsidR="00B73FBB">
        <w:rPr>
          <w:rFonts w:ascii="Arial" w:hAnsi="Arial" w:cs="Arial"/>
        </w:rPr>
        <w:fldChar w:fldCharType="begin">
          <w:fldData xml:space="preserve">PEVuZE5vdGU+PENpdGU+PEF1dGhvcj5Db2xsaW5zPC9BdXRob3I+PFllYXI+MjAwNDwvWWVhcj48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</w:fldData>
        </w:fldChar>
      </w:r>
      <w:r w:rsidR="00B97465">
        <w:rPr>
          <w:rFonts w:ascii="Arial" w:hAnsi="Arial" w:cs="Arial"/>
        </w:rPr>
        <w:instrText xml:space="preserve"> ADDIN EN.CITE </w:instrText>
      </w:r>
      <w:r w:rsidR="00B97465">
        <w:rPr>
          <w:rFonts w:ascii="Arial" w:hAnsi="Arial" w:cs="Arial"/>
        </w:rPr>
        <w:fldChar w:fldCharType="begin">
          <w:fldData xml:space="preserve">PEVuZE5vdGU+PENpdGU+PEF1dGhvcj5Db2xsaW5zPC9BdXRob3I+PFllYXI+MjAwNDwvWWVhcj48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</w:fldData>
        </w:fldChar>
      </w:r>
      <w:r w:rsidR="00B97465">
        <w:rPr>
          <w:rFonts w:ascii="Arial" w:hAnsi="Arial" w:cs="Arial"/>
        </w:rPr>
        <w:instrText xml:space="preserve"> ADDIN EN.CITE.DATA </w:instrText>
      </w:r>
      <w:r w:rsidR="00B97465">
        <w:rPr>
          <w:rFonts w:ascii="Arial" w:hAnsi="Arial" w:cs="Arial"/>
        </w:rPr>
      </w:r>
      <w:r w:rsidR="00B97465">
        <w:rPr>
          <w:rFonts w:ascii="Arial" w:hAnsi="Arial" w:cs="Arial"/>
        </w:rPr>
        <w:fldChar w:fldCharType="end"/>
      </w:r>
      <w:r w:rsidR="00B73FBB">
        <w:rPr>
          <w:rFonts w:ascii="Arial" w:hAnsi="Arial" w:cs="Arial"/>
        </w:rPr>
      </w:r>
      <w:r w:rsidR="00B73FBB">
        <w:rPr>
          <w:rFonts w:ascii="Arial" w:hAnsi="Arial" w:cs="Arial"/>
        </w:rPr>
        <w:fldChar w:fldCharType="separate"/>
      </w:r>
      <w:r w:rsidR="00B73FBB">
        <w:rPr>
          <w:rFonts w:ascii="Arial" w:hAnsi="Arial" w:cs="Arial"/>
          <w:noProof/>
        </w:rPr>
        <w:t>(Collins et al., 2004, Champy et al., 2008)</w:t>
      </w:r>
      <w:r w:rsidR="00B73FBB">
        <w:rPr>
          <w:rFonts w:ascii="Arial" w:hAnsi="Arial" w:cs="Arial"/>
        </w:rPr>
        <w:fldChar w:fldCharType="end"/>
      </w:r>
      <w:r w:rsidR="00494F3C">
        <w:rPr>
          <w:rFonts w:ascii="Arial" w:hAnsi="Arial" w:cs="Arial"/>
        </w:rPr>
        <w:t>.</w:t>
      </w:r>
      <w:r>
        <w:rPr>
          <w:rFonts w:ascii="Arial" w:hAnsi="Arial" w:cs="Arial"/>
        </w:rPr>
        <w:t xml:space="preserve"> Male mice are often preferred for the behavioural assays over females because hormonal variations due to </w:t>
      </w:r>
      <w:r w:rsidR="003B05F1">
        <w:rPr>
          <w:rFonts w:ascii="Arial" w:hAnsi="Arial" w:cs="Arial"/>
        </w:rPr>
        <w:t>oestrous</w:t>
      </w:r>
      <w:r>
        <w:rPr>
          <w:rFonts w:ascii="Arial" w:hAnsi="Arial" w:cs="Arial"/>
        </w:rPr>
        <w:t xml:space="preserve"> cycle could affect key </w:t>
      </w:r>
      <w:r w:rsidR="007850A6">
        <w:rPr>
          <w:rFonts w:ascii="Arial" w:hAnsi="Arial" w:cs="Arial"/>
        </w:rPr>
        <w:t>determinants</w:t>
      </w:r>
      <w:r>
        <w:rPr>
          <w:rFonts w:ascii="Arial" w:hAnsi="Arial" w:cs="Arial"/>
        </w:rPr>
        <w:t xml:space="preserve"> of energy balance</w:t>
      </w:r>
      <w:r w:rsidR="005A1B2B">
        <w:rPr>
          <w:rFonts w:ascii="Arial" w:hAnsi="Arial" w:cs="Arial"/>
        </w:rPr>
        <w:t xml:space="preserve"> </w:t>
      </w:r>
      <w:r w:rsidR="00B73FBB">
        <w:rPr>
          <w:rFonts w:ascii="Arial" w:hAnsi="Arial" w:cs="Arial"/>
        </w:rPr>
        <w:fldChar w:fldCharType="begin">
          <w:fldData xml:space="preserve">PEVuZE5vdGU+PENpdGU+PEF1dGhvcj5Bc2FyaWFuPC9BdXRob3I+PFllYXI+MjAwNjwvWWVhcj48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</w:fldData>
        </w:fldChar>
      </w:r>
      <w:r w:rsidR="00A108A1">
        <w:rPr>
          <w:rFonts w:ascii="Arial" w:hAnsi="Arial" w:cs="Arial"/>
        </w:rPr>
        <w:instrText xml:space="preserve"> ADDIN EN.CITE </w:instrText>
      </w:r>
      <w:r w:rsidR="00A108A1">
        <w:rPr>
          <w:rFonts w:ascii="Arial" w:hAnsi="Arial" w:cs="Arial"/>
        </w:rPr>
        <w:fldChar w:fldCharType="begin">
          <w:fldData xml:space="preserve">PEVuZE5vdGU+PENpdGU+PEF1dGhvcj5Bc2FyaWFuPC9BdXRob3I+PFllYXI+MjAwNjwvWWVhcj48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</w:fldData>
        </w:fldChar>
      </w:r>
      <w:r w:rsidR="00A108A1">
        <w:rPr>
          <w:rFonts w:ascii="Arial" w:hAnsi="Arial" w:cs="Arial"/>
        </w:rPr>
        <w:instrText xml:space="preserve"> ADDIN EN.CITE.DATA </w:instrText>
      </w:r>
      <w:r w:rsidR="00A108A1">
        <w:rPr>
          <w:rFonts w:ascii="Arial" w:hAnsi="Arial" w:cs="Arial"/>
        </w:rPr>
      </w:r>
      <w:r w:rsidR="00A108A1">
        <w:rPr>
          <w:rFonts w:ascii="Arial" w:hAnsi="Arial" w:cs="Arial"/>
        </w:rPr>
        <w:fldChar w:fldCharType="end"/>
      </w:r>
      <w:r w:rsidR="00B73FBB">
        <w:rPr>
          <w:rFonts w:ascii="Arial" w:hAnsi="Arial" w:cs="Arial"/>
        </w:rPr>
      </w:r>
      <w:r w:rsidR="00B73FBB">
        <w:rPr>
          <w:rFonts w:ascii="Arial" w:hAnsi="Arial" w:cs="Arial"/>
        </w:rPr>
        <w:fldChar w:fldCharType="separate"/>
      </w:r>
      <w:r w:rsidR="00B73FBB">
        <w:rPr>
          <w:rFonts w:ascii="Arial" w:hAnsi="Arial" w:cs="Arial"/>
          <w:noProof/>
        </w:rPr>
        <w:t>(Asarian, 2006, Fernandez-Fernandez et al., 2006)</w:t>
      </w:r>
      <w:r w:rsidR="00B73FBB">
        <w:rPr>
          <w:rFonts w:ascii="Arial" w:hAnsi="Arial" w:cs="Arial"/>
        </w:rPr>
        <w:fldChar w:fldCharType="end"/>
      </w:r>
      <w:r w:rsidR="005A1B2B">
        <w:rPr>
          <w:rFonts w:ascii="Arial" w:hAnsi="Arial" w:cs="Arial"/>
        </w:rPr>
        <w:t xml:space="preserve">. </w:t>
      </w:r>
    </w:p>
    <w:p w14:paraId="7820C4BD" w14:textId="77777777" w:rsidR="00A0409D" w:rsidRDefault="00A0409D" w:rsidP="00A0409D">
      <w:pPr>
        <w:spacing w:line="480" w:lineRule="auto"/>
        <w:jc w:val="both"/>
        <w:rPr>
          <w:rFonts w:ascii="Arial" w:hAnsi="Arial" w:cs="Arial"/>
        </w:rPr>
      </w:pPr>
    </w:p>
    <w:p w14:paraId="1C2889DD" w14:textId="77777777" w:rsidR="00A0409D" w:rsidRDefault="00A0409D" w:rsidP="00A0409D">
      <w:pPr>
        <w:spacing w:line="480" w:lineRule="auto"/>
        <w:jc w:val="both"/>
        <w:rPr>
          <w:rFonts w:ascii="Arial" w:hAnsi="Arial" w:cs="Arial"/>
        </w:rPr>
      </w:pPr>
      <w:r>
        <w:rPr>
          <w:rFonts w:ascii="Arial" w:hAnsi="Arial" w:cs="Arial"/>
        </w:rPr>
        <w:t xml:space="preserve">The second aim was to assess the effect of overnight fasting on bones’ adaptive response to mechanical loading in young male mice. Although positive effects of caloric restriction on lifespan have been widely documented in </w:t>
      </w:r>
      <w:r w:rsidR="009452C9">
        <w:rPr>
          <w:rFonts w:ascii="Arial" w:hAnsi="Arial" w:cs="Arial"/>
        </w:rPr>
        <w:t xml:space="preserve">various </w:t>
      </w:r>
      <w:r>
        <w:rPr>
          <w:rFonts w:ascii="Arial" w:hAnsi="Arial" w:cs="Arial"/>
        </w:rPr>
        <w:t xml:space="preserve">model organisms, it is also shown to be </w:t>
      </w:r>
      <w:r w:rsidR="009452C9">
        <w:rPr>
          <w:rFonts w:ascii="Arial" w:hAnsi="Arial" w:cs="Arial"/>
        </w:rPr>
        <w:t>related to the</w:t>
      </w:r>
      <w:r>
        <w:rPr>
          <w:rFonts w:ascii="Arial" w:hAnsi="Arial" w:cs="Arial"/>
        </w:rPr>
        <w:t xml:space="preserve"> bone loss in humans </w:t>
      </w:r>
      <w:r w:rsidR="00B73FBB">
        <w:rPr>
          <w:rFonts w:ascii="Arial" w:hAnsi="Arial" w:cs="Arial"/>
        </w:rPr>
        <w:fldChar w:fldCharType="begin"/>
      </w:r>
      <w:r w:rsidR="00A108A1">
        <w:rPr>
          <w:rFonts w:ascii="Arial" w:hAnsi="Arial" w:cs="Arial"/>
        </w:rPr>
        <w:instrText xml:space="preserve"> ADDIN EN.CITE &lt;EndNote&gt;&lt;Cite&gt;&lt;Author&gt;Villareal&lt;/Author&gt;&lt;Year&gt;2006&lt;/Year&gt;&lt;RecNum&gt;446&lt;/RecNum&gt;&lt;DisplayText&gt;(Villareal et al., 2006)&lt;/DisplayText&gt;&lt;record&gt;&lt;rec-number&gt;446&lt;/rec-number&gt;&lt;foreign-keys&gt;&lt;key app="EN" db-id="ae9rewfrpdttrheppfxxv0p4950wpd25r09x" timestamp="1520658306"&gt;446&lt;/key&gt;&lt;/foreign-keys&gt;&lt;ref-type name="Journal Article"&gt;17&lt;/ref-type&gt;&lt;contributors&gt;&lt;authors&gt;&lt;author&gt;Villareal, Dennis T.&lt;/author&gt;&lt;author&gt;Fontana, Luigi&lt;/author&gt;&lt;author&gt;Weiss, Edward P.&lt;/author&gt;&lt;author&gt;Racette, Susan B.&lt;/author&gt;&lt;author&gt;Steger-May, Karen&lt;/author&gt;&lt;author&gt;Schechtman, Kenneth B.&lt;/author&gt;&lt;author&gt;Klein, Samuel&lt;/author&gt;&lt;author&gt;Holloszy, John O.&lt;/author&gt;&lt;/authors&gt;&lt;/contributors&gt;&lt;titles&gt;&lt;title&gt;Bone Mineral Density Response to Caloric Restriction– Induced Weight Loss or Exercise- Induced Weight Loss: A Randomized Controlled Trial&lt;/title&gt;&lt;secondary-title&gt;Archives of Internal Medicine&lt;/secondary-title&gt;&lt;/titles&gt;&lt;periodical&gt;&lt;full-title&gt;Archives of Internal Medicine&lt;/full-title&gt;&lt;/periodical&gt;&lt;pages&gt;2502-2510&lt;/pages&gt;&lt;volume&gt;166&lt;/volume&gt;&lt;number&gt;22&lt;/number&gt;&lt;keywords&gt;&lt;keyword&gt;Medicine&lt;/keyword&gt;&lt;/keywords&gt;&lt;dates&gt;&lt;year&gt;2006&lt;/year&gt;&lt;/dates&gt;&lt;isbn&gt;0003-9926&lt;/isbn&gt;&lt;urls&gt;&lt;/urls&gt;&lt;electronic-resource-num&gt;10.1001/archinte.166.22.2502&lt;/electronic-resource-num&gt;&lt;/record&gt;&lt;/Cite&gt;&lt;/EndNote&gt;</w:instrText>
      </w:r>
      <w:r w:rsidR="00B73FBB">
        <w:rPr>
          <w:rFonts w:ascii="Arial" w:hAnsi="Arial" w:cs="Arial"/>
        </w:rPr>
        <w:fldChar w:fldCharType="separate"/>
      </w:r>
      <w:r w:rsidR="00B73FBB">
        <w:rPr>
          <w:rFonts w:ascii="Arial" w:hAnsi="Arial" w:cs="Arial"/>
          <w:noProof/>
        </w:rPr>
        <w:t>(Villareal et al., 2006)</w:t>
      </w:r>
      <w:r w:rsidR="00B73FBB">
        <w:rPr>
          <w:rFonts w:ascii="Arial" w:hAnsi="Arial" w:cs="Arial"/>
        </w:rPr>
        <w:fldChar w:fldCharType="end"/>
      </w:r>
      <w:r w:rsidR="008776F2">
        <w:rPr>
          <w:rFonts w:ascii="Arial" w:hAnsi="Arial" w:cs="Arial"/>
        </w:rPr>
        <w:t>.</w:t>
      </w:r>
      <w:r>
        <w:rPr>
          <w:rFonts w:ascii="Arial" w:hAnsi="Arial" w:cs="Arial"/>
        </w:rPr>
        <w:t xml:space="preserve"> Several previous studies reported that food restriction in rodents led to decreased bone formation and increased bone resorption causing low bone strength and reduced skeletal growth</w:t>
      </w:r>
      <w:r w:rsidR="008776F2">
        <w:rPr>
          <w:rFonts w:ascii="Arial" w:hAnsi="Arial" w:cs="Arial"/>
        </w:rPr>
        <w:t xml:space="preserve"> </w:t>
      </w:r>
      <w:r w:rsidR="00B73FBB">
        <w:rPr>
          <w:rFonts w:ascii="Arial" w:hAnsi="Arial" w:cs="Arial"/>
        </w:rPr>
        <w:fldChar w:fldCharType="begin">
          <w:fldData xml:space="preserve">PEVuZE5vdGU+PENpdGU+PEF1dGhvcj5IYW1yaWNrPC9BdXRob3I+PFllYXI+MjAwODwvWWVhcj48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PEVuZE5vdGU+PENpdGU+PEF1dGhvcj5IYW1yaWNrPC9BdXRob3I+PFllYXI+MjAwODwvWWVhcj48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B73FBB">
        <w:rPr>
          <w:rFonts w:ascii="Arial" w:hAnsi="Arial" w:cs="Arial"/>
        </w:rPr>
      </w:r>
      <w:r w:rsidR="00B73FBB">
        <w:rPr>
          <w:rFonts w:ascii="Arial" w:hAnsi="Arial" w:cs="Arial"/>
        </w:rPr>
        <w:fldChar w:fldCharType="separate"/>
      </w:r>
      <w:r w:rsidR="00B73FBB">
        <w:rPr>
          <w:rFonts w:ascii="Arial" w:hAnsi="Arial" w:cs="Arial"/>
          <w:noProof/>
        </w:rPr>
        <w:t>(Hamrick et al., 2008a, Tatsumi et al., 2008, Devlin et al., 2010, Speakman and Mitchell, 2011, Hattori et al., 2014)</w:t>
      </w:r>
      <w:r w:rsidR="00B73FBB">
        <w:rPr>
          <w:rFonts w:ascii="Arial" w:hAnsi="Arial" w:cs="Arial"/>
        </w:rPr>
        <w:fldChar w:fldCharType="end"/>
      </w:r>
      <w:r w:rsidR="004C0811">
        <w:rPr>
          <w:rFonts w:ascii="Arial" w:hAnsi="Arial" w:cs="Arial"/>
        </w:rPr>
        <w:t>.</w:t>
      </w:r>
      <w:r>
        <w:rPr>
          <w:rFonts w:ascii="Arial" w:hAnsi="Arial" w:cs="Arial"/>
        </w:rPr>
        <w:t xml:space="preserve"> However, few studies examined the combined effect of food restriction and mechanical loading on bone mass, density and strength in young male mice </w:t>
      </w:r>
      <w:r w:rsidR="00B73FBB">
        <w:rPr>
          <w:rFonts w:ascii="Arial" w:hAnsi="Arial" w:cs="Arial"/>
        </w:rPr>
        <w:fldChar w:fldCharType="begin"/>
      </w:r>
      <w:r w:rsidR="00B97465">
        <w:rPr>
          <w:rFonts w:ascii="Arial" w:hAnsi="Arial" w:cs="Arial"/>
        </w:rPr>
        <w:instrText xml:space="preserve"> ADDIN EN.CITE &lt;EndNote&gt;&lt;Cite&gt;&lt;Author&gt;Bodnar&lt;/Author&gt;&lt;Year&gt;2012&lt;/Year&gt;&lt;RecNum&gt;449&lt;/RecNum&gt;&lt;DisplayText&gt;(Bodnar et al., 2012)&lt;/DisplayText&gt;&lt;record&gt;&lt;rec-number&gt;449&lt;/rec-number&gt;&lt;foreign-keys&gt;&lt;key app="EN" db-id="ae9rewfrpdttrheppfxxv0p4950wpd25r09x" timestamp="1520658307"&gt;449&lt;/key&gt;&lt;/foreign-keys&gt;&lt;ref-type name="Journal Article"&gt;17&lt;/ref-type&gt;&lt;contributors&gt;&lt;authors&gt;&lt;author&gt;Bodnar, Marko&lt;/author&gt;&lt;author&gt;Skalicky, Monika&lt;/author&gt;&lt;author&gt;Viidik, Andrus&lt;/author&gt;&lt;author&gt;Erben, Reinhold G.&lt;/author&gt;&lt;/authors&gt;&lt;/contributors&gt;&lt;titles&gt;&lt;title&gt;Interaction between Exercise, Dietary Restriction and Age-Related Bone Loss in a Rodent Model of Male Senile Osteoporosis&lt;/title&gt;&lt;secondary-title&gt;Gerontology&lt;/secondary-title&gt;&lt;/titles&gt;&lt;periodical&gt;&lt;full-title&gt;Gerontology&lt;/full-title&gt;&lt;/periodical&gt;&lt;pages&gt;139-149&lt;/pages&gt;&lt;volume&gt;58&lt;/volume&gt;&lt;number&gt;2&lt;/number&gt;&lt;keywords&gt;&lt;keyword&gt;Osteoporosis -- Etiology&lt;/keyword&gt;&lt;/keywords&gt;&lt;dates&gt;&lt;year&gt;2012&lt;/year&gt;&lt;/dates&gt;&lt;urls&gt;&lt;/urls&gt;&lt;electronic-resource-num&gt;10.1159/000329113&lt;/electronic-resource-num&gt;&lt;/record&gt;&lt;/Cite&gt;&lt;/EndNote&gt;</w:instrText>
      </w:r>
      <w:r w:rsidR="00B73FBB">
        <w:rPr>
          <w:rFonts w:ascii="Arial" w:hAnsi="Arial" w:cs="Arial"/>
        </w:rPr>
        <w:fldChar w:fldCharType="separate"/>
      </w:r>
      <w:r w:rsidR="00B73FBB">
        <w:rPr>
          <w:rFonts w:ascii="Arial" w:hAnsi="Arial" w:cs="Arial"/>
          <w:noProof/>
        </w:rPr>
        <w:t>(Bodnar et al., 2012)</w:t>
      </w:r>
      <w:r w:rsidR="00B73FBB">
        <w:rPr>
          <w:rFonts w:ascii="Arial" w:hAnsi="Arial" w:cs="Arial"/>
        </w:rPr>
        <w:fldChar w:fldCharType="end"/>
      </w:r>
      <w:r w:rsidR="005F18EA">
        <w:rPr>
          <w:rFonts w:ascii="Arial" w:hAnsi="Arial" w:cs="Arial"/>
        </w:rPr>
        <w:t>.</w:t>
      </w:r>
    </w:p>
    <w:p w14:paraId="5A3D98DC" w14:textId="77777777" w:rsidR="00A0409D" w:rsidRPr="0027042F" w:rsidRDefault="00A0409D" w:rsidP="00A0409D">
      <w:pPr>
        <w:spacing w:line="480" w:lineRule="auto"/>
        <w:jc w:val="both"/>
        <w:rPr>
          <w:rFonts w:ascii="Arial" w:hAnsi="Arial" w:cs="Arial"/>
        </w:rPr>
      </w:pPr>
    </w:p>
    <w:p w14:paraId="081E04E5" w14:textId="77777777" w:rsidR="00A0409D" w:rsidRDefault="00A0409D" w:rsidP="00A0409D">
      <w:pPr>
        <w:spacing w:line="480" w:lineRule="auto"/>
        <w:jc w:val="both"/>
      </w:pPr>
      <w:r>
        <w:rPr>
          <w:rFonts w:ascii="Arial" w:hAnsi="Arial"/>
          <w:color w:val="000000"/>
        </w:rPr>
        <w:t>T</w:t>
      </w:r>
      <w:r w:rsidRPr="00842660">
        <w:rPr>
          <w:rFonts w:ascii="Arial" w:hAnsi="Arial"/>
          <w:color w:val="000000"/>
        </w:rPr>
        <w:t>his chapter present</w:t>
      </w:r>
      <w:r>
        <w:rPr>
          <w:rFonts w:ascii="Arial" w:hAnsi="Arial"/>
          <w:color w:val="000000"/>
        </w:rPr>
        <w:t>s</w:t>
      </w:r>
      <w:r w:rsidRPr="00842660">
        <w:rPr>
          <w:rFonts w:ascii="Arial" w:hAnsi="Arial"/>
          <w:color w:val="000000"/>
        </w:rPr>
        <w:t xml:space="preserve"> the results of 20 </w:t>
      </w:r>
      <w:r>
        <w:rPr>
          <w:rFonts w:ascii="Arial" w:hAnsi="Arial"/>
          <w:color w:val="000000"/>
        </w:rPr>
        <w:t xml:space="preserve">cycles </w:t>
      </w:r>
      <w:r w:rsidRPr="00842660">
        <w:rPr>
          <w:rFonts w:ascii="Arial" w:hAnsi="Arial"/>
          <w:color w:val="000000"/>
        </w:rPr>
        <w:t xml:space="preserve">and 40 cycles of mechanical loading of young </w:t>
      </w:r>
      <w:r>
        <w:rPr>
          <w:rFonts w:ascii="Arial" w:hAnsi="Arial"/>
          <w:color w:val="000000"/>
        </w:rPr>
        <w:t xml:space="preserve">19-week-old C57BL/6 </w:t>
      </w:r>
      <w:r w:rsidRPr="00842660">
        <w:rPr>
          <w:rFonts w:ascii="Arial" w:hAnsi="Arial"/>
          <w:color w:val="000000"/>
        </w:rPr>
        <w:t xml:space="preserve">male mouse tibiae that had free access to food ad libitum </w:t>
      </w:r>
      <w:r w:rsidRPr="00842660">
        <w:rPr>
          <w:rFonts w:ascii="Arial" w:hAnsi="Arial"/>
          <w:color w:val="000000"/>
        </w:rPr>
        <w:lastRenderedPageBreak/>
        <w:t>(control</w:t>
      </w:r>
      <w:r>
        <w:rPr>
          <w:rFonts w:ascii="Arial" w:hAnsi="Arial"/>
          <w:color w:val="000000"/>
        </w:rPr>
        <w:t>, n=7</w:t>
      </w:r>
      <w:r w:rsidR="00BC072B">
        <w:rPr>
          <w:rFonts w:ascii="Arial" w:hAnsi="Arial"/>
          <w:color w:val="000000"/>
        </w:rPr>
        <w:t xml:space="preserve">) or were overnight </w:t>
      </w:r>
      <w:r w:rsidR="00DE0EAE">
        <w:rPr>
          <w:rFonts w:ascii="Arial" w:hAnsi="Arial"/>
          <w:color w:val="000000"/>
        </w:rPr>
        <w:t>(</w:t>
      </w:r>
      <w:r w:rsidR="00BC072B">
        <w:rPr>
          <w:rFonts w:ascii="Arial" w:hAnsi="Arial"/>
          <w:color w:val="000000"/>
        </w:rPr>
        <w:t>16-hour</w:t>
      </w:r>
      <w:r w:rsidR="00DE0EAE">
        <w:rPr>
          <w:rFonts w:ascii="Arial" w:hAnsi="Arial"/>
          <w:color w:val="000000"/>
        </w:rPr>
        <w:t>)</w:t>
      </w:r>
      <w:r w:rsidRPr="00842660">
        <w:rPr>
          <w:rFonts w:ascii="Arial" w:hAnsi="Arial"/>
          <w:color w:val="000000"/>
        </w:rPr>
        <w:t xml:space="preserve"> fasted</w:t>
      </w:r>
      <w:r>
        <w:rPr>
          <w:rFonts w:ascii="Arial" w:hAnsi="Arial"/>
          <w:color w:val="000000"/>
        </w:rPr>
        <w:t xml:space="preserve"> (n=7)</w:t>
      </w:r>
      <w:r w:rsidRPr="00842660">
        <w:rPr>
          <w:rFonts w:ascii="Arial" w:hAnsi="Arial"/>
          <w:color w:val="000000"/>
        </w:rPr>
        <w:t xml:space="preserve"> in order to assess the effects of overnight fasting on feeding behaviour of mice and bone’s response to mech</w:t>
      </w:r>
      <w:r w:rsidR="00DE0EAE">
        <w:rPr>
          <w:rFonts w:ascii="Arial" w:hAnsi="Arial"/>
          <w:color w:val="000000"/>
        </w:rPr>
        <w:t>anical loading whose effects were</w:t>
      </w:r>
      <w:r w:rsidRPr="00842660">
        <w:rPr>
          <w:rFonts w:ascii="Arial" w:hAnsi="Arial"/>
          <w:color w:val="000000"/>
        </w:rPr>
        <w:t xml:space="preserve"> altered by </w:t>
      </w:r>
      <w:r>
        <w:rPr>
          <w:rFonts w:ascii="Arial" w:hAnsi="Arial"/>
          <w:color w:val="000000"/>
        </w:rPr>
        <w:t xml:space="preserve">the </w:t>
      </w:r>
      <w:r w:rsidRPr="00842660">
        <w:rPr>
          <w:rFonts w:ascii="Arial" w:hAnsi="Arial"/>
          <w:color w:val="000000"/>
        </w:rPr>
        <w:t>number of load cycles.</w:t>
      </w:r>
    </w:p>
    <w:p w14:paraId="02AE77EC" w14:textId="77777777" w:rsidR="00A0409D" w:rsidRDefault="00A0409D" w:rsidP="00A0409D">
      <w:pPr>
        <w:spacing w:line="480" w:lineRule="auto"/>
        <w:jc w:val="both"/>
        <w:rPr>
          <w:rFonts w:ascii="Arial" w:hAnsi="Arial"/>
          <w:bCs/>
        </w:rPr>
      </w:pPr>
    </w:p>
    <w:p w14:paraId="7A3B4B15" w14:textId="77777777" w:rsidR="00A0409D" w:rsidRDefault="00A0409D" w:rsidP="00A0409D">
      <w:pPr>
        <w:spacing w:line="480" w:lineRule="auto"/>
        <w:jc w:val="both"/>
        <w:rPr>
          <w:rFonts w:ascii="Arial" w:hAnsi="Arial"/>
          <w:bCs/>
        </w:rPr>
      </w:pPr>
      <w:r>
        <w:rPr>
          <w:rFonts w:ascii="Arial" w:hAnsi="Arial"/>
          <w:bCs/>
        </w:rPr>
        <w:t>The young adult male mice were housed individually to eliminate frequent fighting</w:t>
      </w:r>
      <w:r w:rsidR="00BC072B">
        <w:rPr>
          <w:rFonts w:ascii="Arial" w:hAnsi="Arial"/>
          <w:bCs/>
        </w:rPr>
        <w:t>,</w:t>
      </w:r>
      <w:r w:rsidR="00166284">
        <w:rPr>
          <w:rFonts w:ascii="Arial" w:hAnsi="Arial"/>
          <w:bCs/>
        </w:rPr>
        <w:t xml:space="preserve"> which could be</w:t>
      </w:r>
      <w:r>
        <w:rPr>
          <w:rFonts w:ascii="Arial" w:hAnsi="Arial"/>
          <w:bCs/>
        </w:rPr>
        <w:t xml:space="preserve"> sufficient to engender str</w:t>
      </w:r>
      <w:r w:rsidR="00166284">
        <w:rPr>
          <w:rFonts w:ascii="Arial" w:hAnsi="Arial"/>
          <w:bCs/>
        </w:rPr>
        <w:t>ains in the tibiae that might be</w:t>
      </w:r>
      <w:r>
        <w:rPr>
          <w:rFonts w:ascii="Arial" w:hAnsi="Arial"/>
          <w:bCs/>
        </w:rPr>
        <w:t xml:space="preserve"> equal or exceed the </w:t>
      </w:r>
      <w:r w:rsidR="00166284">
        <w:rPr>
          <w:rFonts w:ascii="Arial" w:hAnsi="Arial"/>
          <w:bCs/>
        </w:rPr>
        <w:t>ones derived from the axial</w:t>
      </w:r>
      <w:r>
        <w:rPr>
          <w:rFonts w:ascii="Arial" w:hAnsi="Arial"/>
          <w:bCs/>
        </w:rPr>
        <w:t xml:space="preserve"> mechanical loading ensuring physical activity was consistent between the experimental groups</w:t>
      </w:r>
      <w:r w:rsidR="00BC072B">
        <w:rPr>
          <w:rFonts w:ascii="Arial" w:hAnsi="Arial"/>
          <w:bCs/>
        </w:rPr>
        <w:t xml:space="preserve"> </w:t>
      </w:r>
      <w:r w:rsidR="00B73FBB">
        <w:rPr>
          <w:rFonts w:ascii="Arial" w:hAnsi="Arial"/>
          <w:bCs/>
        </w:rPr>
        <w:fldChar w:fldCharType="begin"/>
      </w:r>
      <w:r w:rsidR="00A108A1">
        <w:rPr>
          <w:rFonts w:ascii="Arial" w:hAnsi="Arial"/>
          <w:bCs/>
        </w:rPr>
        <w:instrText xml:space="preserve"> ADDIN EN.CITE &lt;EndNote&gt;&lt;Cite&gt;&lt;Author&gt;Meakin&lt;/Author&gt;&lt;Year&gt;2013&lt;/Year&gt;&lt;RecNum&gt;431&lt;/RecNum&gt;&lt;DisplayText&gt;(Meakin et al., 2013)&lt;/DisplayText&gt;&lt;record&gt;&lt;rec-number&gt;431&lt;/rec-number&gt;&lt;foreign-keys&gt;&lt;key app="EN" db-id="ae9rewfrpdttrheppfxxv0p4950wpd25r09x" timestamp="1520658305"&gt;431&lt;/key&gt;&lt;/foreign-keys&gt;&lt;ref-type name="Journal Article"&gt;17&lt;/ref-type&gt;&lt;contributors&gt;&lt;authors&gt;&lt;author&gt;Meakin, Lee B.&lt;/author&gt;&lt;author&gt;Sugiyama, Toshihiro&lt;/author&gt;&lt;author&gt;Galea, Gabriel L.&lt;/author&gt;&lt;author&gt;Browne, William J.&lt;/author&gt;&lt;author&gt;Lanyon, Lance E.&lt;/author&gt;&lt;author&gt;Price, Joanna S.&lt;/author&gt;&lt;/authors&gt;&lt;/contributors&gt;&lt;titles&gt;&lt;title&gt;Male mice housed in groups engage in frequent fighting and show a lower response to additional bone loading than females or individually housed males that do not fight&lt;/title&gt;&lt;secondary-title&gt;Bone&lt;/secondary-title&gt;&lt;/titles&gt;&lt;periodical&gt;&lt;full-title&gt;Bone&lt;/full-title&gt;&lt;/periodical&gt;&lt;pages&gt;113-117&lt;/pages&gt;&lt;volume&gt;54&lt;/volume&gt;&lt;number&gt;1&lt;/number&gt;&lt;keywords&gt;&lt;keyword&gt;Bone Adaptation&lt;/keyword&gt;&lt;keyword&gt;Artificial Loading&lt;/keyword&gt;&lt;keyword&gt;Mechanical Strain&lt;/keyword&gt;&lt;keyword&gt;Physical Activity&lt;/keyword&gt;&lt;keyword&gt;Housing&lt;/keyword&gt;&lt;/keywords&gt;&lt;dates&gt;&lt;year&gt;2013&lt;/year&gt;&lt;/dates&gt;&lt;isbn&gt;8756-3282&lt;/isbn&gt;&lt;urls&gt;&lt;/urls&gt;&lt;electronic-resource-num&gt;10.1016/j.bone.2013.01.029&lt;/electronic-resource-num&gt;&lt;/record&gt;&lt;/Cite&gt;&lt;/EndNote&gt;</w:instrText>
      </w:r>
      <w:r w:rsidR="00B73FBB">
        <w:rPr>
          <w:rFonts w:ascii="Arial" w:hAnsi="Arial"/>
          <w:bCs/>
        </w:rPr>
        <w:fldChar w:fldCharType="separate"/>
      </w:r>
      <w:r w:rsidR="00B73FBB">
        <w:rPr>
          <w:rFonts w:ascii="Arial" w:hAnsi="Arial"/>
          <w:bCs/>
          <w:noProof/>
        </w:rPr>
        <w:t>(Meakin et al., 2013)</w:t>
      </w:r>
      <w:r w:rsidR="00B73FBB">
        <w:rPr>
          <w:rFonts w:ascii="Arial" w:hAnsi="Arial"/>
          <w:bCs/>
        </w:rPr>
        <w:fldChar w:fldCharType="end"/>
      </w:r>
      <w:r w:rsidR="00BC072B">
        <w:rPr>
          <w:rFonts w:ascii="Arial" w:hAnsi="Arial"/>
          <w:bCs/>
        </w:rPr>
        <w:t>.</w:t>
      </w:r>
      <w:r>
        <w:rPr>
          <w:rFonts w:ascii="Arial" w:hAnsi="Arial"/>
          <w:bCs/>
        </w:rPr>
        <w:t xml:space="preserve"> </w:t>
      </w:r>
    </w:p>
    <w:p w14:paraId="4FBC673B" w14:textId="77777777" w:rsidR="00A0409D" w:rsidRDefault="00A0409D" w:rsidP="00A0409D">
      <w:pPr>
        <w:spacing w:line="480" w:lineRule="auto"/>
        <w:jc w:val="both"/>
      </w:pPr>
    </w:p>
    <w:p w14:paraId="09D123EB" w14:textId="77777777" w:rsidR="00A0409D" w:rsidRDefault="00A0409D" w:rsidP="00A0409D">
      <w:pPr>
        <w:spacing w:line="480" w:lineRule="auto"/>
        <w:jc w:val="both"/>
      </w:pPr>
    </w:p>
    <w:p w14:paraId="375BADE9" w14:textId="77777777" w:rsidR="00A0409D" w:rsidRDefault="00A0409D" w:rsidP="00A0409D"/>
    <w:p w14:paraId="532B9EAE" w14:textId="77777777" w:rsidR="00A0409D" w:rsidRDefault="00A0409D" w:rsidP="00A0409D"/>
    <w:p w14:paraId="4B736DA6" w14:textId="77777777" w:rsidR="00A0409D" w:rsidRDefault="00A0409D" w:rsidP="00A0409D"/>
    <w:p w14:paraId="26425D7C" w14:textId="77777777" w:rsidR="00A0409D" w:rsidRDefault="00A0409D" w:rsidP="00A0409D"/>
    <w:p w14:paraId="5B093244" w14:textId="77777777" w:rsidR="00A0409D" w:rsidRDefault="00A0409D" w:rsidP="00A0409D"/>
    <w:p w14:paraId="0ADA3AD7" w14:textId="77777777" w:rsidR="00A0409D" w:rsidRDefault="00A0409D" w:rsidP="00A0409D"/>
    <w:p w14:paraId="710FFF4D" w14:textId="77777777" w:rsidR="00A0409D" w:rsidRDefault="00A0409D" w:rsidP="00A0409D"/>
    <w:p w14:paraId="0DC22BD4" w14:textId="77777777" w:rsidR="00A0409D" w:rsidRDefault="00A0409D" w:rsidP="00A0409D"/>
    <w:p w14:paraId="6D182B6B" w14:textId="77777777" w:rsidR="00A0409D" w:rsidRDefault="00A0409D" w:rsidP="00A0409D"/>
    <w:p w14:paraId="5346AC0B" w14:textId="77777777" w:rsidR="00A0409D" w:rsidRDefault="00A0409D" w:rsidP="00A0409D"/>
    <w:p w14:paraId="59430BB8" w14:textId="77777777" w:rsidR="00A0409D" w:rsidRDefault="00A0409D" w:rsidP="00A0409D"/>
    <w:p w14:paraId="7C2576FE" w14:textId="77777777" w:rsidR="00A0409D" w:rsidRDefault="00A0409D" w:rsidP="00A0409D"/>
    <w:p w14:paraId="4452F6B8" w14:textId="77777777" w:rsidR="00A0409D" w:rsidRDefault="00A0409D" w:rsidP="00A0409D"/>
    <w:p w14:paraId="3DCFC1D7" w14:textId="77777777" w:rsidR="00A0409D" w:rsidRDefault="00A0409D" w:rsidP="00A0409D"/>
    <w:p w14:paraId="664C3C81" w14:textId="77777777" w:rsidR="00A0409D" w:rsidRDefault="00A0409D" w:rsidP="00A0409D"/>
    <w:p w14:paraId="15BA142E" w14:textId="77777777" w:rsidR="00A0409D" w:rsidRDefault="00A0409D" w:rsidP="00A0409D"/>
    <w:p w14:paraId="1EA4F118" w14:textId="77777777" w:rsidR="00A0409D" w:rsidRDefault="00A0409D" w:rsidP="00A0409D"/>
    <w:p w14:paraId="38C1EB07" w14:textId="77777777" w:rsidR="00A0409D" w:rsidRDefault="00A0409D" w:rsidP="00A0409D"/>
    <w:p w14:paraId="0262460F" w14:textId="77777777" w:rsidR="00A0409D" w:rsidRDefault="00A0409D" w:rsidP="00A0409D"/>
    <w:p w14:paraId="0F26711D" w14:textId="77777777" w:rsidR="00A0409D" w:rsidRDefault="00A0409D" w:rsidP="00A0409D"/>
    <w:p w14:paraId="50CE19D6" w14:textId="77777777" w:rsidR="00A0409D" w:rsidRDefault="00A0409D" w:rsidP="00A0409D"/>
    <w:p w14:paraId="0DC20F58" w14:textId="77777777" w:rsidR="00A0409D" w:rsidRDefault="00A0409D" w:rsidP="00A0409D"/>
    <w:p w14:paraId="68D36C52" w14:textId="77777777" w:rsidR="00A0409D" w:rsidRDefault="00A0409D" w:rsidP="00A0409D"/>
    <w:p w14:paraId="11EF7F53" w14:textId="77777777" w:rsidR="00A0409D" w:rsidRDefault="00A0409D" w:rsidP="00A0409D"/>
    <w:p w14:paraId="2BF45E75" w14:textId="77777777" w:rsidR="00A0409D" w:rsidRDefault="00A0409D" w:rsidP="00A0409D"/>
    <w:p w14:paraId="58D87709" w14:textId="77777777" w:rsidR="00A0409D" w:rsidRDefault="00A0409D" w:rsidP="00A0409D"/>
    <w:p w14:paraId="035B6785" w14:textId="77777777" w:rsidR="00A0409D" w:rsidRPr="00707E30" w:rsidRDefault="00A0409D" w:rsidP="00A0409D"/>
    <w:p w14:paraId="649F0539" w14:textId="77777777" w:rsidR="00BC072B" w:rsidRDefault="00BC072B" w:rsidP="00204988">
      <w:pPr>
        <w:pStyle w:val="TOCHeading"/>
      </w:pPr>
    </w:p>
    <w:p w14:paraId="4398467B" w14:textId="77777777" w:rsidR="00BC072B" w:rsidRPr="00BC072B" w:rsidRDefault="00BC072B" w:rsidP="00BC072B"/>
    <w:p w14:paraId="43D4B04E" w14:textId="77777777" w:rsidR="00BC072B" w:rsidRPr="00BC072B" w:rsidRDefault="00BC072B" w:rsidP="00BC072B"/>
    <w:p w14:paraId="517C6F16" w14:textId="77777777" w:rsidR="00BC072B" w:rsidRDefault="00BC072B" w:rsidP="00D40E59">
      <w:pPr>
        <w:pStyle w:val="Heading2"/>
      </w:pPr>
      <w:bookmarkStart w:id="70" w:name="_Toc383723879"/>
      <w:r>
        <w:lastRenderedPageBreak/>
        <w:t>3.2 Results</w:t>
      </w:r>
      <w:bookmarkEnd w:id="70"/>
    </w:p>
    <w:p w14:paraId="2DBE7529" w14:textId="77777777" w:rsidR="00A0409D" w:rsidRPr="00BC072B" w:rsidRDefault="00BC072B" w:rsidP="00BC072B">
      <w:pPr>
        <w:pStyle w:val="Heading3"/>
        <w:spacing w:line="480" w:lineRule="auto"/>
        <w:jc w:val="both"/>
        <w:rPr>
          <w:rFonts w:ascii="Arial" w:hAnsi="Arial" w:cs="Arial"/>
          <w:color w:val="auto"/>
        </w:rPr>
      </w:pPr>
      <w:bookmarkStart w:id="71" w:name="_Toc383723880"/>
      <w:r w:rsidRPr="00BC072B">
        <w:rPr>
          <w:rFonts w:ascii="Arial" w:eastAsia="Times New Roman" w:hAnsi="Arial" w:cs="Arial"/>
          <w:color w:val="auto"/>
        </w:rPr>
        <w:t xml:space="preserve">3.2.1 </w:t>
      </w:r>
      <w:proofErr w:type="gramStart"/>
      <w:r w:rsidRPr="00BC072B">
        <w:rPr>
          <w:rFonts w:ascii="Arial" w:hAnsi="Arial" w:cs="Arial"/>
          <w:color w:val="auto"/>
        </w:rPr>
        <w:t>The</w:t>
      </w:r>
      <w:proofErr w:type="gramEnd"/>
      <w:r w:rsidRPr="00BC072B">
        <w:rPr>
          <w:rFonts w:ascii="Arial" w:hAnsi="Arial" w:cs="Arial"/>
          <w:color w:val="auto"/>
        </w:rPr>
        <w:t xml:space="preserve"> effect of overnight fast on feeding behaviour of young male C57BL/6 mice</w:t>
      </w:r>
      <w:bookmarkEnd w:id="71"/>
      <w:r w:rsidRPr="00BC072B">
        <w:rPr>
          <w:rFonts w:ascii="Arial" w:hAnsi="Arial" w:cs="Arial"/>
          <w:color w:val="auto"/>
        </w:rPr>
        <w:t xml:space="preserve"> </w:t>
      </w:r>
    </w:p>
    <w:p w14:paraId="7EA17B62" w14:textId="77777777" w:rsidR="00A0409D" w:rsidRPr="00AF67C6" w:rsidRDefault="004E66E7" w:rsidP="00A0409D">
      <w:pPr>
        <w:spacing w:line="480" w:lineRule="auto"/>
        <w:jc w:val="both"/>
        <w:rPr>
          <w:rFonts w:ascii="Arial" w:hAnsi="Arial" w:cs="Arial"/>
        </w:rPr>
      </w:pPr>
      <w:r w:rsidRPr="004E66E7">
        <w:rPr>
          <w:rFonts w:ascii="Arial" w:hAnsi="Arial" w:cs="Arial"/>
          <w:b/>
          <w:i/>
        </w:rPr>
        <w:t>Experimental details:</w:t>
      </w:r>
      <w:r>
        <w:rPr>
          <w:rFonts w:ascii="Arial" w:hAnsi="Arial" w:cs="Arial"/>
        </w:rPr>
        <w:t xml:space="preserve"> </w:t>
      </w:r>
      <w:r w:rsidR="00A0409D" w:rsidRPr="008A11BE">
        <w:rPr>
          <w:rFonts w:ascii="Arial" w:hAnsi="Arial" w:cs="Arial"/>
        </w:rPr>
        <w:t xml:space="preserve">The effect of </w:t>
      </w:r>
      <w:r w:rsidR="00A0409D">
        <w:rPr>
          <w:rFonts w:ascii="Arial" w:hAnsi="Arial" w:cs="Arial"/>
        </w:rPr>
        <w:t>prolonged</w:t>
      </w:r>
      <w:r w:rsidR="006E1CE5">
        <w:rPr>
          <w:rFonts w:ascii="Arial" w:hAnsi="Arial" w:cs="Arial"/>
        </w:rPr>
        <w:t xml:space="preserve"> 16-hour</w:t>
      </w:r>
      <w:r w:rsidR="00A0409D" w:rsidRPr="008A11BE">
        <w:rPr>
          <w:rFonts w:ascii="Arial" w:hAnsi="Arial" w:cs="Arial"/>
        </w:rPr>
        <w:t xml:space="preserve"> food restriction on feeding behaviour </w:t>
      </w:r>
      <w:r w:rsidR="00A0409D">
        <w:rPr>
          <w:rFonts w:ascii="Arial" w:hAnsi="Arial" w:cs="Arial"/>
        </w:rPr>
        <w:t>of individually housed 17</w:t>
      </w:r>
      <w:r w:rsidR="00A0409D" w:rsidRPr="008A11BE">
        <w:rPr>
          <w:rFonts w:ascii="Arial" w:hAnsi="Arial" w:cs="Arial"/>
        </w:rPr>
        <w:t xml:space="preserve">-week-old </w:t>
      </w:r>
      <w:r w:rsidR="00A0409D">
        <w:rPr>
          <w:rFonts w:ascii="Arial" w:hAnsi="Arial" w:cs="Arial"/>
        </w:rPr>
        <w:t xml:space="preserve">male </w:t>
      </w:r>
      <w:r w:rsidR="00A0409D">
        <w:rPr>
          <w:rFonts w:ascii="Arial" w:hAnsi="Arial" w:cs="Arial"/>
          <w:noProof/>
          <w:color w:val="000000" w:themeColor="text1"/>
        </w:rPr>
        <w:t>C57BL/6</w:t>
      </w:r>
      <w:r w:rsidR="00A0409D" w:rsidRPr="008A11BE">
        <w:rPr>
          <w:rFonts w:ascii="Arial" w:hAnsi="Arial" w:cs="Arial"/>
        </w:rPr>
        <w:t xml:space="preserve"> mice was examined</w:t>
      </w:r>
      <w:r w:rsidR="00A0409D">
        <w:rPr>
          <w:rFonts w:ascii="Arial" w:hAnsi="Arial" w:cs="Arial"/>
        </w:rPr>
        <w:t xml:space="preserve">. </w:t>
      </w:r>
      <w:r w:rsidR="00A0409D" w:rsidRPr="001F1F43">
        <w:rPr>
          <w:rFonts w:ascii="Arial" w:hAnsi="Arial" w:cs="Arial"/>
        </w:rPr>
        <w:t xml:space="preserve">Food intake was measured by monitoring </w:t>
      </w:r>
      <w:r w:rsidR="00A0409D">
        <w:rPr>
          <w:rFonts w:ascii="Arial" w:hAnsi="Arial" w:cs="Arial"/>
        </w:rPr>
        <w:t xml:space="preserve">the </w:t>
      </w:r>
      <w:r w:rsidR="00A0409D" w:rsidRPr="001F1F43">
        <w:rPr>
          <w:rFonts w:ascii="Arial" w:hAnsi="Arial" w:cs="Arial"/>
        </w:rPr>
        <w:t xml:space="preserve">body weights of </w:t>
      </w:r>
      <w:r w:rsidR="00A0409D">
        <w:rPr>
          <w:rFonts w:ascii="Arial" w:hAnsi="Arial" w:cs="Arial"/>
        </w:rPr>
        <w:t xml:space="preserve">ad-lib </w:t>
      </w:r>
      <w:r w:rsidR="00A0409D" w:rsidRPr="001F1F43">
        <w:rPr>
          <w:rFonts w:ascii="Arial" w:hAnsi="Arial" w:cs="Arial"/>
        </w:rPr>
        <w:t xml:space="preserve">fed </w:t>
      </w:r>
      <w:r w:rsidR="00A0409D" w:rsidRPr="00953BF8">
        <w:rPr>
          <w:rFonts w:ascii="Arial" w:hAnsi="Arial" w:cs="Arial"/>
        </w:rPr>
        <w:t xml:space="preserve">(n=7) </w:t>
      </w:r>
      <w:r w:rsidR="00A0409D" w:rsidRPr="001F1F43">
        <w:rPr>
          <w:rFonts w:ascii="Arial" w:hAnsi="Arial" w:cs="Arial"/>
        </w:rPr>
        <w:t xml:space="preserve">or </w:t>
      </w:r>
      <w:r w:rsidR="00A0409D">
        <w:rPr>
          <w:rFonts w:ascii="Arial" w:hAnsi="Arial" w:cs="Arial"/>
        </w:rPr>
        <w:t xml:space="preserve">overnight (16 hours) </w:t>
      </w:r>
      <w:r w:rsidR="00A0409D" w:rsidRPr="001F1F43">
        <w:rPr>
          <w:rFonts w:ascii="Arial" w:hAnsi="Arial" w:cs="Arial"/>
        </w:rPr>
        <w:t xml:space="preserve">fasted </w:t>
      </w:r>
      <w:r w:rsidR="00A0409D">
        <w:rPr>
          <w:rFonts w:ascii="Arial" w:hAnsi="Arial" w:cs="Arial"/>
        </w:rPr>
        <w:t xml:space="preserve">mice </w:t>
      </w:r>
      <w:r w:rsidR="00A0409D" w:rsidRPr="00953BF8">
        <w:rPr>
          <w:rFonts w:ascii="Arial" w:hAnsi="Arial" w:cs="Arial"/>
        </w:rPr>
        <w:t xml:space="preserve">(n=7) </w:t>
      </w:r>
      <w:r w:rsidR="00A0409D">
        <w:rPr>
          <w:rFonts w:ascii="Arial" w:hAnsi="Arial" w:cs="Arial"/>
        </w:rPr>
        <w:t>every 30 minutes for the first 3 hours and every hour for another 4 hours twice weekly for a week. The amount of food consumed as grams per experiment was measured by pre weighing normal chow at the start and monitoring the weights of the remaining food in each cage at the end of the experiments. The faecal output was also monitored by weighting dry faecal pellets of each mouse at the end of the experiments. T</w:t>
      </w:r>
      <w:r w:rsidR="00A0409D" w:rsidRPr="000D22C6">
        <w:rPr>
          <w:rFonts w:ascii="Arial" w:hAnsi="Arial" w:cs="Arial"/>
        </w:rPr>
        <w:t>he nesting material, wood shavings and bedding were removed from the cages prior the experiment</w:t>
      </w:r>
      <w:r w:rsidR="00A0409D">
        <w:rPr>
          <w:rFonts w:ascii="Arial" w:hAnsi="Arial" w:cs="Arial"/>
        </w:rPr>
        <w:t>, as detailed in section 2.1</w:t>
      </w:r>
      <w:r w:rsidR="00A0409D" w:rsidRPr="000D22C6">
        <w:rPr>
          <w:rFonts w:ascii="Arial" w:hAnsi="Arial" w:cs="Arial"/>
        </w:rPr>
        <w:t>.</w:t>
      </w:r>
      <w:r w:rsidR="00A0409D">
        <w:rPr>
          <w:rFonts w:ascii="Arial" w:hAnsi="Arial" w:cs="Arial"/>
        </w:rPr>
        <w:t xml:space="preserve">2, to ensure </w:t>
      </w:r>
      <w:r w:rsidR="00882D52">
        <w:rPr>
          <w:rFonts w:ascii="Arial" w:hAnsi="Arial" w:cs="Arial"/>
        </w:rPr>
        <w:t>that the hungry mice could</w:t>
      </w:r>
      <w:r w:rsidR="00A0409D">
        <w:rPr>
          <w:rFonts w:ascii="Arial" w:hAnsi="Arial" w:cs="Arial"/>
        </w:rPr>
        <w:t xml:space="preserve"> not chew or consume non-food materials.</w:t>
      </w:r>
    </w:p>
    <w:p w14:paraId="14076879" w14:textId="77777777" w:rsidR="00A0409D" w:rsidRDefault="00A0409D" w:rsidP="00A0409D">
      <w:pPr>
        <w:spacing w:line="480" w:lineRule="auto"/>
        <w:jc w:val="both"/>
        <w:rPr>
          <w:rFonts w:ascii="Arial" w:hAnsi="Arial" w:cs="Arial"/>
        </w:rPr>
      </w:pPr>
    </w:p>
    <w:p w14:paraId="7B3FA5D2" w14:textId="77777777" w:rsidR="00A0409D" w:rsidRPr="00281EB0" w:rsidRDefault="00A0409D" w:rsidP="00A0409D">
      <w:pPr>
        <w:spacing w:line="480" w:lineRule="auto"/>
        <w:jc w:val="both"/>
        <w:rPr>
          <w:rFonts w:ascii="Arial" w:hAnsi="Arial" w:cs="Arial"/>
        </w:rPr>
      </w:pPr>
      <w:r>
        <w:rPr>
          <w:rFonts w:ascii="Arial" w:hAnsi="Arial" w:cs="Arial"/>
        </w:rPr>
        <w:t xml:space="preserve">Food introduction following </w:t>
      </w:r>
      <w:r w:rsidR="009F3D92">
        <w:rPr>
          <w:rFonts w:ascii="Arial" w:hAnsi="Arial" w:cs="Arial"/>
        </w:rPr>
        <w:t>16-hour</w:t>
      </w:r>
      <w:r>
        <w:rPr>
          <w:rFonts w:ascii="Arial" w:hAnsi="Arial" w:cs="Arial"/>
        </w:rPr>
        <w:t xml:space="preserve"> food restriction resulted in significantly</w:t>
      </w:r>
      <w:r w:rsidRPr="00953BF8">
        <w:rPr>
          <w:rFonts w:ascii="Arial" w:hAnsi="Arial" w:cs="Arial"/>
        </w:rPr>
        <w:t xml:space="preserve"> increased food intake for approximately</w:t>
      </w:r>
      <w:r>
        <w:rPr>
          <w:rFonts w:ascii="Arial" w:hAnsi="Arial" w:cs="Arial"/>
        </w:rPr>
        <w:t xml:space="preserve"> </w:t>
      </w:r>
      <w:r w:rsidR="00976DDD">
        <w:rPr>
          <w:rFonts w:ascii="Arial" w:hAnsi="Arial" w:cs="Arial"/>
        </w:rPr>
        <w:t>2 hours</w:t>
      </w:r>
      <w:r>
        <w:rPr>
          <w:rFonts w:ascii="Arial" w:hAnsi="Arial" w:cs="Arial"/>
        </w:rPr>
        <w:t xml:space="preserve"> in overnight fasted 17</w:t>
      </w:r>
      <w:r w:rsidRPr="00953BF8">
        <w:rPr>
          <w:rFonts w:ascii="Arial" w:hAnsi="Arial" w:cs="Arial"/>
        </w:rPr>
        <w:t xml:space="preserve">-week-old </w:t>
      </w:r>
      <w:r>
        <w:rPr>
          <w:rFonts w:ascii="Arial" w:hAnsi="Arial" w:cs="Arial"/>
        </w:rPr>
        <w:t xml:space="preserve">young </w:t>
      </w:r>
      <w:r w:rsidRPr="00953BF8">
        <w:rPr>
          <w:rFonts w:ascii="Arial" w:hAnsi="Arial" w:cs="Arial"/>
        </w:rPr>
        <w:t>mice</w:t>
      </w:r>
      <w:r>
        <w:rPr>
          <w:rFonts w:ascii="Arial" w:hAnsi="Arial" w:cs="Arial"/>
        </w:rPr>
        <w:t xml:space="preserve"> compared with the animals that had unrestricted access to a normal chow ad libitum (mean ± SE; </w:t>
      </w:r>
      <w:r w:rsidRPr="009F3D92">
        <w:rPr>
          <w:rFonts w:ascii="Arial" w:hAnsi="Arial" w:cs="Arial"/>
        </w:rPr>
        <w:t>2.6±0.4g versus 0.6±0.2g,</w:t>
      </w:r>
      <w:r>
        <w:rPr>
          <w:rFonts w:ascii="Lucida Grande" w:hAnsi="Lucida Grande" w:cs="Lucida Grande"/>
        </w:rPr>
        <w:t xml:space="preserve"> </w:t>
      </w:r>
      <w:r w:rsidR="009F3D92">
        <w:rPr>
          <w:rFonts w:ascii="Arial" w:hAnsi="Arial" w:cs="Arial"/>
        </w:rPr>
        <w:t xml:space="preserve">p&lt;0.001) (Figure </w:t>
      </w:r>
      <w:r w:rsidR="00B1649B">
        <w:rPr>
          <w:rFonts w:ascii="Arial" w:hAnsi="Arial" w:cs="Arial"/>
        </w:rPr>
        <w:t>20B</w:t>
      </w:r>
      <w:r>
        <w:rPr>
          <w:rFonts w:ascii="Arial" w:hAnsi="Arial" w:cs="Arial"/>
        </w:rPr>
        <w:t>)</w:t>
      </w:r>
      <w:r w:rsidRPr="00953BF8">
        <w:rPr>
          <w:rFonts w:ascii="Arial" w:hAnsi="Arial" w:cs="Arial"/>
        </w:rPr>
        <w:t xml:space="preserve">. </w:t>
      </w:r>
      <w:r w:rsidR="001B1D47">
        <w:rPr>
          <w:rFonts w:ascii="Arial" w:hAnsi="Arial" w:cs="Arial"/>
        </w:rPr>
        <w:t>Following overnight 16-hour</w:t>
      </w:r>
      <w:r>
        <w:rPr>
          <w:rFonts w:ascii="Arial" w:hAnsi="Arial" w:cs="Arial"/>
        </w:rPr>
        <w:t xml:space="preserve"> food restriction fasted mice weighed 10.5±0.8% less compared with their pre-fasted body weights (p&lt;0.0001) and 7.0±0.8% less than those in ad-lib fed control group (p&lt;0.0001). After introduction of food, t</w:t>
      </w:r>
      <w:r w:rsidRPr="00953BF8">
        <w:rPr>
          <w:rFonts w:ascii="Arial" w:hAnsi="Arial" w:cs="Arial"/>
        </w:rPr>
        <w:t xml:space="preserve">he body weights </w:t>
      </w:r>
      <w:r>
        <w:rPr>
          <w:rFonts w:ascii="Arial" w:hAnsi="Arial" w:cs="Arial"/>
        </w:rPr>
        <w:t xml:space="preserve">of the mice </w:t>
      </w:r>
      <w:r w:rsidRPr="00953BF8">
        <w:rPr>
          <w:rFonts w:ascii="Arial" w:hAnsi="Arial" w:cs="Arial"/>
        </w:rPr>
        <w:t xml:space="preserve">in the fasted group rose </w:t>
      </w:r>
      <w:r>
        <w:rPr>
          <w:rFonts w:ascii="Arial" w:hAnsi="Arial" w:cs="Arial"/>
        </w:rPr>
        <w:t xml:space="preserve">significantly faster than that in the control ad-lib fed group </w:t>
      </w:r>
      <w:r w:rsidRPr="00953BF8">
        <w:rPr>
          <w:rFonts w:ascii="Arial" w:hAnsi="Arial" w:cs="Arial"/>
        </w:rPr>
        <w:t xml:space="preserve">(Figure </w:t>
      </w:r>
      <w:r w:rsidR="001B1D47">
        <w:rPr>
          <w:rFonts w:ascii="Arial" w:hAnsi="Arial" w:cs="Arial"/>
        </w:rPr>
        <w:t>20</w:t>
      </w:r>
      <w:r>
        <w:rPr>
          <w:rFonts w:ascii="Arial" w:hAnsi="Arial" w:cs="Arial"/>
        </w:rPr>
        <w:t>A</w:t>
      </w:r>
      <w:r w:rsidRPr="00953BF8">
        <w:rPr>
          <w:rFonts w:ascii="Arial" w:hAnsi="Arial" w:cs="Arial"/>
        </w:rPr>
        <w:t>).</w:t>
      </w:r>
      <w:r>
        <w:rPr>
          <w:rFonts w:ascii="Arial" w:hAnsi="Arial" w:cs="Arial"/>
        </w:rPr>
        <w:t xml:space="preserve"> </w:t>
      </w:r>
      <w:bookmarkStart w:id="72" w:name="_Toc300073351"/>
      <w:r>
        <w:rPr>
          <w:rFonts w:ascii="Arial" w:hAnsi="Arial" w:cs="Arial"/>
        </w:rPr>
        <w:t>As expected, the dry faecal output of ad-lib fed mice was around 42±0.06% (p&lt;0.01) more compared with that of fasted fed mice as mice in control group had unrestricted access to food throughout</w:t>
      </w:r>
      <w:r w:rsidR="001B1D47">
        <w:rPr>
          <w:rFonts w:ascii="Arial" w:hAnsi="Arial" w:cs="Arial"/>
        </w:rPr>
        <w:t xml:space="preserve"> the entire experiment (Figure 20</w:t>
      </w:r>
      <w:r>
        <w:rPr>
          <w:rFonts w:ascii="Arial" w:hAnsi="Arial" w:cs="Arial"/>
        </w:rPr>
        <w:t>C).</w:t>
      </w:r>
    </w:p>
    <w:p w14:paraId="53C96E83" w14:textId="77777777" w:rsidR="00A0409D" w:rsidRDefault="00A0409D" w:rsidP="00A0409D">
      <w:pPr>
        <w:rPr>
          <w:rFonts w:ascii="Arial" w:hAnsi="Arial" w:cs="Arial"/>
          <w:b/>
          <w:color w:val="1F497D" w:themeColor="text2"/>
          <w:sz w:val="28"/>
          <w:szCs w:val="28"/>
        </w:rPr>
      </w:pPr>
    </w:p>
    <w:p w14:paraId="71A16FED" w14:textId="77777777" w:rsidR="00A0409D" w:rsidRDefault="00A0409D" w:rsidP="00A0409D">
      <w:pPr>
        <w:rPr>
          <w:rFonts w:ascii="Arial" w:hAnsi="Arial" w:cs="Arial"/>
          <w:b/>
          <w:sz w:val="28"/>
          <w:szCs w:val="28"/>
        </w:rPr>
      </w:pPr>
      <w:r w:rsidRPr="005C29CF">
        <w:rPr>
          <w:rFonts w:ascii="Arial" w:hAnsi="Arial" w:cs="Arial"/>
          <w:b/>
          <w:sz w:val="28"/>
          <w:szCs w:val="28"/>
        </w:rPr>
        <w:lastRenderedPageBreak/>
        <w:t>A</w:t>
      </w:r>
    </w:p>
    <w:p w14:paraId="594FDD38" w14:textId="77777777" w:rsidR="00E44ACB" w:rsidRPr="005C29CF" w:rsidRDefault="00E44ACB" w:rsidP="00A0409D">
      <w:pPr>
        <w:rPr>
          <w:rFonts w:ascii="Arial" w:hAnsi="Arial" w:cs="Arial"/>
          <w:b/>
          <w:sz w:val="28"/>
          <w:szCs w:val="28"/>
        </w:rPr>
      </w:pPr>
      <w:r w:rsidRPr="00E44ACB">
        <w:rPr>
          <w:rFonts w:ascii="Arial" w:hAnsi="Arial" w:cs="Arial"/>
          <w:b/>
          <w:noProof/>
          <w:sz w:val="28"/>
          <w:szCs w:val="28"/>
          <w:lang w:val="en-US"/>
        </w:rPr>
        <w:drawing>
          <wp:inline distT="0" distB="0" distL="0" distR="0" wp14:anchorId="18097C5D" wp14:editId="3EF4BED9">
            <wp:extent cx="5384200" cy="4550734"/>
            <wp:effectExtent l="0" t="0" r="63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84200" cy="4550734"/>
                    </a:xfrm>
                    <a:prstGeom prst="rect">
                      <a:avLst/>
                    </a:prstGeom>
                  </pic:spPr>
                </pic:pic>
              </a:graphicData>
            </a:graphic>
          </wp:inline>
        </w:drawing>
      </w:r>
    </w:p>
    <w:p w14:paraId="67E68C93" w14:textId="77777777" w:rsidR="00A0409D" w:rsidRPr="00257DF3" w:rsidRDefault="00A0409D" w:rsidP="00257DF3">
      <w:pPr>
        <w:rPr>
          <w:rFonts w:ascii="Arial" w:hAnsi="Arial" w:cs="Arial"/>
          <w:b/>
          <w:color w:val="1F497D" w:themeColor="text2"/>
          <w:sz w:val="28"/>
          <w:szCs w:val="28"/>
        </w:rPr>
      </w:pPr>
    </w:p>
    <w:p w14:paraId="12ABDE70" w14:textId="77777777" w:rsidR="00257DF3" w:rsidRDefault="00257DF3" w:rsidP="00A0409D">
      <w:pPr>
        <w:pStyle w:val="Caption"/>
        <w:rPr>
          <w:rFonts w:ascii="Arial" w:hAnsi="Arial" w:cs="Arial"/>
          <w:color w:val="1F497D" w:themeColor="text2"/>
          <w:sz w:val="28"/>
          <w:szCs w:val="28"/>
        </w:rPr>
      </w:pPr>
    </w:p>
    <w:p w14:paraId="66812BE7" w14:textId="77777777" w:rsidR="00A0409D" w:rsidRPr="005A5A7D" w:rsidRDefault="00A0409D" w:rsidP="005A5A7D">
      <w:pPr>
        <w:pStyle w:val="Caption"/>
        <w:rPr>
          <w:rFonts w:ascii="Arial" w:hAnsi="Arial" w:cs="Arial"/>
          <w:color w:val="auto"/>
          <w:sz w:val="28"/>
          <w:szCs w:val="28"/>
        </w:rPr>
      </w:pPr>
      <w:r w:rsidRPr="005C29CF">
        <w:rPr>
          <w:rFonts w:ascii="Arial" w:hAnsi="Arial" w:cs="Arial"/>
          <w:color w:val="auto"/>
          <w:sz w:val="28"/>
          <w:szCs w:val="28"/>
        </w:rPr>
        <w:t>B</w:t>
      </w:r>
      <w:bookmarkEnd w:id="72"/>
      <w:r w:rsidRPr="005C29CF">
        <w:rPr>
          <w:rFonts w:ascii="Arial" w:hAnsi="Arial" w:cs="Arial"/>
          <w:color w:val="auto"/>
          <w:sz w:val="28"/>
          <w:szCs w:val="28"/>
        </w:rPr>
        <w:t xml:space="preserve">                                                             C</w:t>
      </w:r>
    </w:p>
    <w:p w14:paraId="047E261F" w14:textId="77777777" w:rsidR="00B1649B" w:rsidRDefault="00A0409D" w:rsidP="00B14BA1">
      <w:pPr>
        <w:pStyle w:val="Caption"/>
        <w:keepNext/>
        <w:tabs>
          <w:tab w:val="left" w:pos="709"/>
        </w:tabs>
        <w:spacing w:line="360" w:lineRule="auto"/>
        <w:ind w:left="284"/>
      </w:pPr>
      <w:r>
        <w:rPr>
          <w:noProof/>
          <w:lang w:val="en-US"/>
        </w:rPr>
        <w:drawing>
          <wp:inline distT="0" distB="0" distL="0" distR="0" wp14:anchorId="4E4A541D" wp14:editId="1489A8BD">
            <wp:extent cx="2927839" cy="2956560"/>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27839" cy="2956560"/>
                    </a:xfrm>
                    <a:prstGeom prst="rect">
                      <a:avLst/>
                    </a:prstGeom>
                    <a:noFill/>
                    <a:ln>
                      <a:noFill/>
                    </a:ln>
                  </pic:spPr>
                </pic:pic>
              </a:graphicData>
            </a:graphic>
          </wp:inline>
        </w:drawing>
      </w:r>
      <w:r w:rsidRPr="00F11AE4">
        <w:t xml:space="preserve"> </w:t>
      </w:r>
      <w:r>
        <w:rPr>
          <w:noProof/>
          <w:lang w:val="en-US"/>
        </w:rPr>
        <w:drawing>
          <wp:inline distT="0" distB="0" distL="0" distR="0" wp14:anchorId="001B2A17" wp14:editId="2D2A5626">
            <wp:extent cx="2934970" cy="2946400"/>
            <wp:effectExtent l="0" t="0" r="11430" b="0"/>
            <wp:docPr id="1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34970" cy="2946400"/>
                    </a:xfrm>
                    <a:prstGeom prst="rect">
                      <a:avLst/>
                    </a:prstGeom>
                    <a:noFill/>
                    <a:ln>
                      <a:noFill/>
                    </a:ln>
                  </pic:spPr>
                </pic:pic>
              </a:graphicData>
            </a:graphic>
          </wp:inline>
        </w:drawing>
      </w:r>
    </w:p>
    <w:p w14:paraId="768927A2" w14:textId="77777777" w:rsidR="00A0409D" w:rsidRPr="00B1649B" w:rsidRDefault="00B1649B" w:rsidP="00B1649B">
      <w:pPr>
        <w:pStyle w:val="Caption"/>
        <w:spacing w:line="360" w:lineRule="auto"/>
        <w:jc w:val="both"/>
        <w:rPr>
          <w:rFonts w:ascii="Arial" w:hAnsi="Arial" w:cs="Arial"/>
          <w:color w:val="244061" w:themeColor="accent1" w:themeShade="80"/>
          <w:sz w:val="24"/>
          <w:szCs w:val="24"/>
        </w:rPr>
      </w:pPr>
      <w:bookmarkStart w:id="73" w:name="_Toc383544611"/>
      <w:r w:rsidRPr="00B1649B">
        <w:rPr>
          <w:rFonts w:ascii="Arial" w:hAnsi="Arial" w:cs="Arial"/>
          <w:color w:val="244061" w:themeColor="accent1" w:themeShade="80"/>
          <w:sz w:val="24"/>
          <w:szCs w:val="24"/>
        </w:rPr>
        <w:t xml:space="preserve">Figure </w:t>
      </w:r>
      <w:r w:rsidRPr="00B1649B">
        <w:rPr>
          <w:rFonts w:ascii="Arial" w:hAnsi="Arial" w:cs="Arial"/>
          <w:color w:val="244061" w:themeColor="accent1" w:themeShade="80"/>
          <w:sz w:val="24"/>
          <w:szCs w:val="24"/>
        </w:rPr>
        <w:fldChar w:fldCharType="begin"/>
      </w:r>
      <w:r w:rsidRPr="00B1649B">
        <w:rPr>
          <w:rFonts w:ascii="Arial" w:hAnsi="Arial" w:cs="Arial"/>
          <w:color w:val="244061" w:themeColor="accent1" w:themeShade="80"/>
          <w:sz w:val="24"/>
          <w:szCs w:val="24"/>
        </w:rPr>
        <w:instrText xml:space="preserve"> SEQ Figure \* ARABIC </w:instrText>
      </w:r>
      <w:r w:rsidRPr="00B1649B">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20</w:t>
      </w:r>
      <w:r w:rsidRPr="00B1649B">
        <w:rPr>
          <w:rFonts w:ascii="Arial" w:hAnsi="Arial" w:cs="Arial"/>
          <w:color w:val="244061" w:themeColor="accent1" w:themeShade="80"/>
          <w:sz w:val="24"/>
          <w:szCs w:val="24"/>
        </w:rPr>
        <w:fldChar w:fldCharType="end"/>
      </w:r>
      <w:r w:rsidRPr="00B1649B">
        <w:rPr>
          <w:rFonts w:ascii="Arial" w:hAnsi="Arial" w:cs="Arial"/>
          <w:color w:val="244061" w:themeColor="accent1" w:themeShade="80"/>
          <w:sz w:val="24"/>
          <w:szCs w:val="24"/>
        </w:rPr>
        <w:t xml:space="preserve"> </w:t>
      </w:r>
      <w:r w:rsidR="00A0409D" w:rsidRPr="00B1649B">
        <w:rPr>
          <w:rFonts w:ascii="Arial" w:hAnsi="Arial" w:cs="Arial"/>
          <w:color w:val="244061" w:themeColor="accent1" w:themeShade="80"/>
          <w:sz w:val="24"/>
          <w:szCs w:val="24"/>
        </w:rPr>
        <w:t>Body weight</w:t>
      </w:r>
      <w:r w:rsidR="006D0916">
        <w:rPr>
          <w:rFonts w:ascii="Arial" w:hAnsi="Arial" w:cs="Arial"/>
          <w:color w:val="244061" w:themeColor="accent1" w:themeShade="80"/>
          <w:sz w:val="24"/>
          <w:szCs w:val="24"/>
        </w:rPr>
        <w:t>s</w:t>
      </w:r>
      <w:r w:rsidR="00A0409D" w:rsidRPr="00B1649B">
        <w:rPr>
          <w:rFonts w:ascii="Arial" w:hAnsi="Arial" w:cs="Arial"/>
          <w:color w:val="244061" w:themeColor="accent1" w:themeShade="80"/>
          <w:sz w:val="24"/>
          <w:szCs w:val="24"/>
        </w:rPr>
        <w:t xml:space="preserve"> (A), food intake (B) and faecal output (C) of fed or overnight fasted young male C57BL/6 mice</w:t>
      </w:r>
      <w:bookmarkEnd w:id="73"/>
      <w:r w:rsidR="00A0409D" w:rsidRPr="00B1649B">
        <w:rPr>
          <w:rFonts w:ascii="Arial" w:hAnsi="Arial" w:cs="Arial"/>
          <w:color w:val="244061" w:themeColor="accent1" w:themeShade="80"/>
          <w:sz w:val="24"/>
          <w:szCs w:val="24"/>
        </w:rPr>
        <w:t xml:space="preserve"> </w:t>
      </w:r>
    </w:p>
    <w:p w14:paraId="06C270C9" w14:textId="77777777" w:rsidR="009C6C23" w:rsidRDefault="00A0409D" w:rsidP="009C6C23">
      <w:pPr>
        <w:spacing w:line="360" w:lineRule="auto"/>
        <w:jc w:val="both"/>
        <w:rPr>
          <w:rFonts w:ascii="Arial" w:eastAsiaTheme="minorHAnsi" w:hAnsi="Arial" w:cs="Arial"/>
          <w:sz w:val="22"/>
          <w:szCs w:val="22"/>
          <w:lang w:val="en-US"/>
        </w:rPr>
      </w:pPr>
      <w:r>
        <w:rPr>
          <w:rFonts w:ascii="Arial" w:hAnsi="Arial" w:cs="Arial"/>
          <w:sz w:val="22"/>
          <w:szCs w:val="22"/>
        </w:rPr>
        <w:lastRenderedPageBreak/>
        <w:t>In total 14 m</w:t>
      </w:r>
      <w:r w:rsidRPr="00347139">
        <w:rPr>
          <w:rFonts w:ascii="Arial" w:hAnsi="Arial" w:cs="Arial"/>
          <w:sz w:val="22"/>
          <w:szCs w:val="22"/>
        </w:rPr>
        <w:t xml:space="preserve">ice were </w:t>
      </w:r>
      <w:r>
        <w:rPr>
          <w:rFonts w:ascii="Arial" w:hAnsi="Arial" w:cs="Arial"/>
          <w:sz w:val="22"/>
          <w:szCs w:val="22"/>
        </w:rPr>
        <w:t xml:space="preserve">randomly </w:t>
      </w:r>
      <w:r w:rsidRPr="00347139">
        <w:rPr>
          <w:rFonts w:ascii="Arial" w:hAnsi="Arial" w:cs="Arial"/>
          <w:sz w:val="22"/>
          <w:szCs w:val="22"/>
        </w:rPr>
        <w:t>divided i</w:t>
      </w:r>
      <w:r>
        <w:rPr>
          <w:rFonts w:ascii="Arial" w:hAnsi="Arial" w:cs="Arial"/>
          <w:sz w:val="22"/>
          <w:szCs w:val="22"/>
        </w:rPr>
        <w:t>nto two</w:t>
      </w:r>
      <w:r w:rsidRPr="00931C15">
        <w:rPr>
          <w:rFonts w:ascii="Arial" w:hAnsi="Arial" w:cs="Arial"/>
          <w:sz w:val="22"/>
          <w:szCs w:val="22"/>
        </w:rPr>
        <w:t xml:space="preserve"> group</w:t>
      </w:r>
      <w:r>
        <w:rPr>
          <w:rFonts w:ascii="Arial" w:hAnsi="Arial" w:cs="Arial"/>
          <w:sz w:val="22"/>
          <w:szCs w:val="22"/>
        </w:rPr>
        <w:t xml:space="preserve">s; control ad-lib </w:t>
      </w:r>
      <w:r w:rsidR="001F2762">
        <w:rPr>
          <w:rFonts w:ascii="Arial" w:hAnsi="Arial" w:cs="Arial"/>
          <w:sz w:val="22"/>
          <w:szCs w:val="22"/>
        </w:rPr>
        <w:t>fed (n=7) or overnight 16-hour</w:t>
      </w:r>
      <w:r w:rsidRPr="00931C15">
        <w:rPr>
          <w:rFonts w:ascii="Arial" w:hAnsi="Arial" w:cs="Arial"/>
          <w:sz w:val="22"/>
          <w:szCs w:val="22"/>
        </w:rPr>
        <w:t xml:space="preserve"> fasted (n=7)</w:t>
      </w:r>
      <w:r>
        <w:rPr>
          <w:rFonts w:ascii="Arial" w:hAnsi="Arial" w:cs="Arial"/>
          <w:sz w:val="22"/>
          <w:szCs w:val="22"/>
        </w:rPr>
        <w:t xml:space="preserve"> at 17 weeks of age. The body weights </w:t>
      </w:r>
      <w:r w:rsidR="00793875">
        <w:rPr>
          <w:rFonts w:ascii="Arial" w:hAnsi="Arial" w:cs="Arial"/>
          <w:sz w:val="22"/>
          <w:szCs w:val="22"/>
        </w:rPr>
        <w:t>of mice were measured for 7hr</w:t>
      </w:r>
      <w:r>
        <w:rPr>
          <w:rFonts w:ascii="Arial" w:hAnsi="Arial" w:cs="Arial"/>
          <w:sz w:val="22"/>
          <w:szCs w:val="22"/>
        </w:rPr>
        <w:t xml:space="preserve">s following overnight fast to monitor food intake of the animals. The proportions of the starting pre-fasted body weights (%)  </w:t>
      </w:r>
      <w:r w:rsidRPr="009D6E22">
        <w:rPr>
          <w:rFonts w:ascii="Arial" w:eastAsia="MS Gothic" w:hAnsi="Arial" w:cs="Arial"/>
          <w:color w:val="000000"/>
          <w:sz w:val="22"/>
          <w:szCs w:val="22"/>
        </w:rPr>
        <w:t>±</w:t>
      </w:r>
      <w:r>
        <w:rPr>
          <w:rFonts w:ascii="Arial" w:eastAsia="MS Gothic" w:hAnsi="Arial" w:cs="Arial"/>
          <w:color w:val="000000"/>
          <w:sz w:val="22"/>
          <w:szCs w:val="22"/>
        </w:rPr>
        <w:t xml:space="preserve"> SE are</w:t>
      </w:r>
      <w:r w:rsidR="00C1130F">
        <w:rPr>
          <w:rFonts w:ascii="Arial" w:eastAsia="MS Gothic" w:hAnsi="Arial" w:cs="Arial"/>
          <w:color w:val="000000"/>
          <w:sz w:val="22"/>
          <w:szCs w:val="22"/>
        </w:rPr>
        <w:t xml:space="preserve"> shown (A). Following overnight </w:t>
      </w:r>
      <w:r w:rsidR="00793875">
        <w:rPr>
          <w:rFonts w:ascii="Arial" w:eastAsia="MS Gothic" w:hAnsi="Arial" w:cs="Arial"/>
          <w:color w:val="000000"/>
          <w:sz w:val="22"/>
          <w:szCs w:val="22"/>
        </w:rPr>
        <w:t xml:space="preserve">16-hour </w:t>
      </w:r>
      <w:r>
        <w:rPr>
          <w:rFonts w:ascii="Arial" w:eastAsia="MS Gothic" w:hAnsi="Arial" w:cs="Arial"/>
          <w:color w:val="000000"/>
          <w:sz w:val="22"/>
          <w:szCs w:val="22"/>
        </w:rPr>
        <w:t>prolonged food restriction fasted mice consumed more food compared with the mice in the control group that had free access to food ad-lib (B). Faecal output was significantly more in the mice that had unrestricted access to food throughout the experiment compared with the fasted fed mice (C).</w:t>
      </w:r>
      <w:r w:rsidR="009C6C23" w:rsidRPr="009C6C23">
        <w:rPr>
          <w:rFonts w:ascii="Arial" w:eastAsiaTheme="minorHAnsi" w:hAnsi="Arial" w:cs="Arial"/>
          <w:sz w:val="22"/>
          <w:szCs w:val="22"/>
          <w:lang w:val="en-US"/>
        </w:rPr>
        <w:t xml:space="preserve"> </w:t>
      </w:r>
      <w:r w:rsidR="009C6C23">
        <w:rPr>
          <w:rFonts w:ascii="Arial" w:eastAsiaTheme="minorHAnsi" w:hAnsi="Arial" w:cs="Arial"/>
          <w:sz w:val="22"/>
          <w:szCs w:val="22"/>
          <w:lang w:val="en-US"/>
        </w:rPr>
        <w:t>Bars represent mean</w:t>
      </w:r>
      <w:r w:rsidR="009C6C23" w:rsidRPr="004D06C6">
        <w:rPr>
          <w:rFonts w:ascii="Arial" w:eastAsia="MS Gothic" w:hAnsi="Arial" w:cs="Arial"/>
          <w:sz w:val="22"/>
          <w:szCs w:val="22"/>
        </w:rPr>
        <w:t>±</w:t>
      </w:r>
      <w:r w:rsidR="009C6C23" w:rsidRPr="004D06C6">
        <w:rPr>
          <w:rFonts w:ascii="Arial" w:eastAsiaTheme="minorHAnsi" w:hAnsi="Arial" w:cs="Arial"/>
          <w:sz w:val="22"/>
          <w:szCs w:val="22"/>
          <w:lang w:val="en-US"/>
        </w:rPr>
        <w:t>SE</w:t>
      </w:r>
    </w:p>
    <w:p w14:paraId="6C6D771B" w14:textId="77777777" w:rsidR="00A0409D" w:rsidRDefault="00486E71" w:rsidP="00A0409D">
      <w:pPr>
        <w:spacing w:line="360" w:lineRule="auto"/>
        <w:jc w:val="both"/>
        <w:rPr>
          <w:rFonts w:ascii="Arial" w:eastAsia="MS Gothic" w:hAnsi="Arial" w:cs="Arial"/>
          <w:color w:val="000000"/>
          <w:sz w:val="22"/>
          <w:szCs w:val="22"/>
        </w:rPr>
      </w:pPr>
      <w:r>
        <w:rPr>
          <w:rFonts w:ascii="Arial" w:eastAsia="MS Gothic" w:hAnsi="Arial" w:cs="Arial"/>
          <w:color w:val="000000"/>
          <w:sz w:val="22"/>
          <w:szCs w:val="22"/>
        </w:rPr>
        <w:t>Data is analysed by t</w:t>
      </w:r>
      <w:r w:rsidR="00A0409D" w:rsidRPr="00C079E0">
        <w:rPr>
          <w:rFonts w:ascii="Arial" w:eastAsia="MS Gothic" w:hAnsi="Arial" w:cs="Arial"/>
          <w:color w:val="000000"/>
          <w:sz w:val="22"/>
          <w:szCs w:val="22"/>
        </w:rPr>
        <w:t xml:space="preserve">wo-way ANOVA </w:t>
      </w:r>
      <w:r w:rsidR="00A0409D" w:rsidRPr="00C079E0">
        <w:rPr>
          <w:rFonts w:ascii="Arial" w:hAnsi="Arial" w:cs="Arial"/>
          <w:color w:val="000000" w:themeColor="text1"/>
          <w:sz w:val="22"/>
          <w:szCs w:val="22"/>
        </w:rPr>
        <w:t xml:space="preserve">with Tukey post-hoc test (A) or two-tail unpaired Student’s </w:t>
      </w:r>
      <w:r w:rsidR="00A0409D" w:rsidRPr="00C079E0">
        <w:rPr>
          <w:rFonts w:ascii="Arial" w:hAnsi="Arial" w:cs="Arial"/>
          <w:i/>
          <w:color w:val="000000" w:themeColor="text1"/>
          <w:sz w:val="22"/>
          <w:szCs w:val="22"/>
        </w:rPr>
        <w:t>t</w:t>
      </w:r>
      <w:r w:rsidR="00A0409D" w:rsidRPr="00C079E0">
        <w:rPr>
          <w:rFonts w:ascii="Arial" w:hAnsi="Arial" w:cs="Arial"/>
          <w:color w:val="000000" w:themeColor="text1"/>
          <w:sz w:val="22"/>
          <w:szCs w:val="22"/>
        </w:rPr>
        <w:t>-test (B,</w:t>
      </w:r>
      <w:r w:rsidR="00A0409D">
        <w:rPr>
          <w:rFonts w:ascii="Arial" w:hAnsi="Arial" w:cs="Arial"/>
          <w:color w:val="000000" w:themeColor="text1"/>
          <w:sz w:val="22"/>
          <w:szCs w:val="22"/>
        </w:rPr>
        <w:t xml:space="preserve"> </w:t>
      </w:r>
      <w:r w:rsidR="00A0409D" w:rsidRPr="00C079E0">
        <w:rPr>
          <w:rFonts w:ascii="Arial" w:hAnsi="Arial" w:cs="Arial"/>
          <w:color w:val="000000" w:themeColor="text1"/>
          <w:sz w:val="22"/>
          <w:szCs w:val="22"/>
        </w:rPr>
        <w:t>C).</w:t>
      </w:r>
      <w:r w:rsidR="00A0409D">
        <w:rPr>
          <w:rFonts w:ascii="Arial" w:eastAsia="MS Gothic" w:hAnsi="Arial" w:cs="Arial"/>
          <w:color w:val="000000"/>
          <w:sz w:val="22"/>
          <w:szCs w:val="22"/>
        </w:rPr>
        <w:t xml:space="preserve"> * Indicates significant differences between fed and fast</w:t>
      </w:r>
      <w:r w:rsidR="00841B38">
        <w:rPr>
          <w:rFonts w:ascii="Arial" w:eastAsia="MS Gothic" w:hAnsi="Arial" w:cs="Arial"/>
          <w:color w:val="000000"/>
          <w:sz w:val="22"/>
          <w:szCs w:val="22"/>
        </w:rPr>
        <w:t>ed fed groups (* p&lt;0.05, ** p&lt;0.01, *** p&lt;0.001,</w:t>
      </w:r>
      <w:r w:rsidR="00A0409D">
        <w:rPr>
          <w:rFonts w:ascii="Arial" w:eastAsia="MS Gothic" w:hAnsi="Arial" w:cs="Arial"/>
          <w:color w:val="000000"/>
          <w:sz w:val="22"/>
          <w:szCs w:val="22"/>
        </w:rPr>
        <w:t xml:space="preserve"> **** p&lt;0.0001)</w:t>
      </w:r>
    </w:p>
    <w:p w14:paraId="3E7F2777" w14:textId="77777777" w:rsidR="00A0409D" w:rsidRDefault="00A0409D" w:rsidP="00A0409D">
      <w:pPr>
        <w:spacing w:line="360" w:lineRule="auto"/>
        <w:jc w:val="both"/>
        <w:rPr>
          <w:rFonts w:ascii="Arial" w:eastAsia="MS Gothic" w:hAnsi="Arial" w:cs="Arial"/>
          <w:color w:val="000000"/>
          <w:sz w:val="22"/>
          <w:szCs w:val="22"/>
        </w:rPr>
      </w:pPr>
    </w:p>
    <w:p w14:paraId="2F19E65C" w14:textId="77777777" w:rsidR="00A0409D" w:rsidRDefault="00A0409D" w:rsidP="00A0409D">
      <w:pPr>
        <w:spacing w:line="360" w:lineRule="auto"/>
        <w:jc w:val="both"/>
        <w:rPr>
          <w:rFonts w:ascii="Arial" w:eastAsia="MS Gothic" w:hAnsi="Arial" w:cs="Arial"/>
          <w:color w:val="000000"/>
          <w:sz w:val="22"/>
          <w:szCs w:val="22"/>
        </w:rPr>
      </w:pPr>
    </w:p>
    <w:p w14:paraId="0FA72101" w14:textId="77777777" w:rsidR="00A0409D" w:rsidRDefault="00A0409D" w:rsidP="00A0409D">
      <w:pPr>
        <w:spacing w:line="360" w:lineRule="auto"/>
        <w:jc w:val="both"/>
        <w:rPr>
          <w:rFonts w:ascii="Arial" w:eastAsia="MS Gothic" w:hAnsi="Arial" w:cs="Arial"/>
          <w:color w:val="000000"/>
          <w:sz w:val="22"/>
          <w:szCs w:val="22"/>
        </w:rPr>
      </w:pPr>
    </w:p>
    <w:p w14:paraId="19A9E514" w14:textId="77777777" w:rsidR="00A0409D" w:rsidRPr="00486E71" w:rsidRDefault="00A0409D" w:rsidP="00486E71">
      <w:pPr>
        <w:pStyle w:val="Heading3"/>
        <w:spacing w:line="480" w:lineRule="auto"/>
        <w:jc w:val="both"/>
        <w:rPr>
          <w:rFonts w:ascii="Arial" w:hAnsi="Arial" w:cs="Arial"/>
          <w:noProof/>
          <w:color w:val="auto"/>
        </w:rPr>
      </w:pPr>
      <w:bookmarkStart w:id="74" w:name="_Toc383723881"/>
      <w:r w:rsidRPr="00486E71">
        <w:rPr>
          <w:rFonts w:ascii="Arial" w:hAnsi="Arial" w:cs="Arial"/>
          <w:noProof/>
          <w:color w:val="auto"/>
        </w:rPr>
        <w:t xml:space="preserve">3.2.2 </w:t>
      </w:r>
      <w:r w:rsidR="00486E71" w:rsidRPr="00486E71">
        <w:rPr>
          <w:rFonts w:ascii="Arial" w:hAnsi="Arial" w:cs="Arial"/>
          <w:noProof/>
          <w:color w:val="auto"/>
        </w:rPr>
        <w:t>The effect of 20 cycles mechanical loading with 13N force on tibial cortical bone mass and architecture of fed or ove</w:t>
      </w:r>
      <w:r w:rsidR="001017E5">
        <w:rPr>
          <w:rFonts w:ascii="Arial" w:hAnsi="Arial" w:cs="Arial"/>
          <w:noProof/>
          <w:color w:val="auto"/>
        </w:rPr>
        <w:t xml:space="preserve">rnight fasted young </w:t>
      </w:r>
      <w:r w:rsidR="00486E71" w:rsidRPr="00486E71">
        <w:rPr>
          <w:rFonts w:ascii="Arial" w:hAnsi="Arial" w:cs="Arial"/>
          <w:noProof/>
          <w:color w:val="auto"/>
        </w:rPr>
        <w:t>mice</w:t>
      </w:r>
      <w:bookmarkEnd w:id="74"/>
    </w:p>
    <w:p w14:paraId="25C5EF35" w14:textId="77777777" w:rsidR="00FE132B" w:rsidRDefault="00844257" w:rsidP="00A0409D">
      <w:pPr>
        <w:spacing w:line="480" w:lineRule="auto"/>
        <w:jc w:val="both"/>
        <w:rPr>
          <w:rFonts w:ascii="Arial" w:eastAsiaTheme="minorHAnsi" w:hAnsi="Arial"/>
          <w:bCs/>
          <w:lang w:val="en-US"/>
        </w:rPr>
      </w:pPr>
      <w:r w:rsidRPr="004E66E7">
        <w:rPr>
          <w:rFonts w:ascii="Arial" w:hAnsi="Arial" w:cs="Arial"/>
          <w:b/>
          <w:i/>
        </w:rPr>
        <w:t>Experimental details:</w:t>
      </w:r>
      <w:r>
        <w:rPr>
          <w:rFonts w:ascii="Arial" w:hAnsi="Arial" w:cs="Arial"/>
        </w:rPr>
        <w:t xml:space="preserve"> </w:t>
      </w:r>
      <w:r w:rsidR="00A0409D">
        <w:rPr>
          <w:rFonts w:ascii="Arial" w:eastAsiaTheme="minorHAnsi" w:hAnsi="Arial"/>
          <w:bCs/>
          <w:lang w:val="en-US"/>
        </w:rPr>
        <w:t>To determine the effects</w:t>
      </w:r>
      <w:r w:rsidR="00A0409D" w:rsidRPr="00E1140B">
        <w:rPr>
          <w:rFonts w:ascii="Arial" w:eastAsiaTheme="minorHAnsi" w:hAnsi="Arial"/>
          <w:bCs/>
          <w:lang w:val="en-US"/>
        </w:rPr>
        <w:t xml:space="preserve"> of </w:t>
      </w:r>
      <w:r w:rsidR="00A0409D">
        <w:rPr>
          <w:rFonts w:ascii="Arial" w:eastAsiaTheme="minorHAnsi" w:hAnsi="Arial"/>
          <w:bCs/>
          <w:lang w:val="en-US"/>
        </w:rPr>
        <w:t xml:space="preserve">prolonged 16 hours </w:t>
      </w:r>
      <w:r w:rsidR="00A0409D" w:rsidRPr="00E1140B">
        <w:rPr>
          <w:rFonts w:ascii="Arial" w:eastAsiaTheme="minorHAnsi" w:hAnsi="Arial"/>
          <w:bCs/>
          <w:lang w:val="en-US"/>
        </w:rPr>
        <w:t xml:space="preserve">fasting </w:t>
      </w:r>
      <w:r w:rsidR="00A0409D">
        <w:rPr>
          <w:rFonts w:ascii="Arial" w:eastAsiaTheme="minorHAnsi" w:hAnsi="Arial"/>
          <w:bCs/>
          <w:lang w:val="en-US"/>
        </w:rPr>
        <w:t xml:space="preserve">on bone’s adaptive osteogenic response to </w:t>
      </w:r>
      <w:r w:rsidR="00A0409D" w:rsidRPr="00E1140B">
        <w:rPr>
          <w:rFonts w:ascii="Arial" w:eastAsiaTheme="minorHAnsi" w:hAnsi="Arial"/>
          <w:bCs/>
          <w:lang w:val="en-US"/>
        </w:rPr>
        <w:t>mechanical loading</w:t>
      </w:r>
      <w:r w:rsidR="00A0409D">
        <w:rPr>
          <w:rFonts w:ascii="Arial" w:eastAsiaTheme="minorHAnsi" w:hAnsi="Arial"/>
          <w:bCs/>
          <w:lang w:val="en-US"/>
        </w:rPr>
        <w:t xml:space="preserve"> in young 17-week-old male </w:t>
      </w:r>
      <w:r w:rsidR="0069795E">
        <w:rPr>
          <w:rFonts w:ascii="Arial" w:hAnsi="Arial" w:cs="Arial"/>
          <w:noProof/>
          <w:color w:val="000000" w:themeColor="text1"/>
        </w:rPr>
        <w:t>C57BL/6</w:t>
      </w:r>
      <w:r w:rsidR="0069795E" w:rsidRPr="008A11BE">
        <w:rPr>
          <w:rFonts w:ascii="Arial" w:hAnsi="Arial" w:cs="Arial"/>
        </w:rPr>
        <w:t xml:space="preserve"> </w:t>
      </w:r>
      <w:r w:rsidR="00A0409D">
        <w:rPr>
          <w:rFonts w:ascii="Arial" w:eastAsiaTheme="minorHAnsi" w:hAnsi="Arial"/>
          <w:bCs/>
          <w:lang w:val="en-US"/>
        </w:rPr>
        <w:t>mice</w:t>
      </w:r>
      <w:r w:rsidR="00A0409D" w:rsidRPr="00E1140B">
        <w:rPr>
          <w:rFonts w:ascii="Arial" w:eastAsiaTheme="minorHAnsi" w:hAnsi="Arial"/>
          <w:bCs/>
          <w:lang w:val="en-US"/>
        </w:rPr>
        <w:t xml:space="preserve">, </w:t>
      </w:r>
      <w:r w:rsidR="00A0409D">
        <w:rPr>
          <w:rFonts w:ascii="Arial" w:eastAsiaTheme="minorHAnsi" w:hAnsi="Arial"/>
          <w:bCs/>
          <w:lang w:val="en-US"/>
        </w:rPr>
        <w:t xml:space="preserve">first </w:t>
      </w:r>
      <w:r w:rsidR="00A0409D" w:rsidRPr="00E1140B">
        <w:rPr>
          <w:rFonts w:ascii="Arial" w:eastAsiaTheme="minorHAnsi" w:hAnsi="Arial"/>
          <w:bCs/>
          <w:lang w:val="en-US"/>
        </w:rPr>
        <w:t xml:space="preserve">the regimen of 20 cycles </w:t>
      </w:r>
      <w:r w:rsidR="00A0409D">
        <w:rPr>
          <w:rFonts w:ascii="Arial" w:eastAsiaTheme="minorHAnsi" w:hAnsi="Arial"/>
          <w:bCs/>
          <w:lang w:val="en-US"/>
        </w:rPr>
        <w:t xml:space="preserve">with a peak force of 13N </w:t>
      </w:r>
      <w:r w:rsidR="00A0409D" w:rsidRPr="00E1140B">
        <w:rPr>
          <w:rFonts w:ascii="Arial" w:eastAsiaTheme="minorHAnsi" w:hAnsi="Arial"/>
          <w:bCs/>
          <w:lang w:val="en-US"/>
        </w:rPr>
        <w:t>in each loading event w</w:t>
      </w:r>
      <w:r w:rsidR="00A0409D">
        <w:rPr>
          <w:rFonts w:ascii="Arial" w:eastAsiaTheme="minorHAnsi" w:hAnsi="Arial"/>
          <w:bCs/>
          <w:lang w:val="en-US"/>
        </w:rPr>
        <w:t>as applied 3 times weekly for 2 weeks. The fluorochrome label calcein was</w:t>
      </w:r>
      <w:r w:rsidR="00A0409D" w:rsidRPr="00E1140B">
        <w:rPr>
          <w:rFonts w:ascii="Arial" w:eastAsiaTheme="minorHAnsi" w:hAnsi="Arial"/>
          <w:bCs/>
          <w:lang w:val="en-US"/>
        </w:rPr>
        <w:t xml:space="preserve"> </w:t>
      </w:r>
      <w:r>
        <w:rPr>
          <w:rFonts w:ascii="Arial" w:eastAsiaTheme="minorHAnsi" w:hAnsi="Arial"/>
          <w:bCs/>
          <w:lang w:val="en-US"/>
        </w:rPr>
        <w:t>administered</w:t>
      </w:r>
      <w:r w:rsidR="00A0409D" w:rsidRPr="00E1140B">
        <w:rPr>
          <w:rFonts w:ascii="Arial" w:eastAsiaTheme="minorHAnsi" w:hAnsi="Arial"/>
          <w:bCs/>
          <w:lang w:val="en-US"/>
        </w:rPr>
        <w:t xml:space="preserve"> </w:t>
      </w:r>
      <w:r w:rsidR="00A0409D">
        <w:rPr>
          <w:rFonts w:ascii="Arial" w:eastAsiaTheme="minorHAnsi" w:hAnsi="Arial"/>
          <w:bCs/>
          <w:lang w:val="en-US"/>
        </w:rPr>
        <w:t xml:space="preserve">subcutaneously </w:t>
      </w:r>
      <w:r w:rsidR="00A0409D" w:rsidRPr="00E1140B">
        <w:rPr>
          <w:rFonts w:ascii="Arial" w:eastAsiaTheme="minorHAnsi" w:hAnsi="Arial"/>
          <w:bCs/>
          <w:lang w:val="en-US"/>
        </w:rPr>
        <w:t xml:space="preserve">into the mice to mark </w:t>
      </w:r>
      <w:r w:rsidR="00A0409D">
        <w:rPr>
          <w:rFonts w:ascii="Arial" w:eastAsiaTheme="minorHAnsi" w:hAnsi="Arial"/>
          <w:bCs/>
          <w:lang w:val="en-US"/>
        </w:rPr>
        <w:t xml:space="preserve">the </w:t>
      </w:r>
      <w:r w:rsidR="00A0409D" w:rsidRPr="00E1140B">
        <w:rPr>
          <w:rFonts w:ascii="Arial" w:eastAsiaTheme="minorHAnsi" w:hAnsi="Arial"/>
          <w:bCs/>
          <w:lang w:val="en-US"/>
        </w:rPr>
        <w:t>sites of new bone formation at the start and end of the experiment</w:t>
      </w:r>
      <w:r w:rsidR="00A0409D">
        <w:rPr>
          <w:rFonts w:ascii="Arial" w:eastAsiaTheme="minorHAnsi" w:hAnsi="Arial"/>
          <w:bCs/>
          <w:lang w:val="en-US"/>
        </w:rPr>
        <w:t xml:space="preserve"> </w:t>
      </w:r>
      <w:r w:rsidR="00A0409D" w:rsidRPr="00E1140B">
        <w:rPr>
          <w:rFonts w:ascii="Arial" w:eastAsiaTheme="minorHAnsi" w:hAnsi="Arial"/>
          <w:bCs/>
          <w:lang w:val="en-US"/>
        </w:rPr>
        <w:fldChar w:fldCharType="begin"/>
      </w:r>
      <w:r w:rsidR="00651EFF">
        <w:rPr>
          <w:rFonts w:ascii="Arial" w:eastAsiaTheme="minorHAnsi" w:hAnsi="Arial"/>
          <w:bCs/>
          <w:lang w:val="en-US"/>
        </w:rPr>
        <w:instrText xml:space="preserve"> ADDIN EN.CITE &lt;EndNote&gt;&lt;Cite&gt;&lt;Author&gt;Hillam&lt;/Author&gt;&lt;Year&gt;1995&lt;/Year&gt;&lt;RecNum&gt;103&lt;/RecNum&gt;&lt;DisplayText&gt;(Hillam and Skerry, 1995)&lt;/DisplayText&gt;&lt;record&gt;&lt;rec-number&gt;103&lt;/rec-number&gt;&lt;foreign-keys&gt;&lt;key app="EN" db-id="ae9rewfrpdttrheppfxxv0p4950wpd25r09x" timestamp="1520657867"&gt;103&lt;/key&gt;&lt;/foreign-keys&gt;&lt;ref-type name="Journal Article"&gt;17&lt;/ref-type&gt;&lt;contributors&gt;&lt;authors&gt;&lt;author&gt;Hillam, R. A.&lt;/author&gt;&lt;author&gt;Skerry, T. M. &lt;/author&gt;&lt;/authors&gt;&lt;/contributors&gt;&lt;titles&gt;&lt;title&gt;Inhibition of bone resorption and stimulation of formation by mechanical loading of the modeling rat ulna in vivo.&lt;/title&gt;&lt;secondary-title&gt;Journal of  Bone and Mineral Research&lt;/secondary-title&gt;&lt;/titles&gt;&lt;periodical&gt;&lt;full-title&gt;Journal of  Bone and Mineral Research&lt;/full-title&gt;&lt;/periodical&gt;&lt;pages&gt;683-9&lt;/pages&gt;&lt;volume&gt;10(5)&lt;/volume&gt;&lt;dates&gt;&lt;year&gt;1995&lt;/year&gt;&lt;/dates&gt;&lt;urls&gt;&lt;/urls&gt;&lt;/record&gt;&lt;/Cite&gt;&lt;/EndNote&gt;</w:instrText>
      </w:r>
      <w:r w:rsidR="00A0409D" w:rsidRPr="00E1140B">
        <w:rPr>
          <w:rFonts w:ascii="Arial" w:eastAsiaTheme="minorHAnsi" w:hAnsi="Arial"/>
          <w:bCs/>
          <w:lang w:val="en-US"/>
        </w:rPr>
        <w:fldChar w:fldCharType="separate"/>
      </w:r>
      <w:r w:rsidR="00A0409D" w:rsidRPr="00E1140B">
        <w:rPr>
          <w:rFonts w:ascii="Arial" w:eastAsiaTheme="minorHAnsi" w:hAnsi="Arial"/>
          <w:bCs/>
          <w:noProof/>
          <w:lang w:val="en-US"/>
        </w:rPr>
        <w:t>(Hillam and Skerry, 1995)</w:t>
      </w:r>
      <w:r w:rsidR="00A0409D" w:rsidRPr="00E1140B">
        <w:rPr>
          <w:rFonts w:ascii="Arial" w:eastAsiaTheme="minorHAnsi" w:hAnsi="Arial"/>
          <w:bCs/>
          <w:lang w:val="en-US"/>
        </w:rPr>
        <w:fldChar w:fldCharType="end"/>
      </w:r>
      <w:r w:rsidR="00A0409D" w:rsidRPr="00E1140B">
        <w:rPr>
          <w:rFonts w:ascii="Arial" w:eastAsiaTheme="minorHAnsi" w:hAnsi="Arial"/>
          <w:bCs/>
          <w:lang w:val="en-US"/>
        </w:rPr>
        <w:t xml:space="preserve">. </w:t>
      </w:r>
      <w:r w:rsidR="00A0409D">
        <w:rPr>
          <w:rFonts w:ascii="Arial" w:eastAsiaTheme="minorHAnsi" w:hAnsi="Arial"/>
          <w:bCs/>
          <w:lang w:val="en-US"/>
        </w:rPr>
        <w:t xml:space="preserve">Mice were culled and responses of bones to loading were determined by </w:t>
      </w:r>
      <w:r w:rsidR="00A0409D" w:rsidRPr="00AA7001">
        <w:rPr>
          <w:rFonts w:ascii="Arial" w:hAnsi="Arial" w:cs="Arial"/>
          <w:color w:val="000000" w:themeColor="text1"/>
        </w:rPr>
        <w:sym w:font="Symbol" w:char="F06D"/>
      </w:r>
      <w:r w:rsidR="00A0409D">
        <w:rPr>
          <w:rFonts w:ascii="Arial" w:eastAsiaTheme="minorHAnsi" w:hAnsi="Arial"/>
          <w:bCs/>
          <w:lang w:val="en-US"/>
        </w:rPr>
        <w:t xml:space="preserve">CT. </w:t>
      </w:r>
    </w:p>
    <w:p w14:paraId="35768DE9" w14:textId="77777777" w:rsidR="00FE132B" w:rsidRDefault="00FE132B" w:rsidP="00A0409D">
      <w:pPr>
        <w:spacing w:line="480" w:lineRule="auto"/>
        <w:jc w:val="both"/>
        <w:rPr>
          <w:rFonts w:ascii="Arial" w:eastAsiaTheme="minorHAnsi" w:hAnsi="Arial"/>
          <w:bCs/>
          <w:lang w:val="en-US"/>
        </w:rPr>
      </w:pPr>
    </w:p>
    <w:p w14:paraId="202EEC54" w14:textId="77777777" w:rsidR="00A0409D" w:rsidRPr="000A746C" w:rsidRDefault="00A0409D" w:rsidP="00A0409D">
      <w:pPr>
        <w:spacing w:line="480" w:lineRule="auto"/>
        <w:jc w:val="both"/>
        <w:rPr>
          <w:rFonts w:ascii="Arial" w:eastAsiaTheme="minorHAnsi" w:hAnsi="Arial"/>
          <w:bCs/>
          <w:lang w:val="en-US"/>
        </w:rPr>
      </w:pPr>
      <w:r w:rsidRPr="009C6C23">
        <w:rPr>
          <w:rFonts w:ascii="Arial" w:eastAsiaTheme="minorHAnsi" w:hAnsi="Arial" w:cs="Arial"/>
          <w:bCs/>
          <w:lang w:val="en-US"/>
        </w:rPr>
        <w:t>The lengths of right and left tibiae of all the mice were also measured following dissections</w:t>
      </w:r>
      <w:r w:rsidR="000A746C" w:rsidRPr="000A746C">
        <w:rPr>
          <w:rFonts w:ascii="Arial" w:eastAsiaTheme="minorHAnsi" w:hAnsi="Arial"/>
          <w:bCs/>
          <w:lang w:val="en-US"/>
        </w:rPr>
        <w:t xml:space="preserve"> </w:t>
      </w:r>
      <w:r w:rsidR="000A746C">
        <w:rPr>
          <w:rFonts w:ascii="Arial" w:eastAsiaTheme="minorHAnsi" w:hAnsi="Arial"/>
          <w:bCs/>
          <w:lang w:val="en-US"/>
        </w:rPr>
        <w:t xml:space="preserve">at the end of the experiment using </w:t>
      </w:r>
      <w:r w:rsidR="000A746C" w:rsidRPr="00AA7001">
        <w:rPr>
          <w:rFonts w:ascii="Arial" w:hAnsi="Arial" w:cs="Arial"/>
          <w:color w:val="000000" w:themeColor="text1"/>
        </w:rPr>
        <w:sym w:font="Symbol" w:char="F06D"/>
      </w:r>
      <w:r w:rsidR="000A746C">
        <w:rPr>
          <w:rFonts w:ascii="Arial" w:eastAsiaTheme="minorHAnsi" w:hAnsi="Arial"/>
          <w:bCs/>
          <w:lang w:val="en-US"/>
        </w:rPr>
        <w:t>CT</w:t>
      </w:r>
      <w:r w:rsidRPr="009C6C23">
        <w:rPr>
          <w:rFonts w:ascii="Arial" w:eastAsiaTheme="minorHAnsi" w:hAnsi="Arial" w:cs="Arial"/>
          <w:bCs/>
          <w:lang w:val="en-US"/>
        </w:rPr>
        <w:t>.</w:t>
      </w:r>
      <w:r w:rsidR="00FE132B" w:rsidRPr="009C6C23">
        <w:rPr>
          <w:rFonts w:ascii="Arial" w:eastAsiaTheme="minorHAnsi" w:hAnsi="Arial" w:cs="Arial"/>
          <w:bCs/>
          <w:lang w:val="en-US"/>
        </w:rPr>
        <w:t xml:space="preserve"> </w:t>
      </w:r>
      <w:r w:rsidRPr="009C6C23">
        <w:rPr>
          <w:rFonts w:ascii="Arial" w:eastAsiaTheme="minorHAnsi" w:hAnsi="Arial" w:cs="Arial"/>
          <w:bCs/>
          <w:lang w:val="en-US"/>
        </w:rPr>
        <w:t>The lengths of loaded right and unloaded left tibiae were not significantly different within or between the groups of fasted and ad</w:t>
      </w:r>
      <w:r w:rsidR="00FE132B" w:rsidRPr="009C6C23">
        <w:rPr>
          <w:rFonts w:ascii="Arial" w:eastAsiaTheme="minorHAnsi" w:hAnsi="Arial" w:cs="Arial"/>
          <w:bCs/>
          <w:lang w:val="en-US"/>
        </w:rPr>
        <w:t xml:space="preserve">-lib fed mice </w:t>
      </w:r>
      <w:r w:rsidR="000A746C">
        <w:rPr>
          <w:rFonts w:ascii="Arial" w:eastAsiaTheme="minorHAnsi" w:hAnsi="Arial"/>
          <w:bCs/>
          <w:lang w:val="en-US"/>
        </w:rPr>
        <w:t>(ad-lib fed 17.7</w:t>
      </w:r>
      <w:r w:rsidR="000A746C" w:rsidRPr="00E1140B">
        <w:rPr>
          <w:rFonts w:ascii="Arial" w:eastAsia="MS Gothic" w:hAnsi="Arial" w:cs="Arial"/>
          <w:color w:val="000000"/>
        </w:rPr>
        <w:t>±</w:t>
      </w:r>
      <w:r w:rsidR="000A746C">
        <w:rPr>
          <w:rFonts w:ascii="Arial" w:eastAsia="MS Gothic" w:hAnsi="Arial" w:cs="Arial"/>
          <w:color w:val="000000"/>
        </w:rPr>
        <w:t>0.1mm versus 17.8</w:t>
      </w:r>
      <w:r w:rsidR="000A746C" w:rsidRPr="00E1140B">
        <w:rPr>
          <w:rFonts w:ascii="Arial" w:eastAsia="MS Gothic" w:hAnsi="Arial" w:cs="Arial"/>
          <w:color w:val="000000"/>
        </w:rPr>
        <w:t>±</w:t>
      </w:r>
      <w:r w:rsidR="000A746C">
        <w:rPr>
          <w:rFonts w:ascii="Arial" w:eastAsia="MS Gothic" w:hAnsi="Arial" w:cs="Arial"/>
          <w:color w:val="000000"/>
        </w:rPr>
        <w:t>0.08mm; fasted 17.9</w:t>
      </w:r>
      <w:r w:rsidR="000A746C" w:rsidRPr="00E1140B">
        <w:rPr>
          <w:rFonts w:ascii="Arial" w:eastAsia="MS Gothic" w:hAnsi="Arial" w:cs="Arial"/>
          <w:color w:val="000000"/>
        </w:rPr>
        <w:t>±</w:t>
      </w:r>
      <w:r w:rsidR="000A746C">
        <w:rPr>
          <w:rFonts w:ascii="Arial" w:eastAsia="MS Gothic" w:hAnsi="Arial" w:cs="Arial"/>
          <w:color w:val="000000"/>
        </w:rPr>
        <w:t>0.03mm versus 18.1</w:t>
      </w:r>
      <w:r w:rsidR="000A746C" w:rsidRPr="00E1140B">
        <w:rPr>
          <w:rFonts w:ascii="Arial" w:eastAsia="MS Gothic" w:hAnsi="Arial" w:cs="Arial"/>
          <w:color w:val="000000"/>
        </w:rPr>
        <w:t>±</w:t>
      </w:r>
      <w:r w:rsidR="000A746C">
        <w:rPr>
          <w:rFonts w:ascii="Arial" w:eastAsia="MS Gothic" w:hAnsi="Arial" w:cs="Arial"/>
          <w:color w:val="000000"/>
        </w:rPr>
        <w:t xml:space="preserve">0.06mm </w:t>
      </w:r>
      <w:r w:rsidR="000A746C">
        <w:rPr>
          <w:rFonts w:ascii="Arial" w:eastAsiaTheme="minorHAnsi" w:hAnsi="Arial"/>
          <w:bCs/>
          <w:lang w:val="en-US"/>
        </w:rPr>
        <w:t xml:space="preserve">p&gt;0.05), </w:t>
      </w:r>
      <w:r w:rsidR="00FE132B" w:rsidRPr="009C6C23">
        <w:rPr>
          <w:rFonts w:ascii="Arial" w:eastAsiaTheme="minorHAnsi" w:hAnsi="Arial" w:cs="Arial"/>
          <w:bCs/>
          <w:lang w:val="en-US"/>
        </w:rPr>
        <w:t>Figure 21</w:t>
      </w:r>
      <w:r w:rsidRPr="009C6C23">
        <w:rPr>
          <w:rFonts w:ascii="Arial" w:eastAsiaTheme="minorHAnsi" w:hAnsi="Arial" w:cs="Arial"/>
          <w:bCs/>
          <w:lang w:val="en-US"/>
        </w:rPr>
        <w:t xml:space="preserve">. </w:t>
      </w:r>
    </w:p>
    <w:p w14:paraId="432D0D56" w14:textId="77777777" w:rsidR="000A746C" w:rsidRDefault="000A746C" w:rsidP="005C5698">
      <w:pPr>
        <w:spacing w:line="480" w:lineRule="auto"/>
        <w:jc w:val="both"/>
        <w:rPr>
          <w:rFonts w:ascii="Arial" w:hAnsi="Arial" w:cs="Arial"/>
        </w:rPr>
      </w:pPr>
    </w:p>
    <w:p w14:paraId="32656646" w14:textId="77777777" w:rsidR="00E017D4" w:rsidRDefault="005C5698" w:rsidP="005C5698">
      <w:pPr>
        <w:spacing w:line="480" w:lineRule="auto"/>
        <w:jc w:val="both"/>
        <w:rPr>
          <w:rFonts w:ascii="Arial" w:hAnsi="Arial" w:cs="Arial"/>
          <w:noProof/>
          <w:color w:val="000000" w:themeColor="text1"/>
        </w:rPr>
      </w:pPr>
      <w:r w:rsidRPr="009C6C23">
        <w:rPr>
          <w:rFonts w:ascii="Arial" w:hAnsi="Arial" w:cs="Arial"/>
          <w:bCs/>
          <w:lang w:val="en-US"/>
        </w:rPr>
        <w:lastRenderedPageBreak/>
        <w:t xml:space="preserve">Mechanical loading caused significant adaptive responses in the loaded right tibiae of mice compared with the unloaded left tibiae. </w:t>
      </w:r>
      <w:r w:rsidRPr="005C5698">
        <w:rPr>
          <w:rFonts w:ascii="Arial" w:hAnsi="Arial" w:cs="Arial"/>
          <w:noProof/>
          <w:color w:val="000000" w:themeColor="text1"/>
        </w:rPr>
        <w:t xml:space="preserve">The cortical </w:t>
      </w:r>
      <w:r>
        <w:rPr>
          <w:rFonts w:ascii="Arial" w:hAnsi="Arial" w:cs="Arial"/>
          <w:noProof/>
          <w:color w:val="000000" w:themeColor="text1"/>
        </w:rPr>
        <w:t xml:space="preserve">bone </w:t>
      </w:r>
      <w:r w:rsidRPr="005C5698">
        <w:rPr>
          <w:rFonts w:ascii="Arial" w:hAnsi="Arial" w:cs="Arial"/>
          <w:noProof/>
          <w:color w:val="000000" w:themeColor="text1"/>
        </w:rPr>
        <w:t>thickness of loaded right tibiae of fasted m</w:t>
      </w:r>
      <w:r w:rsidR="004276F4">
        <w:rPr>
          <w:rFonts w:ascii="Arial" w:hAnsi="Arial" w:cs="Arial"/>
          <w:noProof/>
          <w:color w:val="000000" w:themeColor="text1"/>
        </w:rPr>
        <w:t>ice significantly increased by 10</w:t>
      </w:r>
      <w:r w:rsidRPr="005C5698">
        <w:rPr>
          <w:rFonts w:ascii="Arial" w:hAnsi="Arial" w:cs="Arial"/>
          <w:noProof/>
          <w:color w:val="000000" w:themeColor="text1"/>
        </w:rPr>
        <w:t>% compared with the cortical thickness of the unloaded left tibiae of those mice, whereas the cortical thickness of right tibiae of ad-lib fed mice</w:t>
      </w:r>
      <w:r w:rsidR="004276F4">
        <w:rPr>
          <w:rFonts w:ascii="Arial" w:hAnsi="Arial" w:cs="Arial"/>
          <w:noProof/>
          <w:color w:val="000000" w:themeColor="text1"/>
        </w:rPr>
        <w:t xml:space="preserve"> siginificantly increased by 9.5</w:t>
      </w:r>
      <w:r w:rsidRPr="005C5698">
        <w:rPr>
          <w:rFonts w:ascii="Arial" w:hAnsi="Arial" w:cs="Arial"/>
          <w:noProof/>
          <w:color w:val="000000" w:themeColor="text1"/>
        </w:rPr>
        <w:t xml:space="preserve">% compared with that of unloaded left controls. </w:t>
      </w:r>
      <w:r w:rsidRPr="005C5698">
        <w:rPr>
          <w:rFonts w:ascii="Arial" w:hAnsi="Arial" w:cs="Arial"/>
          <w:noProof/>
          <w:color w:val="000000" w:themeColor="text1"/>
          <w:lang w:val="en-US"/>
        </w:rPr>
        <w:t>There were no significant differences in cortical bone thicknesses of the loaded right tibiae between the fed mice and those fasted overnight before the loading.</w:t>
      </w:r>
      <w:r w:rsidRPr="005C5698">
        <w:rPr>
          <w:rFonts w:ascii="Arial" w:hAnsi="Arial" w:cs="Arial"/>
          <w:noProof/>
          <w:color w:val="000000" w:themeColor="text1"/>
        </w:rPr>
        <w:t xml:space="preserve"> </w:t>
      </w:r>
    </w:p>
    <w:p w14:paraId="77115096" w14:textId="77777777" w:rsidR="00E017D4" w:rsidRDefault="00E017D4" w:rsidP="005C5698">
      <w:pPr>
        <w:spacing w:line="480" w:lineRule="auto"/>
        <w:jc w:val="both"/>
        <w:rPr>
          <w:rFonts w:ascii="Arial" w:hAnsi="Arial" w:cs="Arial"/>
          <w:noProof/>
          <w:color w:val="000000" w:themeColor="text1"/>
        </w:rPr>
      </w:pPr>
    </w:p>
    <w:p w14:paraId="6E4D7D6E" w14:textId="77777777" w:rsidR="005C5698" w:rsidRPr="00E017D4" w:rsidRDefault="005C5698" w:rsidP="005C5698">
      <w:pPr>
        <w:spacing w:line="480" w:lineRule="auto"/>
        <w:jc w:val="both"/>
        <w:rPr>
          <w:rFonts w:ascii="Arial" w:hAnsi="Arial" w:cs="Arial"/>
          <w:noProof/>
          <w:color w:val="000000" w:themeColor="text1"/>
        </w:rPr>
      </w:pPr>
      <w:r w:rsidRPr="005C5698">
        <w:rPr>
          <w:rFonts w:ascii="Arial" w:hAnsi="Arial" w:cs="Arial"/>
          <w:bCs/>
          <w:lang w:val="en-US"/>
        </w:rPr>
        <w:t>In fasted mice Ct.Th of the right tibiae compared with the left ones increased by 0.23</w:t>
      </w:r>
      <w:r w:rsidRPr="005C5698">
        <w:rPr>
          <w:rFonts w:ascii="Arial" w:eastAsia="MS Gothic" w:hAnsi="Arial" w:cs="Arial"/>
          <w:color w:val="000000"/>
        </w:rPr>
        <w:t>±</w:t>
      </w:r>
      <w:r w:rsidRPr="005C5698">
        <w:rPr>
          <w:rFonts w:ascii="Arial" w:hAnsi="Arial" w:cs="Arial"/>
          <w:bCs/>
          <w:lang w:val="en-US"/>
        </w:rPr>
        <w:t xml:space="preserve">0.003mm </w:t>
      </w:r>
      <w:r w:rsidRPr="005C5698">
        <w:rPr>
          <w:rFonts w:ascii="Arial" w:hAnsi="Arial" w:cs="Arial"/>
        </w:rPr>
        <w:t>versus</w:t>
      </w:r>
      <w:r w:rsidRPr="005C5698">
        <w:rPr>
          <w:rFonts w:ascii="Arial" w:hAnsi="Arial" w:cs="Arial"/>
          <w:bCs/>
          <w:lang w:val="en-US"/>
        </w:rPr>
        <w:t xml:space="preserve"> 0.21</w:t>
      </w:r>
      <w:r w:rsidRPr="005C5698">
        <w:rPr>
          <w:rFonts w:ascii="Arial" w:eastAsia="MS Gothic" w:hAnsi="Arial" w:cs="Arial"/>
          <w:color w:val="000000"/>
        </w:rPr>
        <w:t>±</w:t>
      </w:r>
      <w:r w:rsidRPr="005C5698">
        <w:rPr>
          <w:rFonts w:ascii="Arial" w:hAnsi="Arial" w:cs="Arial"/>
          <w:bCs/>
          <w:lang w:val="en-US"/>
        </w:rPr>
        <w:t>0.003mm (p&lt;0.05)</w:t>
      </w:r>
      <w:r w:rsidR="000A746C">
        <w:rPr>
          <w:rFonts w:ascii="Arial" w:hAnsi="Arial" w:cs="Arial"/>
          <w:bCs/>
          <w:lang w:val="en-US"/>
        </w:rPr>
        <w:t>,</w:t>
      </w:r>
      <w:r w:rsidRPr="005C5698">
        <w:rPr>
          <w:rFonts w:ascii="Arial" w:hAnsi="Arial" w:cs="Arial"/>
          <w:bCs/>
          <w:lang w:val="en-US"/>
        </w:rPr>
        <w:t xml:space="preserve"> whereas in ad-lib fed mice increase in cortical thickness of the right tibiae compared with the left tibiae was by 0.23</w:t>
      </w:r>
      <w:r w:rsidRPr="005C5698">
        <w:rPr>
          <w:rFonts w:ascii="Arial" w:eastAsia="MS Gothic" w:hAnsi="Arial" w:cs="Arial"/>
          <w:color w:val="000000"/>
        </w:rPr>
        <w:t>±</w:t>
      </w:r>
      <w:r w:rsidRPr="005C5698">
        <w:rPr>
          <w:rFonts w:ascii="Arial" w:hAnsi="Arial" w:cs="Arial"/>
          <w:bCs/>
          <w:lang w:val="en-US"/>
        </w:rPr>
        <w:t xml:space="preserve">0.004mm </w:t>
      </w:r>
      <w:r w:rsidRPr="005C5698">
        <w:rPr>
          <w:rFonts w:ascii="Arial" w:hAnsi="Arial" w:cs="Arial"/>
        </w:rPr>
        <w:t>versus</w:t>
      </w:r>
      <w:r w:rsidRPr="005C5698">
        <w:rPr>
          <w:rFonts w:ascii="Arial" w:hAnsi="Arial" w:cs="Arial"/>
          <w:bCs/>
          <w:lang w:val="en-US"/>
        </w:rPr>
        <w:t xml:space="preserve"> 0.21</w:t>
      </w:r>
      <w:r w:rsidRPr="005C5698">
        <w:rPr>
          <w:rFonts w:ascii="Arial" w:eastAsia="MS Gothic" w:hAnsi="Arial" w:cs="Arial"/>
          <w:color w:val="000000"/>
        </w:rPr>
        <w:t>±</w:t>
      </w:r>
      <w:r w:rsidR="00B67C2F">
        <w:rPr>
          <w:rFonts w:ascii="Arial" w:hAnsi="Arial" w:cs="Arial"/>
          <w:bCs/>
          <w:lang w:val="en-US"/>
        </w:rPr>
        <w:t>0.006mm (p&lt;0.05), Figure 22</w:t>
      </w:r>
      <w:r w:rsidRPr="005C5698">
        <w:rPr>
          <w:rFonts w:ascii="Arial" w:hAnsi="Arial" w:cs="Arial"/>
          <w:bCs/>
          <w:lang w:val="en-US"/>
        </w:rPr>
        <w:t>D. There were no significant differences in other cortical bone parameters including cortical bone area, tissue area and marrow area (</w:t>
      </w:r>
      <w:r w:rsidRPr="005C5698">
        <w:rPr>
          <w:rFonts w:ascii="Arial" w:hAnsi="Arial" w:cs="Arial"/>
          <w:color w:val="000000" w:themeColor="text1"/>
        </w:rPr>
        <w:t xml:space="preserve">Ct.Ar, Tt.Ar and Ma.Ar) </w:t>
      </w:r>
      <w:r w:rsidRPr="005C5698">
        <w:rPr>
          <w:rFonts w:ascii="Arial" w:hAnsi="Arial" w:cs="Arial"/>
          <w:bCs/>
          <w:lang w:val="en-US"/>
        </w:rPr>
        <w:t>within and between the experi</w:t>
      </w:r>
      <w:r w:rsidR="00B345D6">
        <w:rPr>
          <w:rFonts w:ascii="Arial" w:hAnsi="Arial" w:cs="Arial"/>
          <w:bCs/>
          <w:lang w:val="en-US"/>
        </w:rPr>
        <w:t>mental groups (p&gt;0.05), Figure 22</w:t>
      </w:r>
      <w:r w:rsidRPr="005C5698">
        <w:rPr>
          <w:rFonts w:ascii="Arial" w:hAnsi="Arial" w:cs="Arial"/>
          <w:bCs/>
          <w:lang w:val="en-US"/>
        </w:rPr>
        <w:t>A-C.</w:t>
      </w:r>
    </w:p>
    <w:p w14:paraId="2DD1D761" w14:textId="77777777" w:rsidR="00A0409D" w:rsidRDefault="00A0409D" w:rsidP="00A0409D">
      <w:pPr>
        <w:spacing w:line="480" w:lineRule="auto"/>
        <w:jc w:val="both"/>
        <w:rPr>
          <w:rFonts w:ascii="Arial" w:hAnsi="Arial"/>
          <w:bCs/>
          <w:lang w:val="en-US"/>
        </w:rPr>
      </w:pPr>
    </w:p>
    <w:p w14:paraId="664065CC" w14:textId="77777777" w:rsidR="00FE132B" w:rsidRDefault="00A0409D" w:rsidP="00FE132B">
      <w:pPr>
        <w:keepNext/>
        <w:tabs>
          <w:tab w:val="left" w:pos="1776"/>
        </w:tabs>
        <w:spacing w:line="480" w:lineRule="auto"/>
        <w:jc w:val="both"/>
      </w:pPr>
      <w:r>
        <w:rPr>
          <w:rFonts w:ascii="Arial" w:hAnsi="Arial"/>
          <w:bCs/>
          <w:lang w:val="en-US"/>
        </w:rPr>
        <w:tab/>
      </w:r>
      <w:r w:rsidR="0054375B">
        <w:rPr>
          <w:rFonts w:ascii="Arial" w:hAnsi="Arial"/>
          <w:bCs/>
          <w:lang w:val="en-US"/>
        </w:rPr>
        <w:t xml:space="preserve">  </w:t>
      </w:r>
      <w:r w:rsidR="00FE132B">
        <w:rPr>
          <w:rFonts w:ascii="Arial" w:hAnsi="Arial"/>
          <w:bCs/>
          <w:lang w:val="en-US"/>
        </w:rPr>
        <w:t xml:space="preserve"> </w:t>
      </w:r>
      <w:r>
        <w:rPr>
          <w:rFonts w:ascii="Arial" w:hAnsi="Arial"/>
          <w:bCs/>
          <w:noProof/>
          <w:lang w:val="en-US"/>
        </w:rPr>
        <w:drawing>
          <wp:inline distT="0" distB="0" distL="0" distR="0" wp14:anchorId="4C37C693" wp14:editId="12C9C44E">
            <wp:extent cx="3971290" cy="2512874"/>
            <wp:effectExtent l="0" t="0" r="0" b="1905"/>
            <wp:docPr id="4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72559" cy="2513677"/>
                    </a:xfrm>
                    <a:prstGeom prst="rect">
                      <a:avLst/>
                    </a:prstGeom>
                    <a:noFill/>
                    <a:ln>
                      <a:noFill/>
                    </a:ln>
                  </pic:spPr>
                </pic:pic>
              </a:graphicData>
            </a:graphic>
          </wp:inline>
        </w:drawing>
      </w:r>
    </w:p>
    <w:p w14:paraId="4F8E40D7" w14:textId="77777777" w:rsidR="00A0409D" w:rsidRPr="00FE132B" w:rsidRDefault="00FE132B" w:rsidP="00FE132B">
      <w:pPr>
        <w:pStyle w:val="Caption"/>
        <w:spacing w:line="360" w:lineRule="auto"/>
        <w:jc w:val="both"/>
        <w:rPr>
          <w:rFonts w:ascii="Arial" w:hAnsi="Arial" w:cs="Arial"/>
          <w:bCs w:val="0"/>
          <w:color w:val="244061" w:themeColor="accent1" w:themeShade="80"/>
          <w:sz w:val="24"/>
          <w:szCs w:val="24"/>
          <w:lang w:val="en-US"/>
        </w:rPr>
      </w:pPr>
      <w:bookmarkStart w:id="75" w:name="_Toc383544612"/>
      <w:r w:rsidRPr="00FE132B">
        <w:rPr>
          <w:rFonts w:ascii="Arial" w:hAnsi="Arial" w:cs="Arial"/>
          <w:color w:val="244061" w:themeColor="accent1" w:themeShade="80"/>
          <w:sz w:val="24"/>
          <w:szCs w:val="24"/>
        </w:rPr>
        <w:t xml:space="preserve">Figure </w:t>
      </w:r>
      <w:r w:rsidRPr="00FE132B">
        <w:rPr>
          <w:rFonts w:ascii="Arial" w:hAnsi="Arial" w:cs="Arial"/>
          <w:color w:val="244061" w:themeColor="accent1" w:themeShade="80"/>
          <w:sz w:val="24"/>
          <w:szCs w:val="24"/>
        </w:rPr>
        <w:fldChar w:fldCharType="begin"/>
      </w:r>
      <w:r w:rsidRPr="00FE132B">
        <w:rPr>
          <w:rFonts w:ascii="Arial" w:hAnsi="Arial" w:cs="Arial"/>
          <w:color w:val="244061" w:themeColor="accent1" w:themeShade="80"/>
          <w:sz w:val="24"/>
          <w:szCs w:val="24"/>
        </w:rPr>
        <w:instrText xml:space="preserve"> SEQ Figure \* ARABIC </w:instrText>
      </w:r>
      <w:r w:rsidRPr="00FE132B">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21</w:t>
      </w:r>
      <w:r w:rsidRPr="00FE132B">
        <w:rPr>
          <w:rFonts w:ascii="Arial" w:hAnsi="Arial" w:cs="Arial"/>
          <w:color w:val="244061" w:themeColor="accent1" w:themeShade="80"/>
          <w:sz w:val="24"/>
          <w:szCs w:val="24"/>
        </w:rPr>
        <w:fldChar w:fldCharType="end"/>
      </w:r>
      <w:r w:rsidRPr="00FE132B">
        <w:rPr>
          <w:rFonts w:ascii="Arial" w:hAnsi="Arial" w:cs="Arial"/>
          <w:color w:val="244061" w:themeColor="accent1" w:themeShade="80"/>
          <w:sz w:val="24"/>
          <w:szCs w:val="24"/>
        </w:rPr>
        <w:t xml:space="preserve"> </w:t>
      </w:r>
      <w:r w:rsidR="00A0409D" w:rsidRPr="00FE132B">
        <w:rPr>
          <w:rFonts w:ascii="Arial" w:hAnsi="Arial" w:cs="Arial"/>
          <w:color w:val="244061" w:themeColor="accent1" w:themeShade="80"/>
          <w:sz w:val="24"/>
          <w:szCs w:val="24"/>
        </w:rPr>
        <w:t>Tibial length</w:t>
      </w:r>
      <w:r w:rsidR="00372BE3">
        <w:rPr>
          <w:rFonts w:ascii="Arial" w:hAnsi="Arial" w:cs="Arial"/>
          <w:color w:val="244061" w:themeColor="accent1" w:themeShade="80"/>
          <w:sz w:val="24"/>
          <w:szCs w:val="24"/>
        </w:rPr>
        <w:t>s</w:t>
      </w:r>
      <w:r w:rsidR="00A0409D" w:rsidRPr="00FE132B">
        <w:rPr>
          <w:rFonts w:ascii="Arial" w:hAnsi="Arial" w:cs="Arial"/>
          <w:color w:val="244061" w:themeColor="accent1" w:themeShade="80"/>
          <w:sz w:val="24"/>
          <w:szCs w:val="24"/>
        </w:rPr>
        <w:t xml:space="preserve"> of ad-lib fed or</w:t>
      </w:r>
      <w:r w:rsidR="006D0916">
        <w:rPr>
          <w:rFonts w:ascii="Arial" w:hAnsi="Arial" w:cs="Arial"/>
          <w:color w:val="244061" w:themeColor="accent1" w:themeShade="80"/>
          <w:sz w:val="24"/>
          <w:szCs w:val="24"/>
        </w:rPr>
        <w:t xml:space="preserve"> overnight fasted young male C57</w:t>
      </w:r>
      <w:r w:rsidR="00A0409D" w:rsidRPr="00FE132B">
        <w:rPr>
          <w:rFonts w:ascii="Arial" w:hAnsi="Arial" w:cs="Arial"/>
          <w:color w:val="244061" w:themeColor="accent1" w:themeShade="80"/>
          <w:sz w:val="24"/>
          <w:szCs w:val="24"/>
        </w:rPr>
        <w:t>BL/6 mice</w:t>
      </w:r>
      <w:bookmarkEnd w:id="75"/>
      <w:r w:rsidR="00A0409D" w:rsidRPr="00FE132B">
        <w:rPr>
          <w:rFonts w:ascii="Arial" w:hAnsi="Arial" w:cs="Arial"/>
          <w:color w:val="244061" w:themeColor="accent1" w:themeShade="80"/>
          <w:sz w:val="24"/>
          <w:szCs w:val="24"/>
        </w:rPr>
        <w:t xml:space="preserve"> </w:t>
      </w:r>
    </w:p>
    <w:p w14:paraId="1F5A4A01" w14:textId="77777777" w:rsidR="00A0409D" w:rsidRDefault="00A0409D" w:rsidP="00A0409D">
      <w:pPr>
        <w:spacing w:line="360" w:lineRule="auto"/>
        <w:jc w:val="both"/>
        <w:rPr>
          <w:rFonts w:ascii="Arial" w:eastAsiaTheme="minorHAnsi" w:hAnsi="Arial" w:cs="Arial"/>
          <w:sz w:val="22"/>
          <w:szCs w:val="22"/>
          <w:lang w:val="en-US"/>
        </w:rPr>
      </w:pPr>
      <w:r w:rsidRPr="00605059">
        <w:rPr>
          <w:rFonts w:ascii="Arial" w:hAnsi="Arial"/>
          <w:sz w:val="22"/>
          <w:szCs w:val="22"/>
        </w:rPr>
        <w:t xml:space="preserve">The effect of mechanical loading </w:t>
      </w:r>
      <w:r>
        <w:rPr>
          <w:rFonts w:ascii="Arial" w:hAnsi="Arial"/>
          <w:sz w:val="22"/>
          <w:szCs w:val="22"/>
        </w:rPr>
        <w:t xml:space="preserve">and overnight fast </w:t>
      </w:r>
      <w:r w:rsidRPr="00605059">
        <w:rPr>
          <w:rFonts w:ascii="Arial" w:hAnsi="Arial"/>
          <w:sz w:val="22"/>
          <w:szCs w:val="22"/>
        </w:rPr>
        <w:t xml:space="preserve">on </w:t>
      </w:r>
      <w:r>
        <w:rPr>
          <w:rFonts w:ascii="Arial" w:hAnsi="Arial"/>
          <w:sz w:val="22"/>
          <w:szCs w:val="22"/>
        </w:rPr>
        <w:t xml:space="preserve">left control and right loaded tibial length. </w:t>
      </w:r>
      <w:r w:rsidRPr="008A1D6D">
        <w:rPr>
          <w:rFonts w:ascii="Arial" w:eastAsiaTheme="minorHAnsi" w:hAnsi="Arial"/>
          <w:bCs/>
          <w:sz w:val="22"/>
          <w:szCs w:val="22"/>
          <w:lang w:val="en-US"/>
        </w:rPr>
        <w:t>The</w:t>
      </w:r>
      <w:r>
        <w:rPr>
          <w:rFonts w:ascii="Arial" w:eastAsiaTheme="minorHAnsi" w:hAnsi="Arial"/>
          <w:bCs/>
          <w:sz w:val="22"/>
          <w:szCs w:val="22"/>
          <w:lang w:val="en-US"/>
        </w:rPr>
        <w:t>re were no significant differences in</w:t>
      </w:r>
      <w:r w:rsidRPr="008A1D6D">
        <w:rPr>
          <w:rFonts w:ascii="Arial" w:eastAsiaTheme="minorHAnsi" w:hAnsi="Arial"/>
          <w:bCs/>
          <w:sz w:val="22"/>
          <w:szCs w:val="22"/>
          <w:lang w:val="en-US"/>
        </w:rPr>
        <w:t xml:space="preserve"> lengths of loaded right and unloaded left tibiae within or between the groups of fasted and ad-lib fed mice</w:t>
      </w:r>
      <w:r>
        <w:rPr>
          <w:rFonts w:ascii="Arial" w:eastAsiaTheme="minorHAnsi" w:hAnsi="Arial"/>
          <w:bCs/>
          <w:sz w:val="22"/>
          <w:szCs w:val="22"/>
          <w:lang w:val="en-US"/>
        </w:rPr>
        <w:t>.</w:t>
      </w:r>
      <w:r w:rsidR="009F34A6">
        <w:rPr>
          <w:rFonts w:ascii="Arial" w:hAnsi="Arial"/>
          <w:sz w:val="22"/>
          <w:szCs w:val="22"/>
        </w:rPr>
        <w:t xml:space="preserve"> </w:t>
      </w:r>
      <w:r>
        <w:rPr>
          <w:rFonts w:ascii="Arial" w:eastAsiaTheme="minorHAnsi" w:hAnsi="Arial" w:cs="Arial"/>
          <w:sz w:val="22"/>
          <w:szCs w:val="22"/>
          <w:lang w:val="en-US"/>
        </w:rPr>
        <w:t>Bars represent mean</w:t>
      </w:r>
      <w:r w:rsidRPr="004D06C6">
        <w:rPr>
          <w:rFonts w:ascii="Arial" w:eastAsia="MS Gothic" w:hAnsi="Arial" w:cs="Arial"/>
          <w:sz w:val="22"/>
          <w:szCs w:val="22"/>
        </w:rPr>
        <w:t>±</w:t>
      </w:r>
      <w:r w:rsidRPr="004D06C6">
        <w:rPr>
          <w:rFonts w:ascii="Arial" w:eastAsiaTheme="minorHAnsi" w:hAnsi="Arial" w:cs="Arial"/>
          <w:sz w:val="22"/>
          <w:szCs w:val="22"/>
          <w:lang w:val="en-US"/>
        </w:rPr>
        <w:t>SE</w:t>
      </w:r>
    </w:p>
    <w:p w14:paraId="65D5D04B" w14:textId="77777777" w:rsidR="00556B8D" w:rsidRPr="009F34A6" w:rsidRDefault="00556B8D" w:rsidP="00A0409D">
      <w:pPr>
        <w:spacing w:line="360" w:lineRule="auto"/>
        <w:jc w:val="both"/>
        <w:rPr>
          <w:rFonts w:ascii="Arial" w:hAnsi="Arial"/>
          <w:sz w:val="22"/>
          <w:szCs w:val="22"/>
        </w:rPr>
      </w:pPr>
    </w:p>
    <w:p w14:paraId="56A4B578" w14:textId="77777777" w:rsidR="00B345D6" w:rsidRPr="00E414B0" w:rsidRDefault="00B345D6" w:rsidP="00DE4251">
      <w:pPr>
        <w:rPr>
          <w:rFonts w:ascii="Arial" w:hAnsi="Arial" w:cs="Arial"/>
        </w:rPr>
      </w:pPr>
    </w:p>
    <w:p w14:paraId="07D2AFD6" w14:textId="77777777" w:rsidR="005C5698" w:rsidRPr="00242A8D" w:rsidRDefault="005C5698" w:rsidP="00204988">
      <w:pPr>
        <w:pStyle w:val="TOCHeading"/>
      </w:pPr>
      <w:r>
        <w:drawing>
          <wp:inline distT="0" distB="0" distL="0" distR="0" wp14:anchorId="617CA213" wp14:editId="0562A685">
            <wp:extent cx="3042139" cy="2856775"/>
            <wp:effectExtent l="0" t="0" r="635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2911" cy="2857500"/>
                    </a:xfrm>
                    <a:prstGeom prst="rect">
                      <a:avLst/>
                    </a:prstGeom>
                    <a:noFill/>
                    <a:ln>
                      <a:noFill/>
                    </a:ln>
                  </pic:spPr>
                </pic:pic>
              </a:graphicData>
            </a:graphic>
          </wp:inline>
        </w:drawing>
      </w:r>
      <w:r>
        <w:drawing>
          <wp:inline distT="0" distB="0" distL="0" distR="0" wp14:anchorId="349AFA35" wp14:editId="387D9E71">
            <wp:extent cx="3045542" cy="249174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7593" cy="2493418"/>
                    </a:xfrm>
                    <a:prstGeom prst="rect">
                      <a:avLst/>
                    </a:prstGeom>
                    <a:noFill/>
                    <a:ln>
                      <a:noFill/>
                    </a:ln>
                  </pic:spPr>
                </pic:pic>
              </a:graphicData>
            </a:graphic>
          </wp:inline>
        </w:drawing>
      </w:r>
    </w:p>
    <w:p w14:paraId="38B06628" w14:textId="77777777" w:rsidR="00B345D6" w:rsidRDefault="005C5698" w:rsidP="00111312">
      <w:pPr>
        <w:pStyle w:val="TOCHeading"/>
        <w:ind w:left="142" w:firstLine="128"/>
      </w:pPr>
      <w:r>
        <w:rPr>
          <w:color w:val="000000" w:themeColor="text1"/>
          <w:sz w:val="24"/>
          <w:szCs w:val="24"/>
        </w:rPr>
        <w:drawing>
          <wp:inline distT="0" distB="0" distL="0" distR="0" wp14:anchorId="46343110" wp14:editId="5B4B0EC0">
            <wp:extent cx="2833942" cy="2656036"/>
            <wp:effectExtent l="0" t="0" r="11430" b="1143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33942" cy="2656036"/>
                    </a:xfrm>
                    <a:prstGeom prst="rect">
                      <a:avLst/>
                    </a:prstGeom>
                    <a:noFill/>
                    <a:ln>
                      <a:noFill/>
                    </a:ln>
                  </pic:spPr>
                </pic:pic>
              </a:graphicData>
            </a:graphic>
          </wp:inline>
        </w:drawing>
      </w:r>
      <w:r w:rsidR="00F662C1">
        <w:drawing>
          <wp:inline distT="0" distB="0" distL="0" distR="0" wp14:anchorId="6981B0B7" wp14:editId="2F655BEF">
            <wp:extent cx="3075039" cy="267716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77227" cy="2679065"/>
                    </a:xfrm>
                    <a:prstGeom prst="rect">
                      <a:avLst/>
                    </a:prstGeom>
                    <a:noFill/>
                    <a:ln>
                      <a:noFill/>
                    </a:ln>
                  </pic:spPr>
                </pic:pic>
              </a:graphicData>
            </a:graphic>
          </wp:inline>
        </w:drawing>
      </w:r>
    </w:p>
    <w:p w14:paraId="624BD5F6" w14:textId="77777777" w:rsidR="00CA5963" w:rsidRDefault="00CA5963" w:rsidP="00B345D6">
      <w:pPr>
        <w:pStyle w:val="Caption"/>
        <w:spacing w:line="360" w:lineRule="auto"/>
        <w:jc w:val="both"/>
        <w:rPr>
          <w:rFonts w:ascii="Arial" w:hAnsi="Arial" w:cs="Arial"/>
          <w:color w:val="244061" w:themeColor="accent1" w:themeShade="80"/>
          <w:sz w:val="24"/>
          <w:szCs w:val="24"/>
        </w:rPr>
      </w:pPr>
      <w:bookmarkStart w:id="76" w:name="_Toc383544613"/>
    </w:p>
    <w:p w14:paraId="125C1882" w14:textId="77777777" w:rsidR="005C5698" w:rsidRPr="00B345D6" w:rsidRDefault="00B345D6" w:rsidP="00B345D6">
      <w:pPr>
        <w:pStyle w:val="Caption"/>
        <w:spacing w:line="360" w:lineRule="auto"/>
        <w:jc w:val="both"/>
        <w:rPr>
          <w:rFonts w:ascii="Arial" w:hAnsi="Arial" w:cs="Arial"/>
          <w:color w:val="244061" w:themeColor="accent1" w:themeShade="80"/>
          <w:sz w:val="24"/>
          <w:szCs w:val="24"/>
        </w:rPr>
      </w:pPr>
      <w:r w:rsidRPr="00B345D6">
        <w:rPr>
          <w:rFonts w:ascii="Arial" w:hAnsi="Arial" w:cs="Arial"/>
          <w:color w:val="244061" w:themeColor="accent1" w:themeShade="80"/>
          <w:sz w:val="24"/>
          <w:szCs w:val="24"/>
        </w:rPr>
        <w:t xml:space="preserve">Figure </w:t>
      </w:r>
      <w:r w:rsidRPr="00B345D6">
        <w:rPr>
          <w:rFonts w:ascii="Arial" w:hAnsi="Arial" w:cs="Arial"/>
          <w:color w:val="244061" w:themeColor="accent1" w:themeShade="80"/>
          <w:sz w:val="24"/>
          <w:szCs w:val="24"/>
        </w:rPr>
        <w:fldChar w:fldCharType="begin"/>
      </w:r>
      <w:r w:rsidRPr="00B345D6">
        <w:rPr>
          <w:rFonts w:ascii="Arial" w:hAnsi="Arial" w:cs="Arial"/>
          <w:color w:val="244061" w:themeColor="accent1" w:themeShade="80"/>
          <w:sz w:val="24"/>
          <w:szCs w:val="24"/>
        </w:rPr>
        <w:instrText xml:space="preserve"> SEQ Figure \* ARABIC </w:instrText>
      </w:r>
      <w:r w:rsidRPr="00B345D6">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22</w:t>
      </w:r>
      <w:r w:rsidRPr="00B345D6">
        <w:rPr>
          <w:rFonts w:ascii="Arial" w:hAnsi="Arial" w:cs="Arial"/>
          <w:color w:val="244061" w:themeColor="accent1" w:themeShade="80"/>
          <w:sz w:val="24"/>
          <w:szCs w:val="24"/>
        </w:rPr>
        <w:fldChar w:fldCharType="end"/>
      </w:r>
      <w:bookmarkStart w:id="77" w:name="_Toc300073354"/>
      <w:r w:rsidRPr="00B345D6">
        <w:rPr>
          <w:rFonts w:ascii="Arial" w:hAnsi="Arial" w:cs="Arial"/>
          <w:color w:val="244061" w:themeColor="accent1" w:themeShade="80"/>
          <w:sz w:val="24"/>
          <w:szCs w:val="24"/>
        </w:rPr>
        <w:t xml:space="preserve"> </w:t>
      </w:r>
      <w:r w:rsidR="005C5698" w:rsidRPr="00B345D6">
        <w:rPr>
          <w:rFonts w:ascii="Arial" w:hAnsi="Arial" w:cs="Arial"/>
          <w:color w:val="244061" w:themeColor="accent1" w:themeShade="80"/>
          <w:sz w:val="24"/>
          <w:szCs w:val="24"/>
        </w:rPr>
        <w:t xml:space="preserve">Cortical bone mass and architecture measured at the mid-shaft region </w:t>
      </w:r>
      <w:bookmarkEnd w:id="77"/>
      <w:r w:rsidR="005C5698" w:rsidRPr="00B345D6">
        <w:rPr>
          <w:rFonts w:ascii="Arial" w:hAnsi="Arial" w:cs="Arial"/>
          <w:color w:val="244061" w:themeColor="accent1" w:themeShade="80"/>
          <w:sz w:val="24"/>
          <w:szCs w:val="24"/>
        </w:rPr>
        <w:t xml:space="preserve">of the </w:t>
      </w:r>
      <w:r w:rsidR="005C5698" w:rsidRPr="00B345D6">
        <w:rPr>
          <w:rFonts w:ascii="Arial" w:eastAsiaTheme="minorHAnsi" w:hAnsi="Arial" w:cs="Arial"/>
          <w:bCs w:val="0"/>
          <w:color w:val="244061" w:themeColor="accent1" w:themeShade="80"/>
          <w:sz w:val="24"/>
          <w:szCs w:val="24"/>
          <w:lang w:val="en-US"/>
        </w:rPr>
        <w:t xml:space="preserve">left non-loaded (control) and </w:t>
      </w:r>
      <w:r w:rsidR="005C5698" w:rsidRPr="00B345D6">
        <w:rPr>
          <w:rFonts w:ascii="Arial" w:hAnsi="Arial" w:cs="Arial"/>
          <w:color w:val="244061" w:themeColor="accent1" w:themeShade="80"/>
          <w:sz w:val="24"/>
          <w:szCs w:val="24"/>
        </w:rPr>
        <w:t xml:space="preserve">right </w:t>
      </w:r>
      <w:r w:rsidR="005C5698" w:rsidRPr="00B345D6">
        <w:rPr>
          <w:rFonts w:ascii="Arial" w:eastAsiaTheme="minorHAnsi" w:hAnsi="Arial" w:cs="Arial"/>
          <w:bCs w:val="0"/>
          <w:color w:val="244061" w:themeColor="accent1" w:themeShade="80"/>
          <w:sz w:val="24"/>
          <w:szCs w:val="24"/>
          <w:lang w:val="en-US"/>
        </w:rPr>
        <w:t>loaded tibiae with 20 cycles of loading regimen of 19-week-old fed (n=7) or overnight fasted (n=7) male mice</w:t>
      </w:r>
      <w:bookmarkEnd w:id="76"/>
      <w:r w:rsidR="005C5698" w:rsidRPr="00B345D6">
        <w:rPr>
          <w:rFonts w:ascii="Arial" w:eastAsiaTheme="minorHAnsi" w:hAnsi="Arial" w:cs="Arial"/>
          <w:bCs w:val="0"/>
          <w:color w:val="244061" w:themeColor="accent1" w:themeShade="80"/>
          <w:sz w:val="24"/>
          <w:szCs w:val="24"/>
          <w:lang w:val="en-US"/>
        </w:rPr>
        <w:t xml:space="preserve"> </w:t>
      </w:r>
    </w:p>
    <w:p w14:paraId="7224FA68" w14:textId="77777777" w:rsidR="005C5698" w:rsidRPr="00B345D6" w:rsidRDefault="005C5698" w:rsidP="00B345D6">
      <w:pPr>
        <w:pStyle w:val="Caption"/>
        <w:spacing w:line="360" w:lineRule="auto"/>
        <w:jc w:val="both"/>
        <w:rPr>
          <w:rFonts w:ascii="Arial" w:eastAsiaTheme="minorHAnsi" w:hAnsi="Arial" w:cs="Arial"/>
          <w:b w:val="0"/>
          <w:color w:val="auto"/>
          <w:sz w:val="22"/>
          <w:szCs w:val="22"/>
          <w:lang w:val="en-US"/>
        </w:rPr>
      </w:pPr>
      <w:r w:rsidRPr="00B345D6">
        <w:rPr>
          <w:rFonts w:ascii="Arial" w:eastAsiaTheme="minorHAnsi" w:hAnsi="Arial" w:cs="Arial"/>
          <w:b w:val="0"/>
          <w:color w:val="auto"/>
          <w:sz w:val="22"/>
          <w:szCs w:val="22"/>
          <w:lang w:val="en-US"/>
        </w:rPr>
        <w:t xml:space="preserve">Loading regimen of 20 cycles with 13N force induced significant increase in Ct.Th in right loaded tibiae compared with the left unloaded tibiae within both fed and fasted groups (D). There were no significant differences in any other cortical bone parameters measured within and between the experimental groups (A-C). Bars represent mean </w:t>
      </w:r>
      <w:r w:rsidRPr="00B345D6">
        <w:rPr>
          <w:rFonts w:ascii="Arial" w:eastAsia="MS Gothic" w:hAnsi="Arial" w:cs="Arial"/>
          <w:b w:val="0"/>
          <w:color w:val="auto"/>
          <w:sz w:val="22"/>
          <w:szCs w:val="22"/>
        </w:rPr>
        <w:t>±</w:t>
      </w:r>
      <w:r w:rsidRPr="00B345D6">
        <w:rPr>
          <w:rFonts w:ascii="Arial" w:eastAsiaTheme="minorHAnsi" w:hAnsi="Arial" w:cs="Arial"/>
          <w:b w:val="0"/>
          <w:color w:val="auto"/>
          <w:sz w:val="22"/>
          <w:szCs w:val="22"/>
          <w:lang w:val="en-US"/>
        </w:rPr>
        <w:t xml:space="preserve">SE. * </w:t>
      </w:r>
      <w:proofErr w:type="gramStart"/>
      <w:r w:rsidRPr="00B345D6">
        <w:rPr>
          <w:rFonts w:ascii="Arial" w:eastAsiaTheme="minorHAnsi" w:hAnsi="Arial" w:cs="Arial"/>
          <w:b w:val="0"/>
          <w:color w:val="auto"/>
          <w:sz w:val="22"/>
          <w:szCs w:val="22"/>
          <w:lang w:val="en-US"/>
        </w:rPr>
        <w:t>p</w:t>
      </w:r>
      <w:proofErr w:type="gramEnd"/>
      <w:r w:rsidRPr="00B345D6">
        <w:rPr>
          <w:rFonts w:ascii="Arial" w:eastAsiaTheme="minorHAnsi" w:hAnsi="Arial" w:cs="Arial"/>
          <w:b w:val="0"/>
          <w:color w:val="auto"/>
          <w:sz w:val="22"/>
          <w:szCs w:val="22"/>
          <w:lang w:val="en-US"/>
        </w:rPr>
        <w:t>&lt;0.05</w:t>
      </w:r>
    </w:p>
    <w:p w14:paraId="0FA7570E" w14:textId="77777777" w:rsidR="00486E71" w:rsidRPr="00854AD6" w:rsidRDefault="00A0409D" w:rsidP="00854AD6">
      <w:pPr>
        <w:pStyle w:val="Heading3"/>
        <w:spacing w:line="480" w:lineRule="auto"/>
        <w:jc w:val="both"/>
        <w:rPr>
          <w:rFonts w:ascii="Arial" w:hAnsi="Arial" w:cs="Arial"/>
          <w:noProof/>
          <w:color w:val="auto"/>
        </w:rPr>
      </w:pPr>
      <w:bookmarkStart w:id="78" w:name="_Toc383723882"/>
      <w:r w:rsidRPr="00854AD6">
        <w:rPr>
          <w:rFonts w:ascii="Arial" w:hAnsi="Arial" w:cs="Arial"/>
          <w:noProof/>
          <w:color w:val="auto"/>
        </w:rPr>
        <w:lastRenderedPageBreak/>
        <w:t xml:space="preserve">3.2.3 </w:t>
      </w:r>
      <w:r w:rsidR="00486E71" w:rsidRPr="00854AD6">
        <w:rPr>
          <w:rFonts w:ascii="Arial" w:hAnsi="Arial" w:cs="Arial"/>
          <w:noProof/>
          <w:color w:val="auto"/>
        </w:rPr>
        <w:t>The effect of 20 cycles mechanical loading with 13N force on tibial trabecular bone mass and architecture of fed or over</w:t>
      </w:r>
      <w:r w:rsidR="001017E5">
        <w:rPr>
          <w:rFonts w:ascii="Arial" w:hAnsi="Arial" w:cs="Arial"/>
          <w:noProof/>
          <w:color w:val="auto"/>
        </w:rPr>
        <w:t>night fasted young</w:t>
      </w:r>
      <w:r w:rsidR="009378CE">
        <w:rPr>
          <w:rFonts w:ascii="Arial" w:hAnsi="Arial" w:cs="Arial"/>
          <w:noProof/>
          <w:color w:val="auto"/>
        </w:rPr>
        <w:t xml:space="preserve"> </w:t>
      </w:r>
      <w:r w:rsidR="00486E71" w:rsidRPr="00854AD6">
        <w:rPr>
          <w:rFonts w:ascii="Arial" w:hAnsi="Arial" w:cs="Arial"/>
          <w:noProof/>
          <w:color w:val="auto"/>
        </w:rPr>
        <w:t>mice</w:t>
      </w:r>
      <w:bookmarkEnd w:id="78"/>
    </w:p>
    <w:p w14:paraId="21C35D86" w14:textId="77777777" w:rsidR="00E017D4" w:rsidRDefault="005C5698" w:rsidP="005C5698">
      <w:pPr>
        <w:spacing w:line="480" w:lineRule="auto"/>
        <w:jc w:val="both"/>
        <w:rPr>
          <w:rFonts w:ascii="Arial" w:hAnsi="Arial" w:cs="Arial"/>
          <w:bCs/>
          <w:lang w:val="en-US"/>
        </w:rPr>
      </w:pPr>
      <w:r w:rsidRPr="009C6C23">
        <w:rPr>
          <w:rFonts w:ascii="Arial" w:hAnsi="Arial" w:cs="Arial"/>
          <w:bCs/>
          <w:lang w:val="en-US"/>
        </w:rPr>
        <w:t xml:space="preserve">Trabecular </w:t>
      </w:r>
      <w:r w:rsidR="00DE4251">
        <w:rPr>
          <w:rFonts w:ascii="Arial" w:hAnsi="Arial"/>
          <w:bCs/>
          <w:lang w:val="en-US"/>
        </w:rPr>
        <w:t>bone volume fraction</w:t>
      </w:r>
      <w:r w:rsidRPr="009C6C23">
        <w:rPr>
          <w:rFonts w:ascii="Arial" w:hAnsi="Arial" w:cs="Arial"/>
          <w:bCs/>
          <w:lang w:val="en-US"/>
        </w:rPr>
        <w:t xml:space="preserve"> significantly increased by 32% in the loaded right tibiae of fed and 35% of fasted mice compared with the unloaded left controls, but there were no significant differences in trabecular bone volumes between right tibiae of fed mice and those fasted overnight before mechanical loading. </w:t>
      </w:r>
    </w:p>
    <w:p w14:paraId="5EE7A250" w14:textId="77777777" w:rsidR="00E017D4" w:rsidRDefault="00E017D4" w:rsidP="005C5698">
      <w:pPr>
        <w:spacing w:line="480" w:lineRule="auto"/>
        <w:jc w:val="both"/>
        <w:rPr>
          <w:rFonts w:ascii="Arial" w:hAnsi="Arial" w:cs="Arial"/>
          <w:bCs/>
          <w:lang w:val="en-US"/>
        </w:rPr>
      </w:pPr>
    </w:p>
    <w:p w14:paraId="774ABF96" w14:textId="77777777" w:rsidR="005C5698" w:rsidRPr="00E017D4" w:rsidRDefault="005C5698" w:rsidP="005C5698">
      <w:pPr>
        <w:spacing w:line="480" w:lineRule="auto"/>
        <w:jc w:val="both"/>
        <w:rPr>
          <w:rFonts w:ascii="Arial" w:eastAsiaTheme="minorHAnsi" w:hAnsi="Arial" w:cs="Arial"/>
          <w:bCs/>
          <w:lang w:val="en-US"/>
        </w:rPr>
      </w:pPr>
      <w:r w:rsidRPr="009C6C23">
        <w:rPr>
          <w:rFonts w:ascii="Arial" w:hAnsi="Arial" w:cs="Arial"/>
          <w:bCs/>
          <w:lang w:val="en-US"/>
        </w:rPr>
        <w:t>In fasted mice, the increase in trabecular BV/TV in the right tibiae compared with the non-loaded control left tibiae was 12.2</w:t>
      </w:r>
      <w:r w:rsidRPr="009C6C23">
        <w:rPr>
          <w:rFonts w:ascii="Arial" w:eastAsia="MS Gothic" w:hAnsi="Arial" w:cs="Arial"/>
          <w:color w:val="000000"/>
        </w:rPr>
        <w:t>±</w:t>
      </w:r>
      <w:r w:rsidRPr="009C6C23">
        <w:rPr>
          <w:rFonts w:ascii="Arial" w:hAnsi="Arial" w:cs="Arial"/>
          <w:bCs/>
          <w:lang w:val="en-US"/>
        </w:rPr>
        <w:t xml:space="preserve">0.7% </w:t>
      </w:r>
      <w:r w:rsidRPr="009C6C23">
        <w:rPr>
          <w:rFonts w:ascii="Arial" w:hAnsi="Arial" w:cs="Arial"/>
        </w:rPr>
        <w:t>versus</w:t>
      </w:r>
      <w:r w:rsidRPr="009C6C23">
        <w:rPr>
          <w:rFonts w:ascii="Arial" w:hAnsi="Arial" w:cs="Arial"/>
          <w:bCs/>
          <w:lang w:val="en-US"/>
        </w:rPr>
        <w:t xml:space="preserve"> 9.0</w:t>
      </w:r>
      <w:r w:rsidRPr="009C6C23">
        <w:rPr>
          <w:rFonts w:ascii="Arial" w:eastAsia="MS Gothic" w:hAnsi="Arial" w:cs="Arial"/>
          <w:color w:val="000000"/>
        </w:rPr>
        <w:t>±</w:t>
      </w:r>
      <w:r w:rsidRPr="009C6C23">
        <w:rPr>
          <w:rFonts w:ascii="Arial" w:hAnsi="Arial" w:cs="Arial"/>
          <w:bCs/>
          <w:lang w:val="en-US"/>
        </w:rPr>
        <w:t>0.6% (p&lt;0.01) compared with 12.6</w:t>
      </w:r>
      <w:r w:rsidRPr="009C6C23">
        <w:rPr>
          <w:rFonts w:ascii="Arial" w:eastAsia="MS Gothic" w:hAnsi="Arial" w:cs="Arial"/>
          <w:color w:val="000000"/>
        </w:rPr>
        <w:t>±</w:t>
      </w:r>
      <w:r w:rsidRPr="009C6C23">
        <w:rPr>
          <w:rFonts w:ascii="Arial" w:hAnsi="Arial" w:cs="Arial"/>
          <w:bCs/>
          <w:lang w:val="en-US"/>
        </w:rPr>
        <w:t xml:space="preserve">0.5% </w:t>
      </w:r>
      <w:r w:rsidRPr="009C6C23">
        <w:rPr>
          <w:rFonts w:ascii="Arial" w:hAnsi="Arial" w:cs="Arial"/>
        </w:rPr>
        <w:t>versus</w:t>
      </w:r>
      <w:r w:rsidRPr="009C6C23">
        <w:rPr>
          <w:rFonts w:ascii="Arial" w:hAnsi="Arial" w:cs="Arial"/>
          <w:bCs/>
          <w:lang w:val="en-US"/>
        </w:rPr>
        <w:t xml:space="preserve"> 9.5</w:t>
      </w:r>
      <w:r w:rsidRPr="009C6C23">
        <w:rPr>
          <w:rFonts w:ascii="Arial" w:eastAsia="MS Gothic" w:hAnsi="Arial" w:cs="Arial"/>
          <w:color w:val="000000"/>
        </w:rPr>
        <w:t>±</w:t>
      </w:r>
      <w:r w:rsidRPr="009C6C23">
        <w:rPr>
          <w:rFonts w:ascii="Arial" w:hAnsi="Arial" w:cs="Arial"/>
          <w:bCs/>
          <w:lang w:val="en-US"/>
        </w:rPr>
        <w:t>0.7% (p&lt;0</w:t>
      </w:r>
      <w:r w:rsidR="008E6C23">
        <w:rPr>
          <w:rFonts w:ascii="Arial" w:hAnsi="Arial" w:cs="Arial"/>
          <w:bCs/>
          <w:lang w:val="en-US"/>
        </w:rPr>
        <w:t>.01) in the fed groups, Figure 23</w:t>
      </w:r>
      <w:r w:rsidRPr="009C6C23">
        <w:rPr>
          <w:rFonts w:ascii="Arial" w:hAnsi="Arial" w:cs="Arial"/>
          <w:bCs/>
          <w:lang w:val="en-US"/>
        </w:rPr>
        <w:t>A. There were no significant differences in other trabecular parameters including trabecular number, pattern factor and thickness (Tb.N, Tb.Pf and Tb.Th) within and between the experi</w:t>
      </w:r>
      <w:r w:rsidR="008E6C23">
        <w:rPr>
          <w:rFonts w:ascii="Arial" w:hAnsi="Arial" w:cs="Arial"/>
          <w:bCs/>
          <w:lang w:val="en-US"/>
        </w:rPr>
        <w:t>mental groups (p&gt;0.05), Figure 23</w:t>
      </w:r>
      <w:r w:rsidRPr="009C6C23">
        <w:rPr>
          <w:rFonts w:ascii="Arial" w:hAnsi="Arial" w:cs="Arial"/>
          <w:bCs/>
          <w:lang w:val="en-US"/>
        </w:rPr>
        <w:t>B-D.</w:t>
      </w:r>
    </w:p>
    <w:p w14:paraId="09A4C63F" w14:textId="77777777" w:rsidR="00A0409D" w:rsidRDefault="00A0409D" w:rsidP="00A0409D">
      <w:pPr>
        <w:spacing w:line="480" w:lineRule="auto"/>
        <w:jc w:val="both"/>
        <w:rPr>
          <w:rFonts w:ascii="Arial" w:hAnsi="Arial" w:cs="Arial"/>
          <w:noProof/>
          <w:color w:val="000000" w:themeColor="text1"/>
        </w:rPr>
      </w:pPr>
    </w:p>
    <w:p w14:paraId="11560FF8" w14:textId="77777777" w:rsidR="00A0409D" w:rsidRDefault="00A0409D" w:rsidP="00A0409D">
      <w:pPr>
        <w:spacing w:line="480" w:lineRule="auto"/>
        <w:jc w:val="both"/>
        <w:rPr>
          <w:rFonts w:ascii="Arial" w:hAnsi="Arial" w:cs="Arial"/>
          <w:b/>
          <w:noProof/>
          <w:color w:val="000000" w:themeColor="text1"/>
        </w:rPr>
      </w:pPr>
    </w:p>
    <w:p w14:paraId="2DAF4F99" w14:textId="77777777" w:rsidR="00A0409D" w:rsidRDefault="00A0409D" w:rsidP="00A0409D">
      <w:pPr>
        <w:spacing w:line="480" w:lineRule="auto"/>
        <w:jc w:val="both"/>
        <w:rPr>
          <w:rFonts w:ascii="Arial" w:hAnsi="Arial" w:cs="Arial"/>
          <w:b/>
          <w:noProof/>
          <w:color w:val="000000" w:themeColor="text1"/>
        </w:rPr>
      </w:pPr>
    </w:p>
    <w:p w14:paraId="398D6465" w14:textId="77777777" w:rsidR="00A0409D" w:rsidRDefault="00A0409D" w:rsidP="00A0409D">
      <w:pPr>
        <w:spacing w:line="480" w:lineRule="auto"/>
        <w:jc w:val="both"/>
        <w:rPr>
          <w:rFonts w:ascii="Arial" w:hAnsi="Arial" w:cs="Arial"/>
          <w:b/>
          <w:noProof/>
          <w:color w:val="000000" w:themeColor="text1"/>
        </w:rPr>
      </w:pPr>
    </w:p>
    <w:p w14:paraId="005138EF" w14:textId="77777777" w:rsidR="00A0409D" w:rsidRDefault="00A0409D" w:rsidP="00A0409D">
      <w:pPr>
        <w:ind w:firstLine="720"/>
        <w:rPr>
          <w:rFonts w:ascii="Arial" w:hAnsi="Arial" w:cs="Arial"/>
        </w:rPr>
      </w:pPr>
    </w:p>
    <w:p w14:paraId="4701CBD1" w14:textId="77777777" w:rsidR="00A0409D" w:rsidRDefault="00A0409D" w:rsidP="00A0409D">
      <w:pPr>
        <w:ind w:firstLine="720"/>
        <w:rPr>
          <w:rFonts w:ascii="Arial" w:hAnsi="Arial" w:cs="Arial"/>
        </w:rPr>
      </w:pPr>
    </w:p>
    <w:p w14:paraId="2AF4E419" w14:textId="77777777" w:rsidR="00A0409D" w:rsidRDefault="00A0409D" w:rsidP="00A0409D">
      <w:pPr>
        <w:ind w:firstLine="720"/>
        <w:rPr>
          <w:rFonts w:ascii="Arial" w:hAnsi="Arial" w:cs="Arial"/>
        </w:rPr>
      </w:pPr>
    </w:p>
    <w:p w14:paraId="0FDF6CC6" w14:textId="77777777" w:rsidR="00A0409D" w:rsidRDefault="00A0409D" w:rsidP="00A0409D">
      <w:pPr>
        <w:ind w:firstLine="720"/>
        <w:rPr>
          <w:rFonts w:ascii="Arial" w:hAnsi="Arial" w:cs="Arial"/>
        </w:rPr>
      </w:pPr>
    </w:p>
    <w:p w14:paraId="095CABAB" w14:textId="77777777" w:rsidR="00A0409D" w:rsidRDefault="00A0409D" w:rsidP="00A0409D">
      <w:pPr>
        <w:ind w:firstLine="720"/>
        <w:rPr>
          <w:rFonts w:ascii="Arial" w:hAnsi="Arial" w:cs="Arial"/>
        </w:rPr>
      </w:pPr>
    </w:p>
    <w:p w14:paraId="43327A64" w14:textId="77777777" w:rsidR="00A0409D" w:rsidRDefault="00A0409D" w:rsidP="00A0409D">
      <w:pPr>
        <w:ind w:firstLine="720"/>
        <w:rPr>
          <w:rFonts w:ascii="Arial" w:hAnsi="Arial" w:cs="Arial"/>
        </w:rPr>
      </w:pPr>
    </w:p>
    <w:p w14:paraId="028E1BCF" w14:textId="77777777" w:rsidR="00A0409D" w:rsidRDefault="00A0409D" w:rsidP="00A0409D">
      <w:pPr>
        <w:ind w:firstLine="720"/>
        <w:rPr>
          <w:rFonts w:ascii="Arial" w:hAnsi="Arial" w:cs="Arial"/>
        </w:rPr>
      </w:pPr>
    </w:p>
    <w:p w14:paraId="20CD80A2" w14:textId="77777777" w:rsidR="00A0409D" w:rsidRDefault="00A0409D" w:rsidP="00A0409D">
      <w:pPr>
        <w:ind w:firstLine="720"/>
        <w:rPr>
          <w:rFonts w:ascii="Arial" w:hAnsi="Arial" w:cs="Arial"/>
        </w:rPr>
      </w:pPr>
    </w:p>
    <w:p w14:paraId="06CC95AF" w14:textId="77777777" w:rsidR="00A0409D" w:rsidRDefault="00A0409D" w:rsidP="00A0409D">
      <w:pPr>
        <w:ind w:firstLine="720"/>
        <w:rPr>
          <w:rFonts w:ascii="Arial" w:hAnsi="Arial" w:cs="Arial"/>
        </w:rPr>
      </w:pPr>
    </w:p>
    <w:p w14:paraId="719701FC" w14:textId="77777777" w:rsidR="00A0409D" w:rsidRDefault="00A0409D" w:rsidP="00A0409D">
      <w:pPr>
        <w:ind w:firstLine="720"/>
        <w:rPr>
          <w:rFonts w:ascii="Arial" w:hAnsi="Arial" w:cs="Arial"/>
        </w:rPr>
      </w:pPr>
    </w:p>
    <w:p w14:paraId="49340F37" w14:textId="77777777" w:rsidR="00A0409D" w:rsidRDefault="00A0409D" w:rsidP="00A0409D">
      <w:pPr>
        <w:ind w:firstLine="720"/>
        <w:rPr>
          <w:rFonts w:ascii="Arial" w:hAnsi="Arial" w:cs="Arial"/>
        </w:rPr>
      </w:pPr>
    </w:p>
    <w:p w14:paraId="6D3895C2" w14:textId="77777777" w:rsidR="00A0409D" w:rsidRDefault="00A0409D" w:rsidP="00A0409D">
      <w:pPr>
        <w:ind w:firstLine="720"/>
        <w:rPr>
          <w:rFonts w:ascii="Arial" w:hAnsi="Arial" w:cs="Arial"/>
        </w:rPr>
      </w:pPr>
    </w:p>
    <w:p w14:paraId="2ED61915" w14:textId="77777777" w:rsidR="00A0409D" w:rsidRDefault="00A0409D" w:rsidP="00A0409D">
      <w:pPr>
        <w:ind w:firstLine="720"/>
        <w:rPr>
          <w:rFonts w:ascii="Arial" w:hAnsi="Arial" w:cs="Arial"/>
        </w:rPr>
      </w:pPr>
    </w:p>
    <w:p w14:paraId="668CF9CB" w14:textId="77777777" w:rsidR="00A0409D" w:rsidRDefault="00A0409D" w:rsidP="00A0409D">
      <w:pPr>
        <w:ind w:firstLine="720"/>
        <w:rPr>
          <w:rFonts w:ascii="Arial" w:hAnsi="Arial" w:cs="Arial"/>
        </w:rPr>
      </w:pPr>
    </w:p>
    <w:p w14:paraId="4957BF4E" w14:textId="77777777" w:rsidR="00A0409D" w:rsidRDefault="00A0409D" w:rsidP="00A0409D"/>
    <w:p w14:paraId="4652F604" w14:textId="77777777" w:rsidR="00A0409D" w:rsidRPr="00EA64C9" w:rsidRDefault="00A0409D" w:rsidP="00A0409D"/>
    <w:p w14:paraId="77B4D9C2" w14:textId="77777777" w:rsidR="005C5698" w:rsidRDefault="005C5698" w:rsidP="005C5698">
      <w:pPr>
        <w:spacing w:line="360" w:lineRule="auto"/>
        <w:jc w:val="both"/>
        <w:rPr>
          <w:rFonts w:ascii="Arial" w:hAnsi="Arial" w:cs="Arial"/>
          <w:bCs/>
          <w:noProof/>
          <w:color w:val="000000" w:themeColor="text1"/>
          <w:lang w:val="en-US"/>
        </w:rPr>
      </w:pPr>
    </w:p>
    <w:p w14:paraId="7012CD4D" w14:textId="77777777" w:rsidR="008E6C23" w:rsidRDefault="008E6C23" w:rsidP="005C5698">
      <w:pPr>
        <w:spacing w:line="360" w:lineRule="auto"/>
        <w:jc w:val="both"/>
        <w:rPr>
          <w:rFonts w:ascii="Arial" w:hAnsi="Arial" w:cs="Arial"/>
          <w:bCs/>
          <w:noProof/>
          <w:color w:val="000000" w:themeColor="text1"/>
          <w:lang w:val="en-US"/>
        </w:rPr>
      </w:pPr>
    </w:p>
    <w:p w14:paraId="1C5AFD7C" w14:textId="77777777" w:rsidR="002870FF" w:rsidRDefault="002870FF" w:rsidP="005C5698">
      <w:pPr>
        <w:spacing w:line="360" w:lineRule="auto"/>
        <w:jc w:val="both"/>
        <w:rPr>
          <w:rFonts w:ascii="Arial" w:hAnsi="Arial" w:cs="Arial"/>
          <w:bCs/>
          <w:noProof/>
          <w:color w:val="000000" w:themeColor="text1"/>
          <w:lang w:val="en-US"/>
        </w:rPr>
      </w:pPr>
    </w:p>
    <w:p w14:paraId="69BB30EC" w14:textId="77777777" w:rsidR="00A9190D" w:rsidRDefault="00A9190D" w:rsidP="005C5698">
      <w:pPr>
        <w:spacing w:line="360" w:lineRule="auto"/>
        <w:jc w:val="both"/>
        <w:rPr>
          <w:rFonts w:ascii="Arial" w:hAnsi="Arial" w:cs="Arial"/>
          <w:bCs/>
          <w:noProof/>
          <w:color w:val="000000" w:themeColor="text1"/>
          <w:lang w:val="en-US"/>
        </w:rPr>
      </w:pPr>
    </w:p>
    <w:p w14:paraId="4D50B463" w14:textId="77777777" w:rsidR="008E6C23" w:rsidRPr="00CB779B" w:rsidRDefault="00BF2573" w:rsidP="007A502D">
      <w:pPr>
        <w:tabs>
          <w:tab w:val="left" w:pos="284"/>
        </w:tabs>
        <w:spacing w:line="360" w:lineRule="auto"/>
        <w:jc w:val="both"/>
        <w:rPr>
          <w:rFonts w:ascii="Arial" w:hAnsi="Arial" w:cs="Arial"/>
          <w:bCs/>
          <w:noProof/>
          <w:color w:val="000000" w:themeColor="text1"/>
          <w:lang w:val="en-US"/>
        </w:rPr>
      </w:pPr>
      <w:r>
        <w:rPr>
          <w:rFonts w:ascii="Arial" w:hAnsi="Arial" w:cs="Arial"/>
          <w:bCs/>
          <w:noProof/>
          <w:color w:val="000000" w:themeColor="text1"/>
          <w:lang w:val="en-US"/>
        </w:rPr>
        <w:t xml:space="preserve"> </w:t>
      </w:r>
      <w:r w:rsidR="00F662C1">
        <w:rPr>
          <w:rFonts w:ascii="Arial" w:hAnsi="Arial" w:cs="Arial"/>
          <w:bCs/>
          <w:noProof/>
          <w:color w:val="000000" w:themeColor="text1"/>
          <w:lang w:val="en-US"/>
        </w:rPr>
        <w:drawing>
          <wp:inline distT="0" distB="0" distL="0" distR="0" wp14:anchorId="5E84B88A" wp14:editId="24A8625F">
            <wp:extent cx="3158490" cy="2791460"/>
            <wp:effectExtent l="0" t="0" r="0"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58490" cy="2791460"/>
                    </a:xfrm>
                    <a:prstGeom prst="rect">
                      <a:avLst/>
                    </a:prstGeom>
                    <a:noFill/>
                    <a:ln>
                      <a:noFill/>
                    </a:ln>
                  </pic:spPr>
                </pic:pic>
              </a:graphicData>
            </a:graphic>
          </wp:inline>
        </w:drawing>
      </w:r>
      <w:r w:rsidR="002870FF">
        <w:rPr>
          <w:rFonts w:ascii="Arial" w:hAnsi="Arial" w:cs="Arial"/>
          <w:bCs/>
          <w:noProof/>
          <w:color w:val="000000" w:themeColor="text1"/>
          <w:lang w:val="en-US"/>
        </w:rPr>
        <w:drawing>
          <wp:inline distT="0" distB="0" distL="0" distR="0" wp14:anchorId="6AD2A0FD" wp14:editId="2D76F8E1">
            <wp:extent cx="2905432" cy="2562079"/>
            <wp:effectExtent l="0" t="0" r="0" b="381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08443" cy="2564735"/>
                    </a:xfrm>
                    <a:prstGeom prst="rect">
                      <a:avLst/>
                    </a:prstGeom>
                    <a:noFill/>
                    <a:ln>
                      <a:noFill/>
                    </a:ln>
                  </pic:spPr>
                </pic:pic>
              </a:graphicData>
            </a:graphic>
          </wp:inline>
        </w:drawing>
      </w:r>
    </w:p>
    <w:p w14:paraId="2C250DF6" w14:textId="77777777" w:rsidR="005C5698" w:rsidRDefault="005C5698" w:rsidP="005C5698">
      <w:pPr>
        <w:spacing w:line="480" w:lineRule="auto"/>
        <w:jc w:val="both"/>
        <w:rPr>
          <w:rFonts w:ascii="Arial" w:hAnsi="Arial" w:cs="Arial"/>
          <w:b/>
          <w:bCs/>
          <w:noProof/>
          <w:color w:val="000000" w:themeColor="text1"/>
          <w:lang w:val="en-US"/>
        </w:rPr>
      </w:pPr>
    </w:p>
    <w:p w14:paraId="24956199" w14:textId="77777777" w:rsidR="002870FF" w:rsidRDefault="002870FF" w:rsidP="005E4EA5">
      <w:pPr>
        <w:keepNext/>
        <w:spacing w:line="480" w:lineRule="auto"/>
        <w:ind w:left="426" w:firstLine="24"/>
        <w:jc w:val="both"/>
      </w:pPr>
      <w:r>
        <w:rPr>
          <w:rFonts w:ascii="Arial" w:hAnsi="Arial" w:cs="Arial"/>
          <w:b/>
          <w:bCs/>
          <w:noProof/>
          <w:color w:val="000000" w:themeColor="text1"/>
          <w:lang w:val="en-US"/>
        </w:rPr>
        <w:drawing>
          <wp:inline distT="0" distB="0" distL="0" distR="0" wp14:anchorId="4836AA07" wp14:editId="7425A3A9">
            <wp:extent cx="2802193" cy="2452844"/>
            <wp:effectExtent l="0" t="0" r="0" b="1143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02979" cy="2453532"/>
                    </a:xfrm>
                    <a:prstGeom prst="rect">
                      <a:avLst/>
                    </a:prstGeom>
                    <a:noFill/>
                    <a:ln>
                      <a:noFill/>
                    </a:ln>
                  </pic:spPr>
                </pic:pic>
              </a:graphicData>
            </a:graphic>
          </wp:inline>
        </w:drawing>
      </w:r>
      <w:r>
        <w:rPr>
          <w:rFonts w:ascii="Arial" w:hAnsi="Arial" w:cs="Arial"/>
          <w:b/>
          <w:bCs/>
          <w:noProof/>
          <w:color w:val="000000" w:themeColor="text1"/>
          <w:lang w:val="en-US"/>
        </w:rPr>
        <w:drawing>
          <wp:inline distT="0" distB="0" distL="0" distR="0" wp14:anchorId="6304716B" wp14:editId="3C800CC8">
            <wp:extent cx="3023420" cy="2457354"/>
            <wp:effectExtent l="0" t="0" r="0" b="698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24319" cy="2458085"/>
                    </a:xfrm>
                    <a:prstGeom prst="rect">
                      <a:avLst/>
                    </a:prstGeom>
                    <a:noFill/>
                    <a:ln>
                      <a:noFill/>
                    </a:ln>
                  </pic:spPr>
                </pic:pic>
              </a:graphicData>
            </a:graphic>
          </wp:inline>
        </w:drawing>
      </w:r>
    </w:p>
    <w:p w14:paraId="11CDEC26" w14:textId="77777777" w:rsidR="00647F1C" w:rsidRDefault="00647F1C" w:rsidP="002870FF">
      <w:pPr>
        <w:pStyle w:val="Caption"/>
        <w:spacing w:line="360" w:lineRule="auto"/>
        <w:jc w:val="both"/>
        <w:rPr>
          <w:rFonts w:ascii="Arial" w:hAnsi="Arial" w:cs="Arial"/>
          <w:color w:val="244061" w:themeColor="accent1" w:themeShade="80"/>
          <w:sz w:val="24"/>
          <w:szCs w:val="24"/>
        </w:rPr>
      </w:pPr>
      <w:bookmarkStart w:id="79" w:name="_Toc383544614"/>
    </w:p>
    <w:p w14:paraId="23E91ECF" w14:textId="77777777" w:rsidR="005C5698" w:rsidRPr="00DE4251" w:rsidRDefault="002870FF" w:rsidP="002870FF">
      <w:pPr>
        <w:pStyle w:val="Caption"/>
        <w:spacing w:line="360" w:lineRule="auto"/>
        <w:jc w:val="both"/>
        <w:rPr>
          <w:rFonts w:ascii="Arial" w:hAnsi="Arial" w:cs="Arial"/>
          <w:b w:val="0"/>
          <w:bCs w:val="0"/>
          <w:noProof/>
          <w:color w:val="244061" w:themeColor="accent1" w:themeShade="80"/>
          <w:lang w:val="en-US"/>
        </w:rPr>
      </w:pPr>
      <w:r w:rsidRPr="00DE4251">
        <w:rPr>
          <w:rFonts w:ascii="Arial" w:hAnsi="Arial" w:cs="Arial"/>
          <w:color w:val="244061" w:themeColor="accent1" w:themeShade="80"/>
          <w:sz w:val="24"/>
          <w:szCs w:val="24"/>
        </w:rPr>
        <w:t xml:space="preserve">Figure </w:t>
      </w:r>
      <w:r w:rsidRPr="00DE4251">
        <w:rPr>
          <w:rFonts w:ascii="Arial" w:hAnsi="Arial" w:cs="Arial"/>
          <w:color w:val="244061" w:themeColor="accent1" w:themeShade="80"/>
          <w:sz w:val="24"/>
          <w:szCs w:val="24"/>
        </w:rPr>
        <w:fldChar w:fldCharType="begin"/>
      </w:r>
      <w:r w:rsidRPr="00DE4251">
        <w:rPr>
          <w:rFonts w:ascii="Arial" w:hAnsi="Arial" w:cs="Arial"/>
          <w:color w:val="244061" w:themeColor="accent1" w:themeShade="80"/>
          <w:sz w:val="24"/>
          <w:szCs w:val="24"/>
        </w:rPr>
        <w:instrText xml:space="preserve"> SEQ Figure \* ARABIC </w:instrText>
      </w:r>
      <w:r w:rsidRPr="00DE4251">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23</w:t>
      </w:r>
      <w:r w:rsidRPr="00DE4251">
        <w:rPr>
          <w:rFonts w:ascii="Arial" w:hAnsi="Arial" w:cs="Arial"/>
          <w:color w:val="244061" w:themeColor="accent1" w:themeShade="80"/>
          <w:sz w:val="24"/>
          <w:szCs w:val="24"/>
        </w:rPr>
        <w:fldChar w:fldCharType="end"/>
      </w:r>
      <w:r w:rsidRPr="00DE4251">
        <w:rPr>
          <w:rFonts w:ascii="Arial" w:hAnsi="Arial" w:cs="Arial"/>
          <w:b w:val="0"/>
          <w:bCs w:val="0"/>
          <w:noProof/>
          <w:color w:val="244061" w:themeColor="accent1" w:themeShade="80"/>
          <w:sz w:val="24"/>
          <w:szCs w:val="24"/>
          <w:lang w:val="en-US"/>
        </w:rPr>
        <w:t xml:space="preserve"> </w:t>
      </w:r>
      <w:r w:rsidR="005C5698" w:rsidRPr="00DE4251">
        <w:rPr>
          <w:rFonts w:ascii="Arial" w:hAnsi="Arial" w:cs="Arial"/>
          <w:color w:val="244061" w:themeColor="accent1" w:themeShade="80"/>
          <w:sz w:val="24"/>
          <w:szCs w:val="24"/>
        </w:rPr>
        <w:t xml:space="preserve">Trabecular bone mass and architecture measured at the proximal region of the </w:t>
      </w:r>
      <w:r w:rsidR="005C5698" w:rsidRPr="00DE4251">
        <w:rPr>
          <w:rFonts w:ascii="Arial" w:eastAsiaTheme="minorHAnsi" w:hAnsi="Arial" w:cs="Arial"/>
          <w:color w:val="244061" w:themeColor="accent1" w:themeShade="80"/>
          <w:sz w:val="24"/>
          <w:szCs w:val="24"/>
          <w:lang w:val="en-US"/>
        </w:rPr>
        <w:t xml:space="preserve">left non-loaded (control) and </w:t>
      </w:r>
      <w:r w:rsidR="005C5698" w:rsidRPr="00DE4251">
        <w:rPr>
          <w:rFonts w:ascii="Arial" w:hAnsi="Arial" w:cs="Arial"/>
          <w:color w:val="244061" w:themeColor="accent1" w:themeShade="80"/>
          <w:sz w:val="24"/>
          <w:szCs w:val="24"/>
        </w:rPr>
        <w:t xml:space="preserve">right </w:t>
      </w:r>
      <w:r w:rsidR="005C5698" w:rsidRPr="00DE4251">
        <w:rPr>
          <w:rFonts w:ascii="Arial" w:eastAsiaTheme="minorHAnsi" w:hAnsi="Arial" w:cs="Arial"/>
          <w:color w:val="244061" w:themeColor="accent1" w:themeShade="80"/>
          <w:sz w:val="24"/>
          <w:szCs w:val="24"/>
          <w:lang w:val="en-US"/>
        </w:rPr>
        <w:t>loaded tibiae with 20 cycles of loading regimen of 19-week-old fed (n=7) or overnight fasted (n=7) male mice</w:t>
      </w:r>
      <w:bookmarkEnd w:id="79"/>
      <w:r w:rsidR="005C5698" w:rsidRPr="00DE4251">
        <w:rPr>
          <w:rFonts w:ascii="Arial" w:eastAsiaTheme="minorHAnsi" w:hAnsi="Arial" w:cs="Arial"/>
          <w:color w:val="244061" w:themeColor="accent1" w:themeShade="80"/>
          <w:sz w:val="24"/>
          <w:szCs w:val="24"/>
          <w:lang w:val="en-US"/>
        </w:rPr>
        <w:t xml:space="preserve"> </w:t>
      </w:r>
    </w:p>
    <w:p w14:paraId="414FBD19" w14:textId="77777777" w:rsidR="005C5698" w:rsidRPr="006824FB" w:rsidRDefault="005C5698" w:rsidP="005C5698">
      <w:pPr>
        <w:spacing w:line="360" w:lineRule="auto"/>
        <w:jc w:val="both"/>
        <w:rPr>
          <w:rFonts w:ascii="Arial" w:eastAsiaTheme="minorHAnsi" w:hAnsi="Arial" w:cs="Arial"/>
          <w:sz w:val="22"/>
          <w:szCs w:val="22"/>
          <w:lang w:val="en-US"/>
        </w:rPr>
      </w:pPr>
      <w:r w:rsidRPr="004D06C6">
        <w:rPr>
          <w:rFonts w:ascii="Arial" w:eastAsiaTheme="minorHAnsi" w:hAnsi="Arial" w:cs="Arial"/>
          <w:sz w:val="22"/>
          <w:szCs w:val="22"/>
          <w:lang w:val="en-US"/>
        </w:rPr>
        <w:t xml:space="preserve">Loading </w:t>
      </w:r>
      <w:r w:rsidRPr="00DE4251">
        <w:rPr>
          <w:rFonts w:ascii="Arial" w:eastAsiaTheme="minorHAnsi" w:hAnsi="Arial" w:cs="Arial"/>
          <w:sz w:val="22"/>
          <w:szCs w:val="22"/>
          <w:lang w:val="en-US"/>
        </w:rPr>
        <w:t xml:space="preserve">regimen </w:t>
      </w:r>
      <w:r w:rsidR="00DE4251" w:rsidRPr="00DE4251">
        <w:rPr>
          <w:rFonts w:ascii="Arial" w:eastAsiaTheme="minorHAnsi" w:hAnsi="Arial" w:cs="Arial"/>
          <w:sz w:val="22"/>
          <w:szCs w:val="22"/>
          <w:lang w:val="en-US"/>
        </w:rPr>
        <w:t>of 20 cycles with 13N force</w:t>
      </w:r>
      <w:r w:rsidR="00DE4251" w:rsidRPr="00B345D6">
        <w:rPr>
          <w:rFonts w:ascii="Arial" w:eastAsiaTheme="minorHAnsi" w:hAnsi="Arial" w:cs="Arial"/>
          <w:b/>
          <w:sz w:val="22"/>
          <w:szCs w:val="22"/>
          <w:lang w:val="en-US"/>
        </w:rPr>
        <w:t xml:space="preserve"> </w:t>
      </w:r>
      <w:r>
        <w:rPr>
          <w:rFonts w:ascii="Arial" w:eastAsiaTheme="minorHAnsi" w:hAnsi="Arial" w:cs="Arial"/>
          <w:sz w:val="22"/>
          <w:szCs w:val="22"/>
          <w:lang w:val="en-US"/>
        </w:rPr>
        <w:t>induced</w:t>
      </w:r>
      <w:r w:rsidRPr="004D06C6">
        <w:rPr>
          <w:rFonts w:ascii="Arial" w:eastAsiaTheme="minorHAnsi" w:hAnsi="Arial" w:cs="Arial"/>
          <w:sz w:val="22"/>
          <w:szCs w:val="22"/>
          <w:lang w:val="en-US"/>
        </w:rPr>
        <w:t xml:space="preserve"> </w:t>
      </w:r>
      <w:r>
        <w:rPr>
          <w:rFonts w:ascii="Arial" w:eastAsiaTheme="minorHAnsi" w:hAnsi="Arial" w:cs="Arial"/>
          <w:sz w:val="22"/>
          <w:szCs w:val="22"/>
          <w:lang w:val="en-US"/>
        </w:rPr>
        <w:t xml:space="preserve">significant </w:t>
      </w:r>
      <w:r w:rsidRPr="004D06C6">
        <w:rPr>
          <w:rFonts w:ascii="Arial" w:eastAsiaTheme="minorHAnsi" w:hAnsi="Arial" w:cs="Arial"/>
          <w:sz w:val="22"/>
          <w:szCs w:val="22"/>
          <w:lang w:val="en-US"/>
        </w:rPr>
        <w:t xml:space="preserve">increase in trabecular BV/TV in right loaded tibiae compared with the left unloaded tibiae within </w:t>
      </w:r>
      <w:r>
        <w:rPr>
          <w:rFonts w:ascii="Arial" w:eastAsiaTheme="minorHAnsi" w:hAnsi="Arial" w:cs="Arial"/>
          <w:sz w:val="22"/>
          <w:szCs w:val="22"/>
          <w:lang w:val="en-US"/>
        </w:rPr>
        <w:t xml:space="preserve">the </w:t>
      </w:r>
      <w:r w:rsidRPr="004D06C6">
        <w:rPr>
          <w:rFonts w:ascii="Arial" w:eastAsiaTheme="minorHAnsi" w:hAnsi="Arial" w:cs="Arial"/>
          <w:sz w:val="22"/>
          <w:szCs w:val="22"/>
          <w:lang w:val="en-US"/>
        </w:rPr>
        <w:t xml:space="preserve">both </w:t>
      </w:r>
      <w:r>
        <w:rPr>
          <w:rFonts w:ascii="Arial" w:eastAsiaTheme="minorHAnsi" w:hAnsi="Arial" w:cs="Arial"/>
          <w:sz w:val="22"/>
          <w:szCs w:val="22"/>
          <w:lang w:val="en-US"/>
        </w:rPr>
        <w:t xml:space="preserve">experimental </w:t>
      </w:r>
      <w:r w:rsidRPr="004D06C6">
        <w:rPr>
          <w:rFonts w:ascii="Arial" w:eastAsiaTheme="minorHAnsi" w:hAnsi="Arial" w:cs="Arial"/>
          <w:sz w:val="22"/>
          <w:szCs w:val="22"/>
          <w:lang w:val="en-US"/>
        </w:rPr>
        <w:t>groups</w:t>
      </w:r>
      <w:r>
        <w:rPr>
          <w:rFonts w:ascii="Arial" w:eastAsiaTheme="minorHAnsi" w:hAnsi="Arial" w:cs="Arial"/>
          <w:sz w:val="22"/>
          <w:szCs w:val="22"/>
          <w:lang w:val="en-US"/>
        </w:rPr>
        <w:t xml:space="preserve"> (A)</w:t>
      </w:r>
      <w:r w:rsidRPr="004D06C6">
        <w:rPr>
          <w:rFonts w:ascii="Arial" w:eastAsiaTheme="minorHAnsi" w:hAnsi="Arial" w:cs="Arial"/>
          <w:sz w:val="22"/>
          <w:szCs w:val="22"/>
          <w:lang w:val="en-US"/>
        </w:rPr>
        <w:t xml:space="preserve">. There were no significant differences </w:t>
      </w:r>
      <w:r>
        <w:rPr>
          <w:rFonts w:ascii="Arial" w:eastAsiaTheme="minorHAnsi" w:hAnsi="Arial" w:cs="Arial"/>
          <w:sz w:val="22"/>
          <w:szCs w:val="22"/>
          <w:lang w:val="en-US"/>
        </w:rPr>
        <w:t>in</w:t>
      </w:r>
      <w:r w:rsidRPr="004D06C6">
        <w:rPr>
          <w:rFonts w:ascii="Arial" w:eastAsiaTheme="minorHAnsi" w:hAnsi="Arial" w:cs="Arial"/>
          <w:sz w:val="22"/>
          <w:szCs w:val="22"/>
          <w:lang w:val="en-US"/>
        </w:rPr>
        <w:t xml:space="preserve"> any other trabecular bone parameters measured within and between the </w:t>
      </w:r>
      <w:r>
        <w:rPr>
          <w:rFonts w:ascii="Arial" w:eastAsiaTheme="minorHAnsi" w:hAnsi="Arial" w:cs="Arial"/>
          <w:sz w:val="22"/>
          <w:szCs w:val="22"/>
          <w:lang w:val="en-US"/>
        </w:rPr>
        <w:t xml:space="preserve">fed and overnight fasted </w:t>
      </w:r>
      <w:r w:rsidRPr="004D06C6">
        <w:rPr>
          <w:rFonts w:ascii="Arial" w:eastAsiaTheme="minorHAnsi" w:hAnsi="Arial" w:cs="Arial"/>
          <w:sz w:val="22"/>
          <w:szCs w:val="22"/>
          <w:lang w:val="en-US"/>
        </w:rPr>
        <w:t>groups</w:t>
      </w:r>
      <w:r>
        <w:rPr>
          <w:rFonts w:ascii="Arial" w:eastAsiaTheme="minorHAnsi" w:hAnsi="Arial" w:cs="Arial"/>
          <w:sz w:val="22"/>
          <w:szCs w:val="22"/>
          <w:lang w:val="en-US"/>
        </w:rPr>
        <w:t xml:space="preserve"> (B-D). Bars represent mean</w:t>
      </w:r>
      <w:r w:rsidRPr="004D06C6">
        <w:rPr>
          <w:rFonts w:ascii="Arial" w:eastAsia="MS Gothic" w:hAnsi="Arial" w:cs="Arial"/>
          <w:sz w:val="22"/>
          <w:szCs w:val="22"/>
        </w:rPr>
        <w:t>±</w:t>
      </w:r>
      <w:r w:rsidRPr="004D06C6">
        <w:rPr>
          <w:rFonts w:ascii="Arial" w:eastAsiaTheme="minorHAnsi" w:hAnsi="Arial" w:cs="Arial"/>
          <w:sz w:val="22"/>
          <w:szCs w:val="22"/>
          <w:lang w:val="en-US"/>
        </w:rPr>
        <w:t xml:space="preserve">SE. </w:t>
      </w:r>
      <w:r>
        <w:rPr>
          <w:rFonts w:ascii="Arial" w:eastAsiaTheme="minorHAnsi" w:hAnsi="Arial" w:cs="Arial"/>
          <w:sz w:val="22"/>
          <w:szCs w:val="22"/>
          <w:lang w:val="en-US"/>
        </w:rPr>
        <w:t xml:space="preserve">** </w:t>
      </w:r>
      <w:proofErr w:type="gramStart"/>
      <w:r>
        <w:rPr>
          <w:rFonts w:ascii="Arial" w:eastAsiaTheme="minorHAnsi" w:hAnsi="Arial" w:cs="Arial"/>
          <w:sz w:val="22"/>
          <w:szCs w:val="22"/>
          <w:lang w:val="en-US"/>
        </w:rPr>
        <w:t>p</w:t>
      </w:r>
      <w:proofErr w:type="gramEnd"/>
      <w:r>
        <w:rPr>
          <w:rFonts w:ascii="Arial" w:eastAsiaTheme="minorHAnsi" w:hAnsi="Arial" w:cs="Arial"/>
          <w:sz w:val="22"/>
          <w:szCs w:val="22"/>
          <w:lang w:val="en-US"/>
        </w:rPr>
        <w:t>&lt;0.01</w:t>
      </w:r>
    </w:p>
    <w:p w14:paraId="2B163004" w14:textId="77777777" w:rsidR="002870FF" w:rsidRDefault="002870FF" w:rsidP="00A0409D">
      <w:pPr>
        <w:spacing w:line="480" w:lineRule="auto"/>
        <w:jc w:val="both"/>
        <w:rPr>
          <w:rFonts w:ascii="Arial" w:hAnsi="Arial" w:cs="Arial"/>
          <w:b/>
          <w:bCs/>
          <w:noProof/>
          <w:color w:val="000000" w:themeColor="text1"/>
        </w:rPr>
      </w:pPr>
    </w:p>
    <w:p w14:paraId="0D3CCB52" w14:textId="77777777" w:rsidR="002870FF" w:rsidRDefault="002870FF" w:rsidP="00A0409D">
      <w:pPr>
        <w:spacing w:line="480" w:lineRule="auto"/>
        <w:jc w:val="both"/>
        <w:rPr>
          <w:rFonts w:ascii="Arial" w:hAnsi="Arial" w:cs="Arial"/>
          <w:b/>
          <w:bCs/>
          <w:noProof/>
          <w:color w:val="000000" w:themeColor="text1"/>
        </w:rPr>
      </w:pPr>
    </w:p>
    <w:p w14:paraId="7050AF4D" w14:textId="77777777" w:rsidR="00442F09" w:rsidRPr="00442F09" w:rsidRDefault="00A0409D" w:rsidP="00442F09">
      <w:pPr>
        <w:pStyle w:val="Heading3"/>
        <w:spacing w:line="480" w:lineRule="auto"/>
        <w:jc w:val="both"/>
        <w:rPr>
          <w:rFonts w:ascii="Arial" w:hAnsi="Arial" w:cs="Arial"/>
          <w:noProof/>
          <w:color w:val="auto"/>
        </w:rPr>
      </w:pPr>
      <w:bookmarkStart w:id="80" w:name="_Toc383723883"/>
      <w:r w:rsidRPr="00442F09">
        <w:rPr>
          <w:rFonts w:ascii="Arial" w:hAnsi="Arial" w:cs="Arial"/>
          <w:noProof/>
          <w:color w:val="auto"/>
        </w:rPr>
        <w:lastRenderedPageBreak/>
        <w:t xml:space="preserve">3.2.4 </w:t>
      </w:r>
      <w:r w:rsidR="00442F09" w:rsidRPr="00442F09">
        <w:rPr>
          <w:rFonts w:ascii="Arial" w:hAnsi="Arial" w:cs="Arial"/>
          <w:noProof/>
          <w:color w:val="auto"/>
        </w:rPr>
        <w:t>The effect of 40 cycles of mechanical loading with 13N force on tibial cortical bone mass and architecture of fed or o</w:t>
      </w:r>
      <w:r w:rsidR="001017E5">
        <w:rPr>
          <w:rFonts w:ascii="Arial" w:hAnsi="Arial" w:cs="Arial"/>
          <w:noProof/>
          <w:color w:val="auto"/>
        </w:rPr>
        <w:t xml:space="preserve">vernight fasted young </w:t>
      </w:r>
      <w:r w:rsidR="00442F09" w:rsidRPr="00442F09">
        <w:rPr>
          <w:rFonts w:ascii="Arial" w:hAnsi="Arial" w:cs="Arial"/>
          <w:noProof/>
          <w:color w:val="auto"/>
        </w:rPr>
        <w:t>mice</w:t>
      </w:r>
      <w:bookmarkEnd w:id="80"/>
    </w:p>
    <w:p w14:paraId="626204BF" w14:textId="77777777" w:rsidR="00A0409D" w:rsidRPr="007B6912" w:rsidRDefault="00844257" w:rsidP="00A0409D">
      <w:pPr>
        <w:spacing w:line="480" w:lineRule="auto"/>
        <w:jc w:val="both"/>
        <w:rPr>
          <w:rFonts w:ascii="Arial" w:eastAsiaTheme="minorHAnsi" w:hAnsi="Arial"/>
          <w:bCs/>
          <w:lang w:val="en-US"/>
        </w:rPr>
      </w:pPr>
      <w:r w:rsidRPr="004E66E7">
        <w:rPr>
          <w:rFonts w:ascii="Arial" w:hAnsi="Arial" w:cs="Arial"/>
          <w:b/>
          <w:i/>
        </w:rPr>
        <w:t>Experimental details:</w:t>
      </w:r>
      <w:r>
        <w:rPr>
          <w:rFonts w:ascii="Arial" w:hAnsi="Arial" w:cs="Arial"/>
        </w:rPr>
        <w:t xml:space="preserve"> </w:t>
      </w:r>
      <w:r w:rsidR="00A0409D">
        <w:rPr>
          <w:rFonts w:ascii="Arial" w:hAnsi="Arial"/>
          <w:bCs/>
          <w:lang w:val="en-US"/>
        </w:rPr>
        <w:t>O</w:t>
      </w:r>
      <w:r w:rsidR="00A0409D" w:rsidRPr="00AA7001">
        <w:rPr>
          <w:rFonts w:ascii="Arial" w:hAnsi="Arial"/>
          <w:bCs/>
          <w:lang w:val="en-US"/>
        </w:rPr>
        <w:t>vernight fasting neither potentiated nor inhibited bone’s response to 20 cycles of mechani</w:t>
      </w:r>
      <w:r w:rsidR="00BE50F3">
        <w:rPr>
          <w:rFonts w:ascii="Arial" w:hAnsi="Arial"/>
          <w:bCs/>
          <w:lang w:val="en-US"/>
        </w:rPr>
        <w:t>cal loading in mice within a 2</w:t>
      </w:r>
      <w:r w:rsidR="00A0409D" w:rsidRPr="00AA7001">
        <w:rPr>
          <w:rFonts w:ascii="Arial" w:hAnsi="Arial"/>
          <w:bCs/>
          <w:lang w:val="en-US"/>
        </w:rPr>
        <w:t>-week period of time.</w:t>
      </w:r>
      <w:r w:rsidR="00A0409D">
        <w:rPr>
          <w:rFonts w:ascii="Arial" w:hAnsi="Arial"/>
          <w:bCs/>
          <w:lang w:val="en-US"/>
        </w:rPr>
        <w:t xml:space="preserve"> </w:t>
      </w:r>
      <w:r w:rsidR="00A0409D" w:rsidRPr="00AA7001">
        <w:rPr>
          <w:rFonts w:ascii="Arial" w:hAnsi="Arial"/>
          <w:bCs/>
          <w:lang w:val="en-US"/>
        </w:rPr>
        <w:t xml:space="preserve">Therefore, next the effect of mechanical loading with </w:t>
      </w:r>
      <w:r w:rsidR="00A0409D">
        <w:rPr>
          <w:rFonts w:ascii="Arial" w:hAnsi="Arial"/>
          <w:bCs/>
          <w:lang w:val="en-US"/>
        </w:rPr>
        <w:t xml:space="preserve">a peak force of 13N and </w:t>
      </w:r>
      <w:r w:rsidR="00A0409D" w:rsidRPr="00AA7001">
        <w:rPr>
          <w:rFonts w:ascii="Arial" w:hAnsi="Arial"/>
          <w:bCs/>
          <w:lang w:val="en-US"/>
        </w:rPr>
        <w:t xml:space="preserve">the regimen of 40 cycles </w:t>
      </w:r>
      <w:r w:rsidR="00A0409D" w:rsidRPr="00AA7001">
        <w:rPr>
          <w:rFonts w:ascii="Arial" w:eastAsiaTheme="minorHAnsi" w:hAnsi="Arial"/>
          <w:bCs/>
          <w:lang w:val="en-US"/>
        </w:rPr>
        <w:t>in each loading event</w:t>
      </w:r>
      <w:r w:rsidR="00A0409D">
        <w:rPr>
          <w:rFonts w:ascii="Arial" w:eastAsiaTheme="minorHAnsi" w:hAnsi="Arial"/>
          <w:bCs/>
          <w:lang w:val="en-US"/>
        </w:rPr>
        <w:t xml:space="preserve"> </w:t>
      </w:r>
      <w:r w:rsidR="00A0409D" w:rsidRPr="00AA7001">
        <w:rPr>
          <w:rFonts w:ascii="Arial" w:hAnsi="Arial"/>
          <w:bCs/>
          <w:lang w:val="en-US"/>
        </w:rPr>
        <w:t xml:space="preserve">on </w:t>
      </w:r>
      <w:r w:rsidR="00A0409D">
        <w:rPr>
          <w:rFonts w:ascii="Arial" w:hAnsi="Arial"/>
          <w:bCs/>
          <w:lang w:val="en-US"/>
        </w:rPr>
        <w:t xml:space="preserve">the right </w:t>
      </w:r>
      <w:r w:rsidR="00E017D4">
        <w:rPr>
          <w:rFonts w:ascii="Arial" w:hAnsi="Arial"/>
          <w:bCs/>
          <w:lang w:val="en-US"/>
        </w:rPr>
        <w:t>tibiae of fed or overnight 16-hour</w:t>
      </w:r>
      <w:r w:rsidR="00A0409D" w:rsidRPr="00AA7001">
        <w:rPr>
          <w:rFonts w:ascii="Arial" w:hAnsi="Arial"/>
          <w:bCs/>
          <w:lang w:val="en-US"/>
        </w:rPr>
        <w:t xml:space="preserve"> fasted </w:t>
      </w:r>
      <w:r w:rsidR="00A0409D">
        <w:rPr>
          <w:rFonts w:ascii="Arial" w:hAnsi="Arial"/>
          <w:bCs/>
          <w:lang w:val="en-US"/>
        </w:rPr>
        <w:t xml:space="preserve">17-week-old </w:t>
      </w:r>
      <w:r w:rsidR="00A0409D" w:rsidRPr="00AA7001">
        <w:rPr>
          <w:rFonts w:ascii="Arial" w:eastAsiaTheme="minorHAnsi" w:hAnsi="Arial"/>
          <w:bCs/>
          <w:lang w:val="en-US"/>
        </w:rPr>
        <w:t>male</w:t>
      </w:r>
      <w:r w:rsidR="00A0409D">
        <w:rPr>
          <w:rFonts w:ascii="Arial" w:eastAsiaTheme="minorHAnsi" w:hAnsi="Arial"/>
          <w:bCs/>
          <w:lang w:val="en-US"/>
        </w:rPr>
        <w:t xml:space="preserve"> </w:t>
      </w:r>
      <w:r w:rsidR="00E75618">
        <w:rPr>
          <w:rFonts w:ascii="Arial" w:hAnsi="Arial" w:cs="Arial"/>
          <w:noProof/>
          <w:color w:val="000000" w:themeColor="text1"/>
        </w:rPr>
        <w:t>C57BL/6</w:t>
      </w:r>
      <w:r w:rsidR="00E75618" w:rsidRPr="008A11BE">
        <w:rPr>
          <w:rFonts w:ascii="Arial" w:hAnsi="Arial" w:cs="Arial"/>
        </w:rPr>
        <w:t xml:space="preserve"> </w:t>
      </w:r>
      <w:r w:rsidR="00A0409D" w:rsidRPr="00AA7001">
        <w:rPr>
          <w:rFonts w:ascii="Arial" w:hAnsi="Arial"/>
          <w:bCs/>
          <w:lang w:val="en-US"/>
        </w:rPr>
        <w:t xml:space="preserve">mice </w:t>
      </w:r>
      <w:r w:rsidR="00A0409D" w:rsidRPr="00AA7001">
        <w:rPr>
          <w:rFonts w:ascii="Arial" w:eastAsiaTheme="minorHAnsi" w:hAnsi="Arial"/>
          <w:bCs/>
          <w:lang w:val="en-US"/>
        </w:rPr>
        <w:t>was measured</w:t>
      </w:r>
      <w:r w:rsidR="00A0409D">
        <w:rPr>
          <w:rFonts w:ascii="Arial" w:eastAsiaTheme="minorHAnsi" w:hAnsi="Arial"/>
          <w:bCs/>
          <w:lang w:val="en-US"/>
        </w:rPr>
        <w:t xml:space="preserve"> that was shown previously to </w:t>
      </w:r>
      <w:r w:rsidR="000A578D">
        <w:rPr>
          <w:rFonts w:ascii="Arial" w:eastAsiaTheme="minorHAnsi" w:hAnsi="Arial"/>
          <w:bCs/>
          <w:lang w:val="en-US"/>
        </w:rPr>
        <w:t>engender</w:t>
      </w:r>
      <w:r w:rsidR="00A0409D">
        <w:rPr>
          <w:rFonts w:ascii="Arial" w:eastAsiaTheme="minorHAnsi" w:hAnsi="Arial"/>
          <w:bCs/>
          <w:lang w:val="en-US"/>
        </w:rPr>
        <w:t xml:space="preserve"> </w:t>
      </w:r>
      <w:r w:rsidR="00674F82">
        <w:rPr>
          <w:rFonts w:ascii="Arial" w:eastAsiaTheme="minorHAnsi" w:hAnsi="Arial"/>
          <w:bCs/>
          <w:lang w:val="en-US"/>
        </w:rPr>
        <w:t>utmost</w:t>
      </w:r>
      <w:r w:rsidR="00A0409D">
        <w:rPr>
          <w:rFonts w:ascii="Arial" w:eastAsiaTheme="minorHAnsi" w:hAnsi="Arial"/>
          <w:bCs/>
          <w:lang w:val="en-US"/>
        </w:rPr>
        <w:t xml:space="preserve"> </w:t>
      </w:r>
      <w:r w:rsidR="00447C91">
        <w:rPr>
          <w:rFonts w:ascii="Arial" w:eastAsiaTheme="minorHAnsi" w:hAnsi="Arial"/>
          <w:bCs/>
          <w:lang w:val="en-US"/>
        </w:rPr>
        <w:t>osteogenic response</w:t>
      </w:r>
      <w:r w:rsidR="00674F82">
        <w:rPr>
          <w:rFonts w:ascii="Arial" w:eastAsiaTheme="minorHAnsi" w:hAnsi="Arial"/>
          <w:bCs/>
          <w:lang w:val="en-US"/>
        </w:rPr>
        <w:t xml:space="preserve"> </w:t>
      </w:r>
      <w:r w:rsidR="00626E48">
        <w:rPr>
          <w:rFonts w:ascii="Arial" w:eastAsiaTheme="minorHAnsi" w:hAnsi="Arial"/>
          <w:bCs/>
          <w:lang w:val="en-US"/>
        </w:rPr>
        <w:t xml:space="preserve">(maximal) </w:t>
      </w:r>
      <w:r w:rsidR="00B701F9">
        <w:rPr>
          <w:rFonts w:ascii="Arial" w:eastAsiaTheme="minorHAnsi" w:hAnsi="Arial"/>
          <w:bCs/>
          <w:lang w:val="en-US"/>
        </w:rPr>
        <w:t>compared to</w:t>
      </w:r>
      <w:r w:rsidR="008A2674">
        <w:rPr>
          <w:rFonts w:ascii="Arial" w:eastAsiaTheme="minorHAnsi" w:hAnsi="Arial"/>
          <w:bCs/>
          <w:lang w:val="en-US"/>
        </w:rPr>
        <w:t xml:space="preserve"> other </w:t>
      </w:r>
      <w:r w:rsidR="00EA32FC">
        <w:rPr>
          <w:rFonts w:ascii="Arial" w:eastAsiaTheme="minorHAnsi" w:hAnsi="Arial"/>
          <w:bCs/>
          <w:lang w:val="en-US"/>
        </w:rPr>
        <w:t xml:space="preserve">loading </w:t>
      </w:r>
      <w:r w:rsidR="008A2674">
        <w:rPr>
          <w:rFonts w:ascii="Arial" w:eastAsiaTheme="minorHAnsi" w:hAnsi="Arial"/>
          <w:bCs/>
          <w:lang w:val="en-US"/>
        </w:rPr>
        <w:t xml:space="preserve">regimens </w:t>
      </w:r>
      <w:r w:rsidR="00A0409D" w:rsidRPr="00E1140B">
        <w:rPr>
          <w:rFonts w:ascii="Arial" w:hAnsi="Arial"/>
          <w:bCs/>
        </w:rPr>
        <w:fldChar w:fldCharType="begin"/>
      </w:r>
      <w:r w:rsidR="0000415D">
        <w:rPr>
          <w:rFonts w:ascii="Arial" w:hAnsi="Arial"/>
          <w:bCs/>
        </w:rPr>
        <w:instrText xml:space="preserve"> ADDIN EN.CITE &lt;EndNote&gt;&lt;Cite&gt;&lt;Author&gt;Rubin&lt;/Author&gt;&lt;Year&gt;1984&lt;/Year&gt;&lt;RecNum&gt;426&lt;/RecNum&gt;&lt;DisplayText&gt;(Rubin and Lanyon, 1984)&lt;/DisplayText&gt;&lt;record&gt;&lt;rec-number&gt;426&lt;/rec-number&gt;&lt;foreign-keys&gt;&lt;key app="EN" db-id="ae9rewfrpdttrheppfxxv0p4950wpd25r09x" timestamp="1520658304"&gt;426&lt;/key&gt;&lt;/foreign-keys&gt;&lt;ref-type name="Journal Article"&gt;17&lt;/ref-type&gt;&lt;contributors&gt;&lt;authors&gt;&lt;author&gt;Rubin, C. T.&lt;/author&gt;&lt;author&gt;Lanyon, L. E.&lt;/author&gt;&lt;/authors&gt;&lt;/contributors&gt;&lt;titles&gt;&lt;title&gt;Regulation of bone-formation by applied dynamic loads&lt;/title&gt;&lt;secondary-title&gt;Journal of Bone and Joint Surgery&lt;/secondary-title&gt;&lt;/titles&gt;&lt;periodical&gt;&lt;full-title&gt;Journal Of Bone And Joint Surgery&lt;/full-title&gt;&lt;/periodical&gt;&lt;pages&gt;397-402&lt;/pages&gt;&lt;volume&gt;66A&lt;/volume&gt;&lt;number&gt;3&lt;/number&gt;&lt;dates&gt;&lt;year&gt;1984&lt;/year&gt;&lt;pub-dates&gt;&lt;date&gt;1984&lt;/date&gt;&lt;/pub-dates&gt;&lt;/dates&gt;&lt;isbn&gt;0021-9355&lt;/isbn&gt;&lt;accession-num&gt;WOS:A1984SJ22700012&lt;/accession-num&gt;&lt;urls&gt;&lt;related-urls&gt;&lt;url&gt;&amp;lt;Go to ISI&amp;gt;://WOS:A1984SJ22700012&lt;/url&gt;&lt;/related-urls&gt;&lt;/urls&gt;&lt;/record&gt;&lt;/Cite&gt;&lt;/EndNote&gt;</w:instrText>
      </w:r>
      <w:r w:rsidR="00A0409D" w:rsidRPr="00E1140B">
        <w:rPr>
          <w:rFonts w:ascii="Arial" w:hAnsi="Arial"/>
          <w:bCs/>
        </w:rPr>
        <w:fldChar w:fldCharType="separate"/>
      </w:r>
      <w:r w:rsidR="00A0409D" w:rsidRPr="00E1140B">
        <w:rPr>
          <w:rFonts w:ascii="Arial" w:hAnsi="Arial"/>
          <w:bCs/>
          <w:noProof/>
        </w:rPr>
        <w:t>(Rubin and Lanyon, 1984)</w:t>
      </w:r>
      <w:r w:rsidR="00A0409D" w:rsidRPr="00E1140B">
        <w:rPr>
          <w:rFonts w:ascii="Arial" w:hAnsi="Arial"/>
          <w:bCs/>
        </w:rPr>
        <w:fldChar w:fldCharType="end"/>
      </w:r>
      <w:r w:rsidR="00A0409D" w:rsidRPr="00E1140B">
        <w:rPr>
          <w:rFonts w:ascii="Arial" w:hAnsi="Arial"/>
          <w:bCs/>
        </w:rPr>
        <w:t>.</w:t>
      </w:r>
      <w:r w:rsidR="00A0409D">
        <w:rPr>
          <w:rFonts w:ascii="Arial" w:eastAsiaTheme="minorHAnsi" w:hAnsi="Arial"/>
          <w:bCs/>
          <w:lang w:val="en-US"/>
        </w:rPr>
        <w:t xml:space="preserve"> </w:t>
      </w:r>
      <w:r w:rsidR="00A0409D" w:rsidRPr="00AA7001">
        <w:rPr>
          <w:rFonts w:ascii="Arial" w:eastAsiaTheme="minorHAnsi" w:hAnsi="Arial"/>
          <w:bCs/>
          <w:color w:val="000000" w:themeColor="text1"/>
          <w:lang w:val="en-US"/>
        </w:rPr>
        <w:t>Results were obtained from the analysis of high resolution (</w:t>
      </w:r>
      <w:r w:rsidR="00A0409D">
        <w:rPr>
          <w:rFonts w:ascii="Arial" w:eastAsiaTheme="minorHAnsi" w:hAnsi="Arial"/>
          <w:bCs/>
          <w:color w:val="000000" w:themeColor="text1"/>
          <w:lang w:val="en-US"/>
        </w:rPr>
        <w:t xml:space="preserve">pixel size </w:t>
      </w:r>
      <w:r w:rsidR="00A0409D" w:rsidRPr="00AA7001">
        <w:rPr>
          <w:rFonts w:ascii="Arial" w:hAnsi="Arial" w:cs="Arial"/>
          <w:color w:val="000000" w:themeColor="text1"/>
        </w:rPr>
        <w:t>4.3</w:t>
      </w:r>
      <w:r w:rsidR="00A0409D" w:rsidRPr="00AA7001">
        <w:rPr>
          <w:rFonts w:ascii="Arial" w:hAnsi="Arial" w:cs="Arial"/>
          <w:color w:val="000000" w:themeColor="text1"/>
        </w:rPr>
        <w:sym w:font="Symbol" w:char="F06D"/>
      </w:r>
      <w:r w:rsidR="00A0409D" w:rsidRPr="00AA7001">
        <w:rPr>
          <w:rFonts w:ascii="Arial" w:hAnsi="Arial" w:cs="Arial"/>
          <w:color w:val="000000" w:themeColor="text1"/>
        </w:rPr>
        <w:t>m</w:t>
      </w:r>
      <w:r w:rsidR="00A0409D" w:rsidRPr="00AA7001">
        <w:rPr>
          <w:rFonts w:ascii="Arial" w:hAnsi="Arial"/>
          <w:color w:val="000000" w:themeColor="text1"/>
        </w:rPr>
        <w:t>)</w:t>
      </w:r>
      <w:r w:rsidR="00A0409D">
        <w:rPr>
          <w:rFonts w:ascii="Arial" w:hAnsi="Arial"/>
          <w:color w:val="000000" w:themeColor="text1"/>
        </w:rPr>
        <w:t xml:space="preserve"> </w:t>
      </w:r>
      <w:r w:rsidR="00A0409D" w:rsidRPr="00AA7001">
        <w:rPr>
          <w:rFonts w:ascii="Arial" w:hAnsi="Arial" w:cs="Arial"/>
          <w:color w:val="000000" w:themeColor="text1"/>
        </w:rPr>
        <w:sym w:font="Symbol" w:char="F06D"/>
      </w:r>
      <w:r w:rsidR="00A0409D" w:rsidRPr="00AA7001">
        <w:rPr>
          <w:rFonts w:ascii="Arial" w:hAnsi="Arial" w:cs="Arial"/>
          <w:color w:val="000000" w:themeColor="text1"/>
        </w:rPr>
        <w:t>CT</w:t>
      </w:r>
      <w:r w:rsidR="00A0409D" w:rsidRPr="00AA7001">
        <w:rPr>
          <w:rFonts w:ascii="Arial" w:eastAsiaTheme="minorHAnsi" w:hAnsi="Arial"/>
          <w:bCs/>
          <w:color w:val="000000" w:themeColor="text1"/>
          <w:lang w:val="en-US"/>
        </w:rPr>
        <w:t xml:space="preserve"> scans. </w:t>
      </w:r>
    </w:p>
    <w:p w14:paraId="655D0341" w14:textId="77777777" w:rsidR="00A0409D" w:rsidRDefault="00A0409D" w:rsidP="00A0409D">
      <w:pPr>
        <w:spacing w:line="360" w:lineRule="auto"/>
        <w:jc w:val="both"/>
        <w:rPr>
          <w:rFonts w:ascii="Arial" w:eastAsiaTheme="minorHAnsi" w:hAnsi="Arial"/>
          <w:bCs/>
          <w:color w:val="000000" w:themeColor="text1"/>
          <w:lang w:val="en-US"/>
        </w:rPr>
      </w:pPr>
    </w:p>
    <w:p w14:paraId="3C52B5B9" w14:textId="77777777" w:rsidR="00442F09" w:rsidRPr="00E017D4" w:rsidRDefault="00A0409D" w:rsidP="00442F09">
      <w:pPr>
        <w:spacing w:line="480" w:lineRule="auto"/>
        <w:jc w:val="both"/>
        <w:rPr>
          <w:rFonts w:ascii="Arial" w:hAnsi="Arial" w:cs="Arial"/>
          <w:bCs/>
          <w:lang w:val="en-US"/>
        </w:rPr>
      </w:pPr>
      <w:r w:rsidRPr="00442F09">
        <w:rPr>
          <w:rFonts w:ascii="Arial" w:hAnsi="Arial" w:cs="Arial"/>
          <w:bCs/>
          <w:lang w:val="en-US"/>
        </w:rPr>
        <w:t xml:space="preserve">Maximal loading caused a significant adaptive response in the loaded tibiae within both fed and fasted groups. </w:t>
      </w:r>
      <w:r w:rsidR="00442F09" w:rsidRPr="00442F09">
        <w:rPr>
          <w:rFonts w:ascii="Arial" w:hAnsi="Arial" w:cs="Arial"/>
          <w:bCs/>
          <w:lang w:val="en-US"/>
        </w:rPr>
        <w:t xml:space="preserve">Cortical bone area of the right loaded tibiae compared with the left tibiae significantly increased by 9% in fed animals and </w:t>
      </w:r>
      <w:r w:rsidR="00873310">
        <w:rPr>
          <w:rFonts w:ascii="Arial" w:hAnsi="Arial" w:cs="Arial"/>
          <w:bCs/>
          <w:lang w:val="en-US"/>
        </w:rPr>
        <w:t xml:space="preserve">by </w:t>
      </w:r>
      <w:r w:rsidR="00442F09" w:rsidRPr="00442F09">
        <w:rPr>
          <w:rFonts w:ascii="Arial" w:hAnsi="Arial" w:cs="Arial"/>
          <w:bCs/>
          <w:lang w:val="en-US"/>
        </w:rPr>
        <w:t xml:space="preserve">11% in fasted animals, whereas cortical thickness of the right tibiae in ad-lib fed mice significantly increased by 12% and by 14% in fasted mice compared with the left unloaded controls. </w:t>
      </w:r>
    </w:p>
    <w:p w14:paraId="4C123D44" w14:textId="77777777" w:rsidR="00442F09" w:rsidRPr="00442F09" w:rsidRDefault="00442F09" w:rsidP="00442F09">
      <w:pPr>
        <w:spacing w:line="480" w:lineRule="auto"/>
        <w:jc w:val="both"/>
        <w:rPr>
          <w:rFonts w:ascii="Arial" w:hAnsi="Arial" w:cs="Arial"/>
        </w:rPr>
      </w:pPr>
    </w:p>
    <w:p w14:paraId="72C54958" w14:textId="77777777" w:rsidR="00442F09" w:rsidRDefault="00442F09" w:rsidP="00442F09">
      <w:pPr>
        <w:spacing w:line="480" w:lineRule="auto"/>
        <w:jc w:val="both"/>
        <w:rPr>
          <w:rFonts w:ascii="Arial" w:hAnsi="Arial" w:cs="Arial"/>
          <w:bCs/>
          <w:lang w:val="en-US"/>
        </w:rPr>
      </w:pPr>
      <w:r w:rsidRPr="00442F09">
        <w:rPr>
          <w:rFonts w:ascii="Arial" w:hAnsi="Arial" w:cs="Arial"/>
          <w:bCs/>
          <w:lang w:val="en-US"/>
        </w:rPr>
        <w:t>Mechanical loading induced significant increase in Ct.Ar of the right loaded tibiae compared with the contralateral non-loaded tibiae in fasted (0.76</w:t>
      </w:r>
      <w:r w:rsidRPr="00442F09">
        <w:rPr>
          <w:rFonts w:ascii="Arial" w:eastAsia="MS Gothic" w:hAnsi="Arial" w:cs="Arial"/>
          <w:color w:val="000000"/>
        </w:rPr>
        <w:t>±0.01mm</w:t>
      </w:r>
      <w:r w:rsidRPr="00442F09">
        <w:rPr>
          <w:rFonts w:ascii="Arial" w:eastAsia="MS Gothic" w:hAnsi="Arial" w:cs="Arial"/>
          <w:color w:val="000000"/>
          <w:vertAlign w:val="superscript"/>
        </w:rPr>
        <w:t>3</w:t>
      </w:r>
      <w:r w:rsidRPr="00442F09">
        <w:rPr>
          <w:rFonts w:ascii="Arial" w:eastAsia="MS Gothic" w:hAnsi="Arial" w:cs="Arial"/>
          <w:color w:val="000000"/>
        </w:rPr>
        <w:t xml:space="preserve"> </w:t>
      </w:r>
      <w:r w:rsidRPr="00442F09">
        <w:rPr>
          <w:rFonts w:ascii="Arial" w:hAnsi="Arial" w:cs="Arial"/>
        </w:rPr>
        <w:t>versus</w:t>
      </w:r>
      <w:r w:rsidRPr="00442F09">
        <w:rPr>
          <w:rFonts w:ascii="Arial" w:eastAsia="MS Gothic" w:hAnsi="Arial" w:cs="Arial"/>
          <w:color w:val="000000"/>
        </w:rPr>
        <w:t xml:space="preserve"> 0.68±0.01mm</w:t>
      </w:r>
      <w:r w:rsidRPr="00442F09">
        <w:rPr>
          <w:rFonts w:ascii="Arial" w:eastAsia="MS Gothic" w:hAnsi="Arial" w:cs="Arial"/>
          <w:color w:val="000000"/>
          <w:vertAlign w:val="superscript"/>
        </w:rPr>
        <w:t>3</w:t>
      </w:r>
      <w:r w:rsidRPr="00442F09">
        <w:rPr>
          <w:rFonts w:ascii="Arial" w:eastAsia="MS Gothic" w:hAnsi="Arial" w:cs="Arial"/>
          <w:color w:val="000000"/>
        </w:rPr>
        <w:t xml:space="preserve">, </w:t>
      </w:r>
      <w:r w:rsidRPr="00442F09">
        <w:rPr>
          <w:rFonts w:ascii="Arial" w:hAnsi="Arial" w:cs="Arial"/>
          <w:bCs/>
          <w:lang w:val="en-US"/>
        </w:rPr>
        <w:t>p&lt;0.01</w:t>
      </w:r>
      <w:r w:rsidRPr="00442F09">
        <w:rPr>
          <w:rFonts w:ascii="Arial" w:eastAsia="MS Gothic" w:hAnsi="Arial" w:cs="Arial"/>
          <w:color w:val="000000"/>
        </w:rPr>
        <w:t>) and fed groups (0.73±0.01mm</w:t>
      </w:r>
      <w:r w:rsidRPr="00442F09">
        <w:rPr>
          <w:rFonts w:ascii="Arial" w:eastAsia="MS Gothic" w:hAnsi="Arial" w:cs="Arial"/>
          <w:color w:val="000000"/>
          <w:vertAlign w:val="superscript"/>
        </w:rPr>
        <w:t>3</w:t>
      </w:r>
      <w:r w:rsidRPr="00442F09">
        <w:rPr>
          <w:rFonts w:ascii="Arial" w:eastAsia="MS Gothic" w:hAnsi="Arial" w:cs="Arial"/>
          <w:color w:val="000000"/>
        </w:rPr>
        <w:t xml:space="preserve"> </w:t>
      </w:r>
      <w:r w:rsidRPr="00442F09">
        <w:rPr>
          <w:rFonts w:ascii="Arial" w:hAnsi="Arial" w:cs="Arial"/>
        </w:rPr>
        <w:t>versus</w:t>
      </w:r>
      <w:r w:rsidRPr="00442F09">
        <w:rPr>
          <w:rFonts w:ascii="Arial" w:eastAsia="MS Gothic" w:hAnsi="Arial" w:cs="Arial"/>
          <w:color w:val="000000"/>
        </w:rPr>
        <w:t xml:space="preserve"> 0.67±0.02mm</w:t>
      </w:r>
      <w:r w:rsidRPr="00442F09">
        <w:rPr>
          <w:rFonts w:ascii="Arial" w:eastAsia="MS Gothic" w:hAnsi="Arial" w:cs="Arial"/>
          <w:color w:val="000000"/>
          <w:vertAlign w:val="superscript"/>
        </w:rPr>
        <w:t>3</w:t>
      </w:r>
      <w:r w:rsidRPr="00442F09">
        <w:rPr>
          <w:rFonts w:ascii="Arial" w:eastAsia="MS Gothic" w:hAnsi="Arial" w:cs="Arial"/>
          <w:color w:val="000000"/>
        </w:rPr>
        <w:t xml:space="preserve">, </w:t>
      </w:r>
      <w:r w:rsidRPr="00442F09">
        <w:rPr>
          <w:rFonts w:ascii="Arial" w:hAnsi="Arial" w:cs="Arial"/>
          <w:bCs/>
          <w:lang w:val="en-US"/>
        </w:rPr>
        <w:t>p&lt;0.05</w:t>
      </w:r>
      <w:r w:rsidRPr="00442F09">
        <w:rPr>
          <w:rFonts w:ascii="Arial" w:eastAsia="MS Gothic" w:hAnsi="Arial" w:cs="Arial"/>
          <w:color w:val="000000"/>
        </w:rPr>
        <w:t>)</w:t>
      </w:r>
      <w:r>
        <w:rPr>
          <w:rFonts w:ascii="Arial" w:eastAsia="MS Gothic" w:hAnsi="Arial" w:cs="Arial"/>
          <w:color w:val="000000"/>
        </w:rPr>
        <w:t>, Figure 24</w:t>
      </w:r>
      <w:r w:rsidRPr="00442F09">
        <w:rPr>
          <w:rFonts w:ascii="Arial" w:eastAsia="MS Gothic" w:hAnsi="Arial" w:cs="Arial"/>
          <w:color w:val="000000"/>
        </w:rPr>
        <w:t>A</w:t>
      </w:r>
      <w:r w:rsidRPr="00442F09">
        <w:rPr>
          <w:rFonts w:ascii="Arial" w:hAnsi="Arial" w:cs="Arial"/>
          <w:bCs/>
          <w:lang w:val="en-US"/>
        </w:rPr>
        <w:t>. Ct.Th of the right tibiae in comparison to the left tibiae increased by 0.26</w:t>
      </w:r>
      <w:r w:rsidRPr="00442F09">
        <w:rPr>
          <w:rFonts w:ascii="Arial" w:eastAsia="MS Gothic" w:hAnsi="Arial" w:cs="Arial"/>
          <w:color w:val="000000"/>
        </w:rPr>
        <w:t>±</w:t>
      </w:r>
      <w:r w:rsidRPr="00442F09">
        <w:rPr>
          <w:rFonts w:ascii="Arial" w:hAnsi="Arial" w:cs="Arial"/>
          <w:bCs/>
          <w:lang w:val="en-US"/>
        </w:rPr>
        <w:t xml:space="preserve">0.009mm </w:t>
      </w:r>
      <w:r w:rsidRPr="00442F09">
        <w:rPr>
          <w:rFonts w:ascii="Arial" w:hAnsi="Arial" w:cs="Arial"/>
        </w:rPr>
        <w:t>versus</w:t>
      </w:r>
      <w:r w:rsidRPr="00442F09">
        <w:rPr>
          <w:rFonts w:ascii="Arial" w:hAnsi="Arial" w:cs="Arial"/>
          <w:bCs/>
          <w:lang w:val="en-US"/>
        </w:rPr>
        <w:t xml:space="preserve"> 0.23</w:t>
      </w:r>
      <w:r w:rsidRPr="00442F09">
        <w:rPr>
          <w:rFonts w:ascii="Arial" w:eastAsia="MS Gothic" w:hAnsi="Arial" w:cs="Arial"/>
          <w:color w:val="000000"/>
        </w:rPr>
        <w:t>±</w:t>
      </w:r>
      <w:r w:rsidRPr="00442F09">
        <w:rPr>
          <w:rFonts w:ascii="Arial" w:hAnsi="Arial" w:cs="Arial"/>
          <w:bCs/>
          <w:lang w:val="en-US"/>
        </w:rPr>
        <w:t>0.003mm (p&lt;0.01) in overnight fasted mice compared with 0.25</w:t>
      </w:r>
      <w:r w:rsidRPr="00442F09">
        <w:rPr>
          <w:rFonts w:ascii="Arial" w:eastAsia="MS Gothic" w:hAnsi="Arial" w:cs="Arial"/>
          <w:color w:val="000000"/>
        </w:rPr>
        <w:t>±</w:t>
      </w:r>
      <w:r w:rsidRPr="00442F09">
        <w:rPr>
          <w:rFonts w:ascii="Arial" w:hAnsi="Arial" w:cs="Arial"/>
          <w:bCs/>
          <w:lang w:val="en-US"/>
        </w:rPr>
        <w:t xml:space="preserve">0.006mm </w:t>
      </w:r>
      <w:r w:rsidRPr="00442F09">
        <w:rPr>
          <w:rFonts w:ascii="Arial" w:hAnsi="Arial" w:cs="Arial"/>
        </w:rPr>
        <w:t>versus</w:t>
      </w:r>
      <w:r w:rsidRPr="00442F09">
        <w:rPr>
          <w:rFonts w:ascii="Arial" w:hAnsi="Arial" w:cs="Arial"/>
          <w:bCs/>
          <w:lang w:val="en-US"/>
        </w:rPr>
        <w:t xml:space="preserve"> 0.2</w:t>
      </w:r>
      <w:r w:rsidR="004276F4">
        <w:rPr>
          <w:rFonts w:ascii="Arial" w:hAnsi="Arial" w:cs="Arial"/>
          <w:bCs/>
          <w:lang w:val="en-US"/>
        </w:rPr>
        <w:t>2.5</w:t>
      </w:r>
      <w:r w:rsidRPr="00442F09">
        <w:rPr>
          <w:rFonts w:ascii="Arial" w:eastAsia="MS Gothic" w:hAnsi="Arial" w:cs="Arial"/>
          <w:color w:val="000000"/>
        </w:rPr>
        <w:t>±</w:t>
      </w:r>
      <w:r w:rsidRPr="00442F09">
        <w:rPr>
          <w:rFonts w:ascii="Arial" w:hAnsi="Arial" w:cs="Arial"/>
          <w:bCs/>
          <w:lang w:val="en-US"/>
        </w:rPr>
        <w:t>0.002mm (p&lt;0.05) in the fed mice, but there were no significant differences in Ct.Th of loaded right tibiae between the two groups</w:t>
      </w:r>
      <w:r>
        <w:rPr>
          <w:rFonts w:ascii="Arial" w:hAnsi="Arial" w:cs="Arial"/>
          <w:bCs/>
          <w:lang w:val="en-US"/>
        </w:rPr>
        <w:t>, Figure 24</w:t>
      </w:r>
      <w:r w:rsidRPr="00442F09">
        <w:rPr>
          <w:rFonts w:ascii="Arial" w:hAnsi="Arial" w:cs="Arial"/>
          <w:bCs/>
          <w:lang w:val="en-US"/>
        </w:rPr>
        <w:t xml:space="preserve">D. There were no significant differences in other cortical bone parameters including </w:t>
      </w:r>
      <w:r w:rsidRPr="00442F09">
        <w:rPr>
          <w:rFonts w:ascii="Arial" w:hAnsi="Arial" w:cs="Arial"/>
          <w:color w:val="000000" w:themeColor="text1"/>
        </w:rPr>
        <w:t xml:space="preserve">Tt.Ar and Ma.Ar </w:t>
      </w:r>
      <w:r w:rsidRPr="00442F09">
        <w:rPr>
          <w:rFonts w:ascii="Arial" w:hAnsi="Arial" w:cs="Arial"/>
          <w:bCs/>
          <w:lang w:val="en-US"/>
        </w:rPr>
        <w:t xml:space="preserve">within and between the fed mice and those fasted overnight for 16 hours before </w:t>
      </w:r>
      <w:r>
        <w:rPr>
          <w:rFonts w:ascii="Arial" w:hAnsi="Arial" w:cs="Arial"/>
          <w:bCs/>
          <w:lang w:val="en-US"/>
        </w:rPr>
        <w:t>the loading (p&gt;0.05), Figure 24</w:t>
      </w:r>
      <w:r w:rsidRPr="00442F09">
        <w:rPr>
          <w:rFonts w:ascii="Arial" w:hAnsi="Arial" w:cs="Arial"/>
          <w:bCs/>
          <w:lang w:val="en-US"/>
        </w:rPr>
        <w:t>B, C.</w:t>
      </w:r>
    </w:p>
    <w:p w14:paraId="159BA789" w14:textId="77777777" w:rsidR="007A3050" w:rsidRDefault="007A3050" w:rsidP="00442F09">
      <w:pPr>
        <w:spacing w:line="480" w:lineRule="auto"/>
        <w:jc w:val="both"/>
        <w:rPr>
          <w:rFonts w:ascii="Arial" w:hAnsi="Arial" w:cs="Arial"/>
          <w:bCs/>
          <w:lang w:val="en-US"/>
        </w:rPr>
      </w:pPr>
    </w:p>
    <w:p w14:paraId="0F770246" w14:textId="77777777" w:rsidR="00873310" w:rsidRPr="002D3A43" w:rsidRDefault="00873310" w:rsidP="00A9190D">
      <w:pPr>
        <w:rPr>
          <w:rFonts w:ascii="Arial" w:hAnsi="Arial"/>
          <w:lang w:val="en-US"/>
        </w:rPr>
      </w:pPr>
    </w:p>
    <w:p w14:paraId="639EE030" w14:textId="77777777" w:rsidR="00873310" w:rsidRDefault="00873310" w:rsidP="00204988">
      <w:pPr>
        <w:pStyle w:val="TOCHeading"/>
      </w:pPr>
      <w:r w:rsidRPr="00EC668B">
        <w:t xml:space="preserve"> </w:t>
      </w:r>
      <w:r>
        <w:drawing>
          <wp:inline distT="0" distB="0" distL="0" distR="0" wp14:anchorId="1777389D" wp14:editId="53C39E59">
            <wp:extent cx="2964426" cy="2884667"/>
            <wp:effectExtent l="0" t="0" r="7620" b="1143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65220" cy="2885440"/>
                    </a:xfrm>
                    <a:prstGeom prst="rect">
                      <a:avLst/>
                    </a:prstGeom>
                    <a:noFill/>
                    <a:ln>
                      <a:noFill/>
                    </a:ln>
                  </pic:spPr>
                </pic:pic>
              </a:graphicData>
            </a:graphic>
          </wp:inline>
        </w:drawing>
      </w:r>
      <w:r w:rsidRPr="00E31722">
        <w:t xml:space="preserve"> </w:t>
      </w:r>
      <w:r>
        <w:drawing>
          <wp:inline distT="0" distB="0" distL="0" distR="0" wp14:anchorId="129EA8D5" wp14:editId="6BBFA774">
            <wp:extent cx="3001297" cy="2499360"/>
            <wp:effectExtent l="0" t="0" r="0"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01297" cy="2499360"/>
                    </a:xfrm>
                    <a:prstGeom prst="rect">
                      <a:avLst/>
                    </a:prstGeom>
                    <a:noFill/>
                    <a:ln>
                      <a:noFill/>
                    </a:ln>
                  </pic:spPr>
                </pic:pic>
              </a:graphicData>
            </a:graphic>
          </wp:inline>
        </w:drawing>
      </w:r>
    </w:p>
    <w:p w14:paraId="610B8A72" w14:textId="77777777" w:rsidR="00E017D4" w:rsidRDefault="00873310" w:rsidP="005E4EA5">
      <w:pPr>
        <w:pStyle w:val="TOCHeading"/>
        <w:ind w:firstLine="180"/>
      </w:pPr>
      <w:r>
        <w:t xml:space="preserve"> </w:t>
      </w:r>
      <w:r>
        <w:drawing>
          <wp:inline distT="0" distB="0" distL="0" distR="0" wp14:anchorId="3287F032" wp14:editId="24168D1A">
            <wp:extent cx="2780071" cy="2498512"/>
            <wp:effectExtent l="0" t="0" r="0" b="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1014" cy="2499360"/>
                    </a:xfrm>
                    <a:prstGeom prst="rect">
                      <a:avLst/>
                    </a:prstGeom>
                    <a:noFill/>
                    <a:ln>
                      <a:noFill/>
                    </a:ln>
                  </pic:spPr>
                </pic:pic>
              </a:graphicData>
            </a:graphic>
          </wp:inline>
        </w:drawing>
      </w:r>
      <w:r w:rsidRPr="003A5F16">
        <w:t xml:space="preserve"> </w:t>
      </w:r>
      <w:r>
        <w:rPr>
          <w:rFonts w:eastAsia="Times New Roman"/>
          <w:color w:val="000000" w:themeColor="text1"/>
          <w:sz w:val="24"/>
          <w:szCs w:val="24"/>
        </w:rPr>
        <w:drawing>
          <wp:inline distT="0" distB="0" distL="0" distR="0" wp14:anchorId="102FD73F" wp14:editId="1661333A">
            <wp:extent cx="2999874" cy="2519680"/>
            <wp:effectExtent l="0" t="0" r="0" b="0"/>
            <wp:docPr id="6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99874" cy="2519680"/>
                    </a:xfrm>
                    <a:prstGeom prst="rect">
                      <a:avLst/>
                    </a:prstGeom>
                    <a:noFill/>
                    <a:ln>
                      <a:noFill/>
                    </a:ln>
                  </pic:spPr>
                </pic:pic>
              </a:graphicData>
            </a:graphic>
          </wp:inline>
        </w:drawing>
      </w:r>
    </w:p>
    <w:p w14:paraId="12CB1EAB" w14:textId="77777777" w:rsidR="00E017D4" w:rsidRDefault="00E017D4" w:rsidP="00E017D4">
      <w:pPr>
        <w:pStyle w:val="Caption"/>
        <w:jc w:val="both"/>
      </w:pPr>
    </w:p>
    <w:p w14:paraId="15644524" w14:textId="77777777" w:rsidR="00873310" w:rsidRPr="00E017D4" w:rsidRDefault="00E017D4" w:rsidP="00E017D4">
      <w:pPr>
        <w:pStyle w:val="Caption"/>
        <w:spacing w:line="360" w:lineRule="auto"/>
        <w:jc w:val="both"/>
        <w:rPr>
          <w:rFonts w:ascii="Arial" w:hAnsi="Arial" w:cs="Arial"/>
          <w:color w:val="244061" w:themeColor="accent1" w:themeShade="80"/>
          <w:sz w:val="24"/>
          <w:szCs w:val="24"/>
        </w:rPr>
      </w:pPr>
      <w:bookmarkStart w:id="81" w:name="_Toc383544615"/>
      <w:r w:rsidRPr="00E017D4">
        <w:rPr>
          <w:rFonts w:ascii="Arial" w:hAnsi="Arial" w:cs="Arial"/>
          <w:color w:val="244061" w:themeColor="accent1" w:themeShade="80"/>
          <w:sz w:val="24"/>
          <w:szCs w:val="24"/>
        </w:rPr>
        <w:t xml:space="preserve">Figure </w:t>
      </w:r>
      <w:r w:rsidRPr="00E017D4">
        <w:rPr>
          <w:rFonts w:ascii="Arial" w:hAnsi="Arial" w:cs="Arial"/>
          <w:color w:val="244061" w:themeColor="accent1" w:themeShade="80"/>
          <w:sz w:val="24"/>
          <w:szCs w:val="24"/>
        </w:rPr>
        <w:fldChar w:fldCharType="begin"/>
      </w:r>
      <w:r w:rsidRPr="00E017D4">
        <w:rPr>
          <w:rFonts w:ascii="Arial" w:hAnsi="Arial" w:cs="Arial"/>
          <w:color w:val="244061" w:themeColor="accent1" w:themeShade="80"/>
          <w:sz w:val="24"/>
          <w:szCs w:val="24"/>
        </w:rPr>
        <w:instrText xml:space="preserve"> SEQ Figure \* ARABIC </w:instrText>
      </w:r>
      <w:r w:rsidRPr="00E017D4">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24</w:t>
      </w:r>
      <w:r w:rsidRPr="00E017D4">
        <w:rPr>
          <w:rFonts w:ascii="Arial" w:hAnsi="Arial" w:cs="Arial"/>
          <w:color w:val="244061" w:themeColor="accent1" w:themeShade="80"/>
          <w:sz w:val="24"/>
          <w:szCs w:val="24"/>
        </w:rPr>
        <w:fldChar w:fldCharType="end"/>
      </w:r>
      <w:r w:rsidRPr="00E017D4">
        <w:rPr>
          <w:rFonts w:ascii="Arial" w:hAnsi="Arial" w:cs="Arial"/>
          <w:color w:val="244061" w:themeColor="accent1" w:themeShade="80"/>
          <w:sz w:val="24"/>
          <w:szCs w:val="24"/>
        </w:rPr>
        <w:t xml:space="preserve"> </w:t>
      </w:r>
      <w:r w:rsidR="00873310" w:rsidRPr="00E017D4">
        <w:rPr>
          <w:rFonts w:ascii="Arial" w:hAnsi="Arial" w:cs="Arial"/>
          <w:color w:val="244061" w:themeColor="accent1" w:themeShade="80"/>
          <w:sz w:val="24"/>
          <w:szCs w:val="24"/>
        </w:rPr>
        <w:t xml:space="preserve">Cortical bone mass and architecture measured at the mid-shaft region of the </w:t>
      </w:r>
      <w:r w:rsidR="00873310" w:rsidRPr="00E017D4">
        <w:rPr>
          <w:rFonts w:ascii="Arial" w:eastAsiaTheme="minorHAnsi" w:hAnsi="Arial" w:cs="Arial"/>
          <w:bCs w:val="0"/>
          <w:color w:val="244061" w:themeColor="accent1" w:themeShade="80"/>
          <w:sz w:val="24"/>
          <w:szCs w:val="24"/>
          <w:lang w:val="en-US"/>
        </w:rPr>
        <w:t xml:space="preserve">left non-loaded (control) and </w:t>
      </w:r>
      <w:r w:rsidR="00873310" w:rsidRPr="00E017D4">
        <w:rPr>
          <w:rFonts w:ascii="Arial" w:hAnsi="Arial" w:cs="Arial"/>
          <w:color w:val="244061" w:themeColor="accent1" w:themeShade="80"/>
          <w:sz w:val="24"/>
          <w:szCs w:val="24"/>
        </w:rPr>
        <w:t xml:space="preserve">right </w:t>
      </w:r>
      <w:r w:rsidR="00873310" w:rsidRPr="00E017D4">
        <w:rPr>
          <w:rFonts w:ascii="Arial" w:eastAsiaTheme="minorHAnsi" w:hAnsi="Arial" w:cs="Arial"/>
          <w:bCs w:val="0"/>
          <w:color w:val="244061" w:themeColor="accent1" w:themeShade="80"/>
          <w:sz w:val="24"/>
          <w:szCs w:val="24"/>
          <w:lang w:val="en-US"/>
        </w:rPr>
        <w:t>loaded tibiae with 40 cycles of loading regimen of 19-week-old fed (n=7) or overnight fasted (n=7) male mice</w:t>
      </w:r>
      <w:bookmarkEnd w:id="81"/>
      <w:r w:rsidR="00873310" w:rsidRPr="00E017D4">
        <w:rPr>
          <w:rFonts w:ascii="Arial" w:eastAsiaTheme="minorHAnsi" w:hAnsi="Arial" w:cs="Arial"/>
          <w:bCs w:val="0"/>
          <w:color w:val="244061" w:themeColor="accent1" w:themeShade="80"/>
          <w:sz w:val="24"/>
          <w:szCs w:val="24"/>
          <w:lang w:val="en-US"/>
        </w:rPr>
        <w:t xml:space="preserve"> </w:t>
      </w:r>
    </w:p>
    <w:p w14:paraId="42BD2056" w14:textId="77777777" w:rsidR="00873310" w:rsidRDefault="00873310" w:rsidP="00873310">
      <w:pPr>
        <w:spacing w:line="360" w:lineRule="auto"/>
        <w:jc w:val="both"/>
        <w:rPr>
          <w:rFonts w:ascii="Arial" w:eastAsiaTheme="minorHAnsi" w:hAnsi="Arial" w:cs="Arial"/>
          <w:sz w:val="22"/>
          <w:szCs w:val="22"/>
          <w:lang w:val="en-US"/>
        </w:rPr>
      </w:pPr>
      <w:r>
        <w:rPr>
          <w:rFonts w:ascii="Arial" w:eastAsiaTheme="minorHAnsi" w:hAnsi="Arial" w:cs="Arial"/>
          <w:sz w:val="22"/>
          <w:szCs w:val="22"/>
          <w:lang w:val="en-US"/>
        </w:rPr>
        <w:t xml:space="preserve">Loading </w:t>
      </w:r>
      <w:r w:rsidRPr="00E017D4">
        <w:rPr>
          <w:rFonts w:ascii="Arial" w:eastAsiaTheme="minorHAnsi" w:hAnsi="Arial" w:cs="Arial"/>
          <w:sz w:val="22"/>
          <w:szCs w:val="22"/>
          <w:lang w:val="en-US"/>
        </w:rPr>
        <w:t xml:space="preserve">regimen with </w:t>
      </w:r>
      <w:r w:rsidR="00E017D4" w:rsidRPr="00E017D4">
        <w:rPr>
          <w:rFonts w:ascii="Arial" w:hAnsi="Arial"/>
          <w:bCs/>
          <w:sz w:val="22"/>
          <w:szCs w:val="22"/>
          <w:lang w:val="en-US"/>
        </w:rPr>
        <w:t xml:space="preserve">a peak force of 13N and </w:t>
      </w:r>
      <w:r w:rsidRPr="00E017D4">
        <w:rPr>
          <w:rFonts w:ascii="Arial" w:eastAsiaTheme="minorHAnsi" w:hAnsi="Arial" w:cs="Arial"/>
          <w:sz w:val="22"/>
          <w:szCs w:val="22"/>
          <w:lang w:val="en-US"/>
        </w:rPr>
        <w:t>40 cycles</w:t>
      </w:r>
      <w:r>
        <w:rPr>
          <w:rFonts w:ascii="Arial" w:eastAsiaTheme="minorHAnsi" w:hAnsi="Arial" w:cs="Arial"/>
          <w:sz w:val="22"/>
          <w:szCs w:val="22"/>
          <w:lang w:val="en-US"/>
        </w:rPr>
        <w:t xml:space="preserve"> induced</w:t>
      </w:r>
      <w:r w:rsidRPr="004D06C6">
        <w:rPr>
          <w:rFonts w:ascii="Arial" w:eastAsiaTheme="minorHAnsi" w:hAnsi="Arial" w:cs="Arial"/>
          <w:sz w:val="22"/>
          <w:szCs w:val="22"/>
          <w:lang w:val="en-US"/>
        </w:rPr>
        <w:t xml:space="preserve"> increase in </w:t>
      </w:r>
      <w:r>
        <w:rPr>
          <w:rFonts w:ascii="Arial" w:eastAsiaTheme="minorHAnsi" w:hAnsi="Arial" w:cs="Arial"/>
          <w:sz w:val="22"/>
          <w:szCs w:val="22"/>
          <w:lang w:val="en-US"/>
        </w:rPr>
        <w:t>Ct.Ar and Ct.Th of the</w:t>
      </w:r>
      <w:r w:rsidRPr="004D06C6">
        <w:rPr>
          <w:rFonts w:ascii="Arial" w:eastAsiaTheme="minorHAnsi" w:hAnsi="Arial" w:cs="Arial"/>
          <w:sz w:val="22"/>
          <w:szCs w:val="22"/>
          <w:lang w:val="en-US"/>
        </w:rPr>
        <w:t xml:space="preserve"> right loaded tibiae compared with the left unloaded tibiae within both </w:t>
      </w:r>
      <w:r>
        <w:rPr>
          <w:rFonts w:ascii="Arial" w:eastAsiaTheme="minorHAnsi" w:hAnsi="Arial" w:cs="Arial"/>
          <w:sz w:val="22"/>
          <w:szCs w:val="22"/>
          <w:lang w:val="en-US"/>
        </w:rPr>
        <w:t xml:space="preserve">ad-lib fed and fasted </w:t>
      </w:r>
      <w:r w:rsidRPr="004D06C6">
        <w:rPr>
          <w:rFonts w:ascii="Arial" w:eastAsiaTheme="minorHAnsi" w:hAnsi="Arial" w:cs="Arial"/>
          <w:sz w:val="22"/>
          <w:szCs w:val="22"/>
          <w:lang w:val="en-US"/>
        </w:rPr>
        <w:t>groups</w:t>
      </w:r>
      <w:r>
        <w:rPr>
          <w:rFonts w:ascii="Arial" w:eastAsiaTheme="minorHAnsi" w:hAnsi="Arial" w:cs="Arial"/>
          <w:sz w:val="22"/>
          <w:szCs w:val="22"/>
          <w:lang w:val="en-US"/>
        </w:rPr>
        <w:t xml:space="preserve"> (A, D)</w:t>
      </w:r>
      <w:r w:rsidRPr="004D06C6">
        <w:rPr>
          <w:rFonts w:ascii="Arial" w:eastAsiaTheme="minorHAnsi" w:hAnsi="Arial" w:cs="Arial"/>
          <w:sz w:val="22"/>
          <w:szCs w:val="22"/>
          <w:lang w:val="en-US"/>
        </w:rPr>
        <w:t xml:space="preserve">. There were no significant differences </w:t>
      </w:r>
      <w:r>
        <w:rPr>
          <w:rFonts w:ascii="Arial" w:eastAsiaTheme="minorHAnsi" w:hAnsi="Arial" w:cs="Arial"/>
          <w:sz w:val="22"/>
          <w:szCs w:val="22"/>
          <w:lang w:val="en-US"/>
        </w:rPr>
        <w:t>in</w:t>
      </w:r>
      <w:r w:rsidRPr="004D06C6">
        <w:rPr>
          <w:rFonts w:ascii="Arial" w:eastAsiaTheme="minorHAnsi" w:hAnsi="Arial" w:cs="Arial"/>
          <w:sz w:val="22"/>
          <w:szCs w:val="22"/>
          <w:lang w:val="en-US"/>
        </w:rPr>
        <w:t xml:space="preserve"> any other </w:t>
      </w:r>
      <w:r>
        <w:rPr>
          <w:rFonts w:ascii="Arial" w:eastAsiaTheme="minorHAnsi" w:hAnsi="Arial" w:cs="Arial"/>
          <w:sz w:val="22"/>
          <w:szCs w:val="22"/>
          <w:lang w:val="en-US"/>
        </w:rPr>
        <w:t>cortical</w:t>
      </w:r>
      <w:r w:rsidRPr="004D06C6">
        <w:rPr>
          <w:rFonts w:ascii="Arial" w:eastAsiaTheme="minorHAnsi" w:hAnsi="Arial" w:cs="Arial"/>
          <w:sz w:val="22"/>
          <w:szCs w:val="22"/>
          <w:lang w:val="en-US"/>
        </w:rPr>
        <w:t xml:space="preserve"> bone parameters measured within and between the experimental groups</w:t>
      </w:r>
      <w:r>
        <w:rPr>
          <w:rFonts w:ascii="Arial" w:eastAsiaTheme="minorHAnsi" w:hAnsi="Arial" w:cs="Arial"/>
          <w:sz w:val="22"/>
          <w:szCs w:val="22"/>
          <w:lang w:val="en-US"/>
        </w:rPr>
        <w:t xml:space="preserve"> (A-D)</w:t>
      </w:r>
      <w:r w:rsidR="009F34A6">
        <w:rPr>
          <w:rFonts w:ascii="Arial" w:eastAsiaTheme="minorHAnsi" w:hAnsi="Arial" w:cs="Arial"/>
          <w:sz w:val="22"/>
          <w:szCs w:val="22"/>
          <w:lang w:val="en-US"/>
        </w:rPr>
        <w:t>.</w:t>
      </w:r>
    </w:p>
    <w:p w14:paraId="6C8E6E2A" w14:textId="77777777" w:rsidR="00873310" w:rsidRPr="00A73309" w:rsidRDefault="00873310" w:rsidP="00873310">
      <w:pPr>
        <w:spacing w:line="360" w:lineRule="auto"/>
        <w:jc w:val="both"/>
        <w:rPr>
          <w:rFonts w:ascii="Arial" w:hAnsi="Arial" w:cs="Arial"/>
          <w:sz w:val="22"/>
          <w:szCs w:val="22"/>
        </w:rPr>
      </w:pPr>
      <w:r w:rsidRPr="004D06C6">
        <w:rPr>
          <w:rFonts w:ascii="Arial" w:eastAsiaTheme="minorHAnsi" w:hAnsi="Arial" w:cs="Arial"/>
          <w:sz w:val="22"/>
          <w:szCs w:val="22"/>
          <w:lang w:val="en-US"/>
        </w:rPr>
        <w:t xml:space="preserve">Bars represent mean </w:t>
      </w:r>
      <w:r w:rsidRPr="004D06C6">
        <w:rPr>
          <w:rFonts w:ascii="Arial" w:eastAsia="MS Gothic" w:hAnsi="Arial" w:cs="Arial"/>
          <w:sz w:val="22"/>
          <w:szCs w:val="22"/>
        </w:rPr>
        <w:t>±</w:t>
      </w:r>
      <w:r w:rsidRPr="004D06C6">
        <w:rPr>
          <w:rFonts w:ascii="Arial" w:eastAsiaTheme="minorHAnsi" w:hAnsi="Arial" w:cs="Arial"/>
          <w:sz w:val="22"/>
          <w:szCs w:val="22"/>
          <w:lang w:val="en-US"/>
        </w:rPr>
        <w:t>SE</w:t>
      </w:r>
      <w:r>
        <w:rPr>
          <w:rFonts w:ascii="Arial" w:eastAsiaTheme="minorHAnsi" w:hAnsi="Arial" w:cs="Arial"/>
          <w:sz w:val="22"/>
          <w:szCs w:val="22"/>
          <w:lang w:val="en-US"/>
        </w:rPr>
        <w:t xml:space="preserve">. * </w:t>
      </w:r>
      <w:proofErr w:type="gramStart"/>
      <w:r>
        <w:rPr>
          <w:rFonts w:ascii="Arial" w:eastAsiaTheme="minorHAnsi" w:hAnsi="Arial" w:cs="Arial"/>
          <w:sz w:val="22"/>
          <w:szCs w:val="22"/>
          <w:lang w:val="en-US"/>
        </w:rPr>
        <w:t>p</w:t>
      </w:r>
      <w:proofErr w:type="gramEnd"/>
      <w:r>
        <w:rPr>
          <w:rFonts w:ascii="Arial" w:eastAsiaTheme="minorHAnsi" w:hAnsi="Arial" w:cs="Arial"/>
          <w:sz w:val="22"/>
          <w:szCs w:val="22"/>
          <w:lang w:val="en-US"/>
        </w:rPr>
        <w:t>&lt;0.05, ** p&lt;0.01</w:t>
      </w:r>
    </w:p>
    <w:p w14:paraId="2F2522D1" w14:textId="77777777" w:rsidR="00442F09" w:rsidRPr="00145DDC" w:rsidRDefault="00A0409D" w:rsidP="00145DDC">
      <w:pPr>
        <w:pStyle w:val="Heading3"/>
        <w:spacing w:line="480" w:lineRule="auto"/>
        <w:jc w:val="both"/>
        <w:rPr>
          <w:rFonts w:ascii="Arial" w:hAnsi="Arial" w:cs="Arial"/>
          <w:color w:val="auto"/>
          <w:lang w:val="en-US"/>
        </w:rPr>
      </w:pPr>
      <w:bookmarkStart w:id="82" w:name="_Toc383723884"/>
      <w:r w:rsidRPr="00145DDC">
        <w:rPr>
          <w:rFonts w:ascii="Arial" w:hAnsi="Arial" w:cs="Arial"/>
          <w:noProof/>
          <w:color w:val="auto"/>
        </w:rPr>
        <w:lastRenderedPageBreak/>
        <w:t xml:space="preserve">3.2.5 </w:t>
      </w:r>
      <w:r w:rsidR="00442F09" w:rsidRPr="00145DDC">
        <w:rPr>
          <w:rFonts w:ascii="Arial" w:hAnsi="Arial" w:cs="Arial"/>
          <w:noProof/>
          <w:color w:val="auto"/>
        </w:rPr>
        <w:t>The effect of 40 cycles of mechanical loading with 13N force on tibial trabecular bone mass and architecture of fed or overnig</w:t>
      </w:r>
      <w:r w:rsidR="001017E5">
        <w:rPr>
          <w:rFonts w:ascii="Arial" w:hAnsi="Arial" w:cs="Arial"/>
          <w:noProof/>
          <w:color w:val="auto"/>
        </w:rPr>
        <w:t xml:space="preserve">ht fasted young </w:t>
      </w:r>
      <w:r w:rsidR="00442F09" w:rsidRPr="00145DDC">
        <w:rPr>
          <w:rFonts w:ascii="Arial" w:hAnsi="Arial" w:cs="Arial"/>
          <w:noProof/>
          <w:color w:val="auto"/>
        </w:rPr>
        <w:t>mice</w:t>
      </w:r>
      <w:bookmarkEnd w:id="82"/>
    </w:p>
    <w:p w14:paraId="3EB57295" w14:textId="77777777" w:rsidR="00442F09" w:rsidRPr="00442F09" w:rsidRDefault="00442F09" w:rsidP="00442F09">
      <w:pPr>
        <w:spacing w:line="480" w:lineRule="auto"/>
        <w:jc w:val="both"/>
        <w:rPr>
          <w:rFonts w:ascii="Arial" w:eastAsiaTheme="minorHAnsi" w:hAnsi="Arial" w:cs="Arial"/>
          <w:bCs/>
          <w:lang w:val="en-US"/>
        </w:rPr>
      </w:pPr>
      <w:r w:rsidRPr="00442F09">
        <w:rPr>
          <w:rFonts w:ascii="Arial" w:hAnsi="Arial" w:cs="Arial"/>
          <w:bCs/>
          <w:lang w:val="en-US"/>
        </w:rPr>
        <w:t xml:space="preserve">The trabecular </w:t>
      </w:r>
      <w:r w:rsidR="00145DDC">
        <w:rPr>
          <w:rFonts w:ascii="Arial" w:hAnsi="Arial"/>
          <w:bCs/>
          <w:lang w:val="en-US"/>
        </w:rPr>
        <w:t>bone volume fraction</w:t>
      </w:r>
      <w:r w:rsidR="00145DDC" w:rsidRPr="00F809A2">
        <w:rPr>
          <w:rFonts w:ascii="Arial" w:hAnsi="Arial"/>
          <w:bCs/>
          <w:lang w:val="en-US"/>
        </w:rPr>
        <w:t xml:space="preserve"> </w:t>
      </w:r>
      <w:r w:rsidRPr="00442F09">
        <w:rPr>
          <w:rFonts w:ascii="Arial" w:hAnsi="Arial" w:cs="Arial"/>
          <w:bCs/>
          <w:lang w:val="en-US"/>
        </w:rPr>
        <w:t xml:space="preserve">significantly increased by 65% in the loaded right tibiae of ad-lib fed mice compared with 49% increase in that of the fasted mice. </w:t>
      </w:r>
      <w:r w:rsidR="00145DDC">
        <w:rPr>
          <w:rFonts w:ascii="Arial" w:hAnsi="Arial"/>
          <w:bCs/>
          <w:lang w:val="en-US"/>
        </w:rPr>
        <w:t xml:space="preserve">Trabecular thickness </w:t>
      </w:r>
      <w:r w:rsidR="00D05A78">
        <w:rPr>
          <w:rFonts w:ascii="Arial" w:hAnsi="Arial" w:cs="Arial"/>
          <w:bCs/>
          <w:lang w:val="en-US"/>
        </w:rPr>
        <w:t>increased by 35</w:t>
      </w:r>
      <w:r w:rsidRPr="00442F09">
        <w:rPr>
          <w:rFonts w:ascii="Arial" w:hAnsi="Arial" w:cs="Arial"/>
          <w:bCs/>
          <w:lang w:val="en-US"/>
        </w:rPr>
        <w:t>% in the right tib</w:t>
      </w:r>
      <w:r w:rsidR="00D05A78">
        <w:rPr>
          <w:rFonts w:ascii="Arial" w:hAnsi="Arial" w:cs="Arial"/>
          <w:bCs/>
          <w:lang w:val="en-US"/>
        </w:rPr>
        <w:t>iae of ad-lib fed mice and by 38</w:t>
      </w:r>
      <w:r w:rsidRPr="00442F09">
        <w:rPr>
          <w:rFonts w:ascii="Arial" w:hAnsi="Arial" w:cs="Arial"/>
          <w:bCs/>
          <w:lang w:val="en-US"/>
        </w:rPr>
        <w:t xml:space="preserve">% in the right tibiae of fasted mice compared with the unloaded left legs within both groups. </w:t>
      </w:r>
      <w:r w:rsidR="005E63AB">
        <w:rPr>
          <w:rFonts w:ascii="Arial" w:hAnsi="Arial"/>
          <w:bCs/>
          <w:lang w:val="en-US"/>
        </w:rPr>
        <w:t xml:space="preserve">Trabecular pattern factor </w:t>
      </w:r>
      <w:r w:rsidR="00D05A78">
        <w:rPr>
          <w:rFonts w:ascii="Arial" w:hAnsi="Arial" w:cs="Arial"/>
          <w:bCs/>
          <w:lang w:val="en-US"/>
        </w:rPr>
        <w:t>decreased by approximately 33% and 2</w:t>
      </w:r>
      <w:r w:rsidRPr="00442F09">
        <w:rPr>
          <w:rFonts w:ascii="Arial" w:hAnsi="Arial" w:cs="Arial"/>
          <w:bCs/>
          <w:lang w:val="en-US"/>
        </w:rPr>
        <w:t xml:space="preserve">3% in the loaded right tibiae compared to the left non-loaded controls in fed and fasted groups respectively. </w:t>
      </w:r>
    </w:p>
    <w:p w14:paraId="51F9A2FB" w14:textId="77777777" w:rsidR="00442F09" w:rsidRPr="00442F09" w:rsidRDefault="00442F09" w:rsidP="00442F09">
      <w:pPr>
        <w:spacing w:line="480" w:lineRule="auto"/>
        <w:jc w:val="both"/>
        <w:rPr>
          <w:rFonts w:ascii="Arial" w:hAnsi="Arial" w:cs="Arial"/>
          <w:bCs/>
          <w:lang w:val="en-US"/>
        </w:rPr>
      </w:pPr>
    </w:p>
    <w:p w14:paraId="70EE63C1" w14:textId="77777777" w:rsidR="00442F09" w:rsidRPr="00442F09" w:rsidRDefault="00442F09" w:rsidP="00442F09">
      <w:pPr>
        <w:spacing w:line="480" w:lineRule="auto"/>
        <w:jc w:val="both"/>
        <w:rPr>
          <w:rFonts w:ascii="Arial" w:hAnsi="Arial" w:cs="Arial"/>
          <w:bCs/>
          <w:lang w:val="en-US"/>
        </w:rPr>
      </w:pPr>
      <w:r w:rsidRPr="00442F09">
        <w:rPr>
          <w:rFonts w:ascii="Arial" w:hAnsi="Arial" w:cs="Arial"/>
          <w:bCs/>
          <w:lang w:val="en-US"/>
        </w:rPr>
        <w:t>In the fasted mice, the increase in trabecular BV/TV in the right tibiae compared with the non-loaded control left tibiae was 18.9</w:t>
      </w:r>
      <w:r w:rsidRPr="00442F09">
        <w:rPr>
          <w:rFonts w:ascii="Arial" w:eastAsia="MS Gothic" w:hAnsi="Arial" w:cs="Arial"/>
          <w:color w:val="000000"/>
        </w:rPr>
        <w:t>±</w:t>
      </w:r>
      <w:r w:rsidRPr="00442F09">
        <w:rPr>
          <w:rFonts w:ascii="Arial" w:hAnsi="Arial" w:cs="Arial"/>
          <w:bCs/>
          <w:lang w:val="en-US"/>
        </w:rPr>
        <w:t xml:space="preserve">0.6% </w:t>
      </w:r>
      <w:r w:rsidRPr="00442F09">
        <w:rPr>
          <w:rFonts w:ascii="Arial" w:hAnsi="Arial" w:cs="Arial"/>
        </w:rPr>
        <w:t>versus</w:t>
      </w:r>
      <w:r w:rsidRPr="00442F09">
        <w:rPr>
          <w:rFonts w:ascii="Arial" w:hAnsi="Arial" w:cs="Arial"/>
          <w:bCs/>
          <w:lang w:val="en-US"/>
        </w:rPr>
        <w:t xml:space="preserve"> 12.7</w:t>
      </w:r>
      <w:r w:rsidRPr="00442F09">
        <w:rPr>
          <w:rFonts w:ascii="Arial" w:eastAsia="MS Gothic" w:hAnsi="Arial" w:cs="Arial"/>
          <w:color w:val="000000"/>
        </w:rPr>
        <w:t>±</w:t>
      </w:r>
      <w:r w:rsidRPr="00442F09">
        <w:rPr>
          <w:rFonts w:ascii="Arial" w:hAnsi="Arial" w:cs="Arial"/>
          <w:bCs/>
          <w:lang w:val="en-US"/>
        </w:rPr>
        <w:t>0.5% (p&lt;0.0001) compared with 19.1</w:t>
      </w:r>
      <w:r w:rsidRPr="00442F09">
        <w:rPr>
          <w:rFonts w:ascii="Arial" w:eastAsia="MS Gothic" w:hAnsi="Arial" w:cs="Arial"/>
          <w:color w:val="000000"/>
        </w:rPr>
        <w:t>±</w:t>
      </w:r>
      <w:r w:rsidRPr="00442F09">
        <w:rPr>
          <w:rFonts w:ascii="Arial" w:hAnsi="Arial" w:cs="Arial"/>
          <w:bCs/>
          <w:lang w:val="en-US"/>
        </w:rPr>
        <w:t xml:space="preserve">0.6% </w:t>
      </w:r>
      <w:r w:rsidRPr="00442F09">
        <w:rPr>
          <w:rFonts w:ascii="Arial" w:hAnsi="Arial" w:cs="Arial"/>
        </w:rPr>
        <w:t>versus</w:t>
      </w:r>
      <w:r w:rsidRPr="00442F09">
        <w:rPr>
          <w:rFonts w:ascii="Arial" w:hAnsi="Arial" w:cs="Arial"/>
          <w:bCs/>
          <w:lang w:val="en-US"/>
        </w:rPr>
        <w:t xml:space="preserve"> 11.5</w:t>
      </w:r>
      <w:r w:rsidRPr="00442F09">
        <w:rPr>
          <w:rFonts w:ascii="Arial" w:eastAsia="MS Gothic" w:hAnsi="Arial" w:cs="Arial"/>
          <w:color w:val="000000"/>
        </w:rPr>
        <w:t>±</w:t>
      </w:r>
      <w:r w:rsidRPr="00442F09">
        <w:rPr>
          <w:rFonts w:ascii="Arial" w:hAnsi="Arial" w:cs="Arial"/>
          <w:bCs/>
          <w:lang w:val="en-US"/>
        </w:rPr>
        <w:t>0.7% (p&lt;0.</w:t>
      </w:r>
      <w:r w:rsidR="005E63AB">
        <w:rPr>
          <w:rFonts w:ascii="Arial" w:hAnsi="Arial" w:cs="Arial"/>
          <w:bCs/>
          <w:lang w:val="en-US"/>
        </w:rPr>
        <w:t>0001) in the fed group, Figure 25</w:t>
      </w:r>
      <w:r w:rsidRPr="00442F09">
        <w:rPr>
          <w:rFonts w:ascii="Arial" w:hAnsi="Arial" w:cs="Arial"/>
          <w:bCs/>
          <w:lang w:val="en-US"/>
        </w:rPr>
        <w:t>A. Tb.Th of the right tibiae compared with the left controls increased in fasted mice by 0.0</w:t>
      </w:r>
      <w:r w:rsidR="00D05A78">
        <w:rPr>
          <w:rFonts w:ascii="Arial" w:hAnsi="Arial" w:cs="Arial"/>
          <w:bCs/>
          <w:lang w:val="en-US"/>
        </w:rPr>
        <w:t>55</w:t>
      </w:r>
      <w:r w:rsidRPr="00442F09">
        <w:rPr>
          <w:rFonts w:ascii="Arial" w:eastAsia="MS Gothic" w:hAnsi="Arial" w:cs="Arial"/>
          <w:color w:val="000000"/>
        </w:rPr>
        <w:t xml:space="preserve">±0.002mm </w:t>
      </w:r>
      <w:r w:rsidRPr="00442F09">
        <w:rPr>
          <w:rFonts w:ascii="Arial" w:hAnsi="Arial" w:cs="Arial"/>
        </w:rPr>
        <w:t>versus</w:t>
      </w:r>
      <w:r w:rsidRPr="00442F09">
        <w:rPr>
          <w:rFonts w:ascii="Arial" w:eastAsia="MS Gothic" w:hAnsi="Arial" w:cs="Arial"/>
          <w:color w:val="000000"/>
        </w:rPr>
        <w:t xml:space="preserve"> 0.04mm (p&lt;0.0001) compared with 0.05 ± 0.001mm </w:t>
      </w:r>
      <w:r w:rsidRPr="00442F09">
        <w:rPr>
          <w:rFonts w:ascii="Arial" w:hAnsi="Arial" w:cs="Arial"/>
        </w:rPr>
        <w:t>versus</w:t>
      </w:r>
      <w:r w:rsidR="00D05A78">
        <w:rPr>
          <w:rFonts w:ascii="Arial" w:eastAsia="MS Gothic" w:hAnsi="Arial" w:cs="Arial"/>
          <w:color w:val="000000"/>
        </w:rPr>
        <w:t xml:space="preserve"> 0.037±</w:t>
      </w:r>
      <w:r w:rsidRPr="00442F09">
        <w:rPr>
          <w:rFonts w:ascii="Arial" w:eastAsia="MS Gothic" w:hAnsi="Arial" w:cs="Arial"/>
          <w:color w:val="000000"/>
        </w:rPr>
        <w:t>0.002mm (p&lt;0</w:t>
      </w:r>
      <w:r w:rsidR="005E63AB">
        <w:rPr>
          <w:rFonts w:ascii="Arial" w:eastAsia="MS Gothic" w:hAnsi="Arial" w:cs="Arial"/>
          <w:color w:val="000000"/>
        </w:rPr>
        <w:t>.0001) in the fed mice, Figure 25</w:t>
      </w:r>
      <w:r w:rsidRPr="00442F09">
        <w:rPr>
          <w:rFonts w:ascii="Arial" w:eastAsia="MS Gothic" w:hAnsi="Arial" w:cs="Arial"/>
          <w:color w:val="000000"/>
        </w:rPr>
        <w:t xml:space="preserve">D. </w:t>
      </w:r>
      <w:r w:rsidRPr="00442F09">
        <w:rPr>
          <w:rFonts w:ascii="Arial" w:hAnsi="Arial" w:cs="Arial"/>
          <w:bCs/>
          <w:lang w:val="en-US"/>
        </w:rPr>
        <w:t>Tb.Pf decreased in the loaded right tibiae within fasted and fed groups compared to the left non-loaded tibiae (17.1</w:t>
      </w:r>
      <w:r w:rsidRPr="00442F09">
        <w:rPr>
          <w:rFonts w:ascii="Arial" w:eastAsia="MS Gothic" w:hAnsi="Arial" w:cs="Arial"/>
          <w:color w:val="000000"/>
        </w:rPr>
        <w:t>±0.6mm</w:t>
      </w:r>
      <w:r w:rsidRPr="00442F09">
        <w:rPr>
          <w:rFonts w:ascii="Arial" w:eastAsia="MS Gothic" w:hAnsi="Arial" w:cs="Arial"/>
          <w:color w:val="000000"/>
          <w:vertAlign w:val="superscript"/>
        </w:rPr>
        <w:t>-1</w:t>
      </w:r>
      <w:r w:rsidRPr="00442F09">
        <w:rPr>
          <w:rFonts w:ascii="Arial" w:eastAsia="MS Gothic" w:hAnsi="Arial" w:cs="Arial"/>
          <w:color w:val="000000"/>
        </w:rPr>
        <w:t xml:space="preserve"> </w:t>
      </w:r>
      <w:r w:rsidRPr="00442F09">
        <w:rPr>
          <w:rFonts w:ascii="Arial" w:hAnsi="Arial" w:cs="Arial"/>
        </w:rPr>
        <w:t>versus</w:t>
      </w:r>
      <w:r w:rsidR="00D05A78">
        <w:rPr>
          <w:rFonts w:ascii="Arial" w:eastAsia="MS Gothic" w:hAnsi="Arial" w:cs="Arial"/>
          <w:color w:val="000000"/>
        </w:rPr>
        <w:t xml:space="preserve"> 22</w:t>
      </w:r>
      <w:r w:rsidRPr="00442F09">
        <w:rPr>
          <w:rFonts w:ascii="Arial" w:eastAsia="MS Gothic" w:hAnsi="Arial" w:cs="Arial"/>
          <w:color w:val="000000"/>
        </w:rPr>
        <w:t>±0.9mm</w:t>
      </w:r>
      <w:r w:rsidRPr="00442F09">
        <w:rPr>
          <w:rFonts w:ascii="Arial" w:eastAsia="MS Gothic" w:hAnsi="Arial" w:cs="Arial"/>
          <w:color w:val="000000"/>
          <w:vertAlign w:val="superscript"/>
        </w:rPr>
        <w:t xml:space="preserve">-1 </w:t>
      </w:r>
      <w:r w:rsidRPr="00442F09">
        <w:rPr>
          <w:rFonts w:ascii="Arial" w:hAnsi="Arial" w:cs="Arial"/>
          <w:bCs/>
          <w:lang w:val="en-US"/>
        </w:rPr>
        <w:t>(p&lt;0.05) and 16.2</w:t>
      </w:r>
      <w:r w:rsidRPr="00442F09">
        <w:rPr>
          <w:rFonts w:ascii="Arial" w:eastAsia="MS Gothic" w:hAnsi="Arial" w:cs="Arial"/>
          <w:color w:val="000000"/>
        </w:rPr>
        <w:t>±0.6 mm</w:t>
      </w:r>
      <w:r w:rsidRPr="00442F09">
        <w:rPr>
          <w:rFonts w:ascii="Arial" w:eastAsia="MS Gothic" w:hAnsi="Arial" w:cs="Arial"/>
          <w:color w:val="000000"/>
          <w:vertAlign w:val="superscript"/>
        </w:rPr>
        <w:t xml:space="preserve">-1 </w:t>
      </w:r>
      <w:r w:rsidRPr="00442F09">
        <w:rPr>
          <w:rFonts w:ascii="Arial" w:hAnsi="Arial" w:cs="Arial"/>
        </w:rPr>
        <w:t>versus</w:t>
      </w:r>
      <w:r w:rsidRPr="00442F09">
        <w:rPr>
          <w:rFonts w:ascii="Arial" w:eastAsia="MS Gothic" w:hAnsi="Arial" w:cs="Arial"/>
          <w:color w:val="000000"/>
        </w:rPr>
        <w:t xml:space="preserve"> 24.1±1.7 mm</w:t>
      </w:r>
      <w:r w:rsidRPr="00442F09">
        <w:rPr>
          <w:rFonts w:ascii="Arial" w:eastAsia="MS Gothic" w:hAnsi="Arial" w:cs="Arial"/>
          <w:color w:val="000000"/>
          <w:vertAlign w:val="superscript"/>
        </w:rPr>
        <w:t xml:space="preserve">-1 </w:t>
      </w:r>
      <w:r w:rsidRPr="00442F09">
        <w:rPr>
          <w:rFonts w:ascii="Arial" w:hAnsi="Arial" w:cs="Arial"/>
          <w:bCs/>
          <w:lang w:val="en-US"/>
        </w:rPr>
        <w:t>(</w:t>
      </w:r>
      <w:r w:rsidR="005E63AB">
        <w:rPr>
          <w:rFonts w:ascii="Arial" w:hAnsi="Arial" w:cs="Arial"/>
          <w:bCs/>
          <w:lang w:val="en-US"/>
        </w:rPr>
        <w:t>p&lt;0.001) respectively), Figure 25</w:t>
      </w:r>
      <w:r w:rsidRPr="00442F09">
        <w:rPr>
          <w:rFonts w:ascii="Arial" w:hAnsi="Arial" w:cs="Arial"/>
          <w:bCs/>
          <w:lang w:val="en-US"/>
        </w:rPr>
        <w:t>C. There were no significant differences in Tb.N within and betwe</w:t>
      </w:r>
      <w:r w:rsidR="005E63AB">
        <w:rPr>
          <w:rFonts w:ascii="Arial" w:hAnsi="Arial" w:cs="Arial"/>
          <w:bCs/>
          <w:lang w:val="en-US"/>
        </w:rPr>
        <w:t>en the groups (p&gt;0.05), Figure 25</w:t>
      </w:r>
      <w:r w:rsidRPr="00442F09">
        <w:rPr>
          <w:rFonts w:ascii="Arial" w:hAnsi="Arial" w:cs="Arial"/>
          <w:bCs/>
          <w:lang w:val="en-US"/>
        </w:rPr>
        <w:t>B.</w:t>
      </w:r>
    </w:p>
    <w:p w14:paraId="0475C486" w14:textId="77777777" w:rsidR="00A0409D" w:rsidRDefault="00A0409D" w:rsidP="00A0409D">
      <w:pPr>
        <w:spacing w:line="480" w:lineRule="auto"/>
        <w:jc w:val="both"/>
        <w:rPr>
          <w:rFonts w:ascii="Arial" w:hAnsi="Arial" w:cs="Arial"/>
          <w:b/>
          <w:noProof/>
          <w:color w:val="000000" w:themeColor="text1"/>
        </w:rPr>
      </w:pPr>
    </w:p>
    <w:p w14:paraId="35010140" w14:textId="77777777" w:rsidR="00A0409D" w:rsidRDefault="00A0409D" w:rsidP="00A0409D"/>
    <w:p w14:paraId="0299D36A" w14:textId="77777777" w:rsidR="00A0409D" w:rsidRPr="00614EB3" w:rsidRDefault="00A0409D" w:rsidP="00A0409D"/>
    <w:p w14:paraId="625030D8" w14:textId="77777777" w:rsidR="00A0409D" w:rsidRPr="00D019BB" w:rsidRDefault="00A0409D" w:rsidP="00A0409D">
      <w:pPr>
        <w:spacing w:line="480" w:lineRule="auto"/>
        <w:jc w:val="both"/>
        <w:rPr>
          <w:rFonts w:ascii="Arial" w:hAnsi="Arial"/>
          <w:lang w:val="en-US"/>
        </w:rPr>
      </w:pPr>
    </w:p>
    <w:p w14:paraId="396EB62C" w14:textId="77777777" w:rsidR="00A0409D" w:rsidRPr="00D019BB" w:rsidRDefault="00A0409D" w:rsidP="00A0409D">
      <w:pPr>
        <w:spacing w:line="480" w:lineRule="auto"/>
        <w:jc w:val="both"/>
        <w:rPr>
          <w:rFonts w:ascii="Arial" w:hAnsi="Arial"/>
          <w:bCs/>
          <w:lang w:val="en-US"/>
        </w:rPr>
      </w:pPr>
    </w:p>
    <w:p w14:paraId="674F8F72" w14:textId="77777777" w:rsidR="00A0409D" w:rsidRDefault="00A0409D" w:rsidP="00A0409D">
      <w:pPr>
        <w:rPr>
          <w:rFonts w:ascii="Arial" w:hAnsi="Arial"/>
          <w:lang w:val="en-US"/>
        </w:rPr>
      </w:pPr>
    </w:p>
    <w:p w14:paraId="723F03F8" w14:textId="77777777" w:rsidR="00A0409D" w:rsidRPr="002D3A43" w:rsidRDefault="00A0409D" w:rsidP="00A0409D">
      <w:pPr>
        <w:rPr>
          <w:rFonts w:ascii="Arial" w:hAnsi="Arial"/>
          <w:lang w:val="en-US"/>
        </w:rPr>
      </w:pPr>
    </w:p>
    <w:p w14:paraId="76882F16" w14:textId="77777777" w:rsidR="00A0409D" w:rsidRPr="002D3A43" w:rsidRDefault="00A0409D" w:rsidP="00A0409D">
      <w:pPr>
        <w:rPr>
          <w:rFonts w:ascii="Arial" w:hAnsi="Arial"/>
          <w:lang w:val="en-US"/>
        </w:rPr>
      </w:pPr>
    </w:p>
    <w:p w14:paraId="618351B5" w14:textId="77777777" w:rsidR="00A0409D" w:rsidRPr="002D3A43" w:rsidRDefault="00A0409D" w:rsidP="00A0409D">
      <w:pPr>
        <w:rPr>
          <w:rFonts w:ascii="Arial" w:hAnsi="Arial"/>
          <w:lang w:val="en-US"/>
        </w:rPr>
      </w:pPr>
    </w:p>
    <w:p w14:paraId="05E26A31" w14:textId="77777777" w:rsidR="00A0409D" w:rsidRDefault="00A0409D" w:rsidP="00A0409D">
      <w:pPr>
        <w:rPr>
          <w:rFonts w:ascii="Arial" w:hAnsi="Arial"/>
          <w:lang w:val="en-US"/>
        </w:rPr>
      </w:pPr>
    </w:p>
    <w:p w14:paraId="5A10A0AF" w14:textId="77777777" w:rsidR="00A0409D" w:rsidRPr="002D3A43" w:rsidRDefault="00A0409D" w:rsidP="00A0409D">
      <w:pPr>
        <w:ind w:firstLine="720"/>
        <w:rPr>
          <w:rFonts w:ascii="Arial" w:hAnsi="Arial"/>
          <w:lang w:val="en-US"/>
        </w:rPr>
      </w:pPr>
    </w:p>
    <w:p w14:paraId="4AF12CF8" w14:textId="77777777" w:rsidR="00A9190D" w:rsidRDefault="00A9190D" w:rsidP="00145DDC">
      <w:pPr>
        <w:pStyle w:val="Caption"/>
        <w:spacing w:line="360" w:lineRule="auto"/>
        <w:rPr>
          <w:color w:val="1F497D" w:themeColor="text2"/>
          <w:sz w:val="24"/>
          <w:szCs w:val="24"/>
        </w:rPr>
      </w:pPr>
      <w:bookmarkStart w:id="83" w:name="_Toc300073356"/>
    </w:p>
    <w:p w14:paraId="2157064E" w14:textId="77777777" w:rsidR="0033481B" w:rsidRPr="0033481B" w:rsidRDefault="0033481B" w:rsidP="0033481B"/>
    <w:p w14:paraId="22999A81" w14:textId="77777777" w:rsidR="009F34A6" w:rsidRPr="009F34A6" w:rsidRDefault="009F34A6" w:rsidP="009F34A6"/>
    <w:p w14:paraId="79C91B3B" w14:textId="77777777" w:rsidR="00A9190D" w:rsidRDefault="00A9190D" w:rsidP="00A9190D">
      <w:pPr>
        <w:spacing w:line="360" w:lineRule="auto"/>
        <w:jc w:val="both"/>
        <w:rPr>
          <w:rFonts w:ascii="Arial" w:hAnsi="Arial"/>
          <w:bCs/>
          <w:lang w:val="en-US"/>
        </w:rPr>
      </w:pPr>
      <w:r>
        <w:rPr>
          <w:noProof/>
          <w:lang w:val="en-US"/>
        </w:rPr>
        <w:drawing>
          <wp:inline distT="0" distB="0" distL="0" distR="0" wp14:anchorId="29F6F969" wp14:editId="02CAF39C">
            <wp:extent cx="3200400" cy="2833879"/>
            <wp:effectExtent l="0" t="0" r="0" b="1143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01259" cy="2834640"/>
                    </a:xfrm>
                    <a:prstGeom prst="rect">
                      <a:avLst/>
                    </a:prstGeom>
                    <a:noFill/>
                    <a:ln>
                      <a:noFill/>
                    </a:ln>
                  </pic:spPr>
                </pic:pic>
              </a:graphicData>
            </a:graphic>
          </wp:inline>
        </w:drawing>
      </w:r>
      <w:r w:rsidRPr="00F849E0">
        <w:t xml:space="preserve"> </w:t>
      </w:r>
      <w:r>
        <w:rPr>
          <w:rFonts w:ascii="Arial" w:hAnsi="Arial"/>
          <w:bCs/>
          <w:noProof/>
          <w:lang w:val="en-US"/>
        </w:rPr>
        <w:drawing>
          <wp:inline distT="0" distB="0" distL="0" distR="0" wp14:anchorId="3EF05F92" wp14:editId="268F2ADA">
            <wp:extent cx="2861187" cy="2498415"/>
            <wp:effectExtent l="0" t="0" r="9525" b="0"/>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62269" cy="2499360"/>
                    </a:xfrm>
                    <a:prstGeom prst="rect">
                      <a:avLst/>
                    </a:prstGeom>
                    <a:noFill/>
                    <a:ln>
                      <a:noFill/>
                    </a:ln>
                  </pic:spPr>
                </pic:pic>
              </a:graphicData>
            </a:graphic>
          </wp:inline>
        </w:drawing>
      </w:r>
    </w:p>
    <w:p w14:paraId="33269481" w14:textId="77777777" w:rsidR="00A9190D" w:rsidRPr="00270B14" w:rsidRDefault="00A9190D" w:rsidP="00A9190D"/>
    <w:p w14:paraId="6A1BEC42" w14:textId="77777777" w:rsidR="00A9190D" w:rsidRDefault="00A9190D" w:rsidP="00A9190D">
      <w:pPr>
        <w:keepNext/>
        <w:tabs>
          <w:tab w:val="left" w:pos="1134"/>
          <w:tab w:val="left" w:pos="5670"/>
        </w:tabs>
        <w:ind w:left="567"/>
      </w:pPr>
      <w:r>
        <w:rPr>
          <w:noProof/>
          <w:lang w:val="en-US"/>
        </w:rPr>
        <w:drawing>
          <wp:inline distT="0" distB="0" distL="0" distR="0" wp14:anchorId="5D6BAA43" wp14:editId="066FA79B">
            <wp:extent cx="2722880" cy="2499360"/>
            <wp:effectExtent l="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22880" cy="2499360"/>
                    </a:xfrm>
                    <a:prstGeom prst="rect">
                      <a:avLst/>
                    </a:prstGeom>
                    <a:noFill/>
                    <a:ln>
                      <a:noFill/>
                    </a:ln>
                  </pic:spPr>
                </pic:pic>
              </a:graphicData>
            </a:graphic>
          </wp:inline>
        </w:drawing>
      </w:r>
      <w:r w:rsidRPr="0057013F">
        <w:t xml:space="preserve"> </w:t>
      </w:r>
      <w:r>
        <w:rPr>
          <w:noProof/>
          <w:lang w:val="en-US"/>
        </w:rPr>
        <w:drawing>
          <wp:inline distT="0" distB="0" distL="0" distR="0" wp14:anchorId="047DA1EE" wp14:editId="62B9D8E9">
            <wp:extent cx="2979174" cy="2498934"/>
            <wp:effectExtent l="0" t="0" r="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79682" cy="2499360"/>
                    </a:xfrm>
                    <a:prstGeom prst="rect">
                      <a:avLst/>
                    </a:prstGeom>
                    <a:noFill/>
                    <a:ln>
                      <a:noFill/>
                    </a:ln>
                  </pic:spPr>
                </pic:pic>
              </a:graphicData>
            </a:graphic>
          </wp:inline>
        </w:drawing>
      </w:r>
    </w:p>
    <w:p w14:paraId="4C43802F" w14:textId="77777777" w:rsidR="00A9190D" w:rsidRDefault="00A9190D" w:rsidP="00A9190D">
      <w:pPr>
        <w:pStyle w:val="Caption"/>
      </w:pPr>
    </w:p>
    <w:p w14:paraId="54996D9B" w14:textId="77777777" w:rsidR="00A9190D" w:rsidRDefault="00A9190D" w:rsidP="00A9190D">
      <w:pPr>
        <w:pStyle w:val="Caption"/>
      </w:pPr>
    </w:p>
    <w:p w14:paraId="1D0EA7AE" w14:textId="77777777" w:rsidR="00145DDC" w:rsidRPr="00A9190D" w:rsidRDefault="00A9190D" w:rsidP="00A9190D">
      <w:pPr>
        <w:pStyle w:val="Caption"/>
        <w:spacing w:line="360" w:lineRule="auto"/>
        <w:jc w:val="both"/>
        <w:rPr>
          <w:rFonts w:ascii="Arial" w:hAnsi="Arial" w:cs="Arial"/>
          <w:color w:val="244061" w:themeColor="accent1" w:themeShade="80"/>
          <w:sz w:val="24"/>
          <w:szCs w:val="24"/>
        </w:rPr>
      </w:pPr>
      <w:bookmarkStart w:id="84" w:name="_Toc383544616"/>
      <w:r w:rsidRPr="00A9190D">
        <w:rPr>
          <w:rFonts w:ascii="Arial" w:hAnsi="Arial" w:cs="Arial"/>
          <w:color w:val="244061" w:themeColor="accent1" w:themeShade="80"/>
          <w:sz w:val="24"/>
          <w:szCs w:val="24"/>
        </w:rPr>
        <w:t xml:space="preserve">Figure </w:t>
      </w:r>
      <w:r w:rsidRPr="00A9190D">
        <w:rPr>
          <w:rFonts w:ascii="Arial" w:hAnsi="Arial" w:cs="Arial"/>
          <w:color w:val="244061" w:themeColor="accent1" w:themeShade="80"/>
          <w:sz w:val="24"/>
          <w:szCs w:val="24"/>
        </w:rPr>
        <w:fldChar w:fldCharType="begin"/>
      </w:r>
      <w:r w:rsidRPr="00A9190D">
        <w:rPr>
          <w:rFonts w:ascii="Arial" w:hAnsi="Arial" w:cs="Arial"/>
          <w:color w:val="244061" w:themeColor="accent1" w:themeShade="80"/>
          <w:sz w:val="24"/>
          <w:szCs w:val="24"/>
        </w:rPr>
        <w:instrText xml:space="preserve"> SEQ Figure \* ARABIC </w:instrText>
      </w:r>
      <w:r w:rsidRPr="00A9190D">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25</w:t>
      </w:r>
      <w:r w:rsidRPr="00A9190D">
        <w:rPr>
          <w:rFonts w:ascii="Arial" w:hAnsi="Arial" w:cs="Arial"/>
          <w:color w:val="244061" w:themeColor="accent1" w:themeShade="80"/>
          <w:sz w:val="24"/>
          <w:szCs w:val="24"/>
        </w:rPr>
        <w:fldChar w:fldCharType="end"/>
      </w:r>
      <w:r w:rsidRPr="00A9190D">
        <w:rPr>
          <w:rFonts w:ascii="Arial" w:hAnsi="Arial" w:cs="Arial"/>
          <w:color w:val="244061" w:themeColor="accent1" w:themeShade="80"/>
          <w:sz w:val="24"/>
          <w:szCs w:val="24"/>
        </w:rPr>
        <w:t xml:space="preserve"> </w:t>
      </w:r>
      <w:r w:rsidR="00145DDC" w:rsidRPr="00A9190D">
        <w:rPr>
          <w:rFonts w:ascii="Arial" w:hAnsi="Arial" w:cs="Arial"/>
          <w:color w:val="244061" w:themeColor="accent1" w:themeShade="80"/>
          <w:sz w:val="24"/>
          <w:szCs w:val="24"/>
        </w:rPr>
        <w:t xml:space="preserve">Trabecular bone mass and architecture measured at the proximal region of the </w:t>
      </w:r>
      <w:r w:rsidR="00145DDC" w:rsidRPr="00A9190D">
        <w:rPr>
          <w:rFonts w:ascii="Arial" w:eastAsiaTheme="minorHAnsi" w:hAnsi="Arial" w:cs="Arial"/>
          <w:bCs w:val="0"/>
          <w:color w:val="244061" w:themeColor="accent1" w:themeShade="80"/>
          <w:sz w:val="24"/>
          <w:szCs w:val="24"/>
          <w:lang w:val="en-US"/>
        </w:rPr>
        <w:t xml:space="preserve">left non-loaded (control) and </w:t>
      </w:r>
      <w:r w:rsidR="00145DDC" w:rsidRPr="00A9190D">
        <w:rPr>
          <w:rFonts w:ascii="Arial" w:hAnsi="Arial" w:cs="Arial"/>
          <w:color w:val="244061" w:themeColor="accent1" w:themeShade="80"/>
          <w:sz w:val="24"/>
          <w:szCs w:val="24"/>
        </w:rPr>
        <w:t xml:space="preserve">right </w:t>
      </w:r>
      <w:r w:rsidR="00145DDC" w:rsidRPr="00A9190D">
        <w:rPr>
          <w:rFonts w:ascii="Arial" w:eastAsiaTheme="minorHAnsi" w:hAnsi="Arial" w:cs="Arial"/>
          <w:bCs w:val="0"/>
          <w:color w:val="244061" w:themeColor="accent1" w:themeShade="80"/>
          <w:sz w:val="24"/>
          <w:szCs w:val="24"/>
          <w:lang w:val="en-US"/>
        </w:rPr>
        <w:t>loaded tibiae with 40 cycles of loading regimen of 19-week-old fed (n=7) or overnight fasted (n=7) male mice</w:t>
      </w:r>
      <w:bookmarkEnd w:id="84"/>
      <w:r w:rsidR="00145DDC" w:rsidRPr="00A9190D">
        <w:rPr>
          <w:rFonts w:ascii="Arial" w:eastAsiaTheme="minorHAnsi" w:hAnsi="Arial" w:cs="Arial"/>
          <w:bCs w:val="0"/>
          <w:color w:val="244061" w:themeColor="accent1" w:themeShade="80"/>
          <w:sz w:val="24"/>
          <w:szCs w:val="24"/>
          <w:lang w:val="en-US"/>
        </w:rPr>
        <w:t xml:space="preserve"> </w:t>
      </w:r>
    </w:p>
    <w:bookmarkEnd w:id="83"/>
    <w:p w14:paraId="564385EB" w14:textId="77777777" w:rsidR="00145DDC" w:rsidRPr="0057013F" w:rsidRDefault="00145DDC" w:rsidP="00145DDC">
      <w:pPr>
        <w:spacing w:line="360" w:lineRule="auto"/>
        <w:jc w:val="both"/>
        <w:rPr>
          <w:rFonts w:ascii="Arial" w:eastAsiaTheme="minorHAnsi" w:hAnsi="Arial" w:cs="Arial"/>
          <w:sz w:val="22"/>
          <w:szCs w:val="22"/>
          <w:lang w:val="en-US"/>
        </w:rPr>
      </w:pPr>
      <w:r w:rsidRPr="004D06C6">
        <w:rPr>
          <w:rFonts w:ascii="Arial" w:eastAsiaTheme="minorHAnsi" w:hAnsi="Arial" w:cs="Arial"/>
          <w:sz w:val="22"/>
          <w:szCs w:val="22"/>
          <w:lang w:val="en-US"/>
        </w:rPr>
        <w:t xml:space="preserve">Loading </w:t>
      </w:r>
      <w:r>
        <w:rPr>
          <w:rFonts w:ascii="Arial" w:eastAsiaTheme="minorHAnsi" w:hAnsi="Arial" w:cs="Arial"/>
          <w:sz w:val="22"/>
          <w:szCs w:val="22"/>
          <w:lang w:val="en-US"/>
        </w:rPr>
        <w:t xml:space="preserve">regimen </w:t>
      </w:r>
      <w:r w:rsidR="00A9190D" w:rsidRPr="00E017D4">
        <w:rPr>
          <w:rFonts w:ascii="Arial" w:eastAsiaTheme="minorHAnsi" w:hAnsi="Arial" w:cs="Arial"/>
          <w:sz w:val="22"/>
          <w:szCs w:val="22"/>
          <w:lang w:val="en-US"/>
        </w:rPr>
        <w:t xml:space="preserve">with </w:t>
      </w:r>
      <w:r w:rsidR="00A9190D" w:rsidRPr="00E017D4">
        <w:rPr>
          <w:rFonts w:ascii="Arial" w:hAnsi="Arial"/>
          <w:bCs/>
          <w:sz w:val="22"/>
          <w:szCs w:val="22"/>
          <w:lang w:val="en-US"/>
        </w:rPr>
        <w:t xml:space="preserve">a peak force of 13N and </w:t>
      </w:r>
      <w:r>
        <w:rPr>
          <w:rFonts w:ascii="Arial" w:eastAsiaTheme="minorHAnsi" w:hAnsi="Arial" w:cs="Arial"/>
          <w:sz w:val="22"/>
          <w:szCs w:val="22"/>
          <w:lang w:val="en-US"/>
        </w:rPr>
        <w:t xml:space="preserve">40 cycles induced increased </w:t>
      </w:r>
      <w:r w:rsidRPr="004D06C6">
        <w:rPr>
          <w:rFonts w:ascii="Arial" w:eastAsiaTheme="minorHAnsi" w:hAnsi="Arial" w:cs="Arial"/>
          <w:sz w:val="22"/>
          <w:szCs w:val="22"/>
          <w:lang w:val="en-US"/>
        </w:rPr>
        <w:t xml:space="preserve">trabecular BV/TV </w:t>
      </w:r>
      <w:r>
        <w:rPr>
          <w:rFonts w:ascii="Arial" w:eastAsiaTheme="minorHAnsi" w:hAnsi="Arial" w:cs="Arial"/>
          <w:sz w:val="22"/>
          <w:szCs w:val="22"/>
          <w:lang w:val="en-US"/>
        </w:rPr>
        <w:t xml:space="preserve">and Tb.Th and decreased Tb.Pf </w:t>
      </w:r>
      <w:r w:rsidRPr="004D06C6">
        <w:rPr>
          <w:rFonts w:ascii="Arial" w:eastAsiaTheme="minorHAnsi" w:hAnsi="Arial" w:cs="Arial"/>
          <w:sz w:val="22"/>
          <w:szCs w:val="22"/>
          <w:lang w:val="en-US"/>
        </w:rPr>
        <w:t xml:space="preserve">in </w:t>
      </w:r>
      <w:r>
        <w:rPr>
          <w:rFonts w:ascii="Arial" w:eastAsiaTheme="minorHAnsi" w:hAnsi="Arial" w:cs="Arial"/>
          <w:sz w:val="22"/>
          <w:szCs w:val="22"/>
          <w:lang w:val="en-US"/>
        </w:rPr>
        <w:t xml:space="preserve">the </w:t>
      </w:r>
      <w:r w:rsidRPr="004D06C6">
        <w:rPr>
          <w:rFonts w:ascii="Arial" w:eastAsiaTheme="minorHAnsi" w:hAnsi="Arial" w:cs="Arial"/>
          <w:sz w:val="22"/>
          <w:szCs w:val="22"/>
          <w:lang w:val="en-US"/>
        </w:rPr>
        <w:t xml:space="preserve">right loaded tibiae compared with the left unloaded tibiae within both </w:t>
      </w:r>
      <w:r>
        <w:rPr>
          <w:rFonts w:ascii="Arial" w:eastAsiaTheme="minorHAnsi" w:hAnsi="Arial" w:cs="Arial"/>
          <w:sz w:val="22"/>
          <w:szCs w:val="22"/>
          <w:lang w:val="en-US"/>
        </w:rPr>
        <w:t xml:space="preserve">fed and fasted </w:t>
      </w:r>
      <w:r w:rsidRPr="004D06C6">
        <w:rPr>
          <w:rFonts w:ascii="Arial" w:eastAsiaTheme="minorHAnsi" w:hAnsi="Arial" w:cs="Arial"/>
          <w:sz w:val="22"/>
          <w:szCs w:val="22"/>
          <w:lang w:val="en-US"/>
        </w:rPr>
        <w:t>groups</w:t>
      </w:r>
      <w:r>
        <w:rPr>
          <w:rFonts w:ascii="Arial" w:eastAsiaTheme="minorHAnsi" w:hAnsi="Arial" w:cs="Arial"/>
          <w:sz w:val="22"/>
          <w:szCs w:val="22"/>
          <w:lang w:val="en-US"/>
        </w:rPr>
        <w:t xml:space="preserve"> (A, C, D), </w:t>
      </w:r>
      <w:r w:rsidRPr="002E0EF7">
        <w:rPr>
          <w:rFonts w:ascii="Arial" w:hAnsi="Arial"/>
          <w:bCs/>
          <w:sz w:val="22"/>
          <w:szCs w:val="22"/>
          <w:lang w:val="en-US"/>
        </w:rPr>
        <w:t xml:space="preserve">but there were no differences </w:t>
      </w:r>
      <w:r>
        <w:rPr>
          <w:rFonts w:ascii="Arial" w:hAnsi="Arial"/>
          <w:bCs/>
          <w:sz w:val="22"/>
          <w:szCs w:val="22"/>
          <w:lang w:val="en-US"/>
        </w:rPr>
        <w:t xml:space="preserve">in loaded bones </w:t>
      </w:r>
      <w:r w:rsidRPr="002E0EF7">
        <w:rPr>
          <w:rFonts w:ascii="Arial" w:hAnsi="Arial"/>
          <w:bCs/>
          <w:sz w:val="22"/>
          <w:szCs w:val="22"/>
          <w:lang w:val="en-US"/>
        </w:rPr>
        <w:t>between the two groups</w:t>
      </w:r>
      <w:r w:rsidRPr="002E0EF7">
        <w:rPr>
          <w:rFonts w:ascii="Arial" w:eastAsiaTheme="minorHAnsi" w:hAnsi="Arial" w:cs="Arial"/>
          <w:sz w:val="22"/>
          <w:szCs w:val="22"/>
          <w:lang w:val="en-US"/>
        </w:rPr>
        <w:t>.</w:t>
      </w:r>
      <w:r w:rsidRPr="004D06C6">
        <w:rPr>
          <w:rFonts w:ascii="Arial" w:eastAsiaTheme="minorHAnsi" w:hAnsi="Arial" w:cs="Arial"/>
          <w:sz w:val="22"/>
          <w:szCs w:val="22"/>
          <w:lang w:val="en-US"/>
        </w:rPr>
        <w:t xml:space="preserve"> There were no significant differences </w:t>
      </w:r>
      <w:r>
        <w:rPr>
          <w:rFonts w:ascii="Arial" w:eastAsiaTheme="minorHAnsi" w:hAnsi="Arial" w:cs="Arial"/>
          <w:sz w:val="22"/>
          <w:szCs w:val="22"/>
          <w:lang w:val="en-US"/>
        </w:rPr>
        <w:t xml:space="preserve">in Tb.N </w:t>
      </w:r>
      <w:r w:rsidRPr="004D06C6">
        <w:rPr>
          <w:rFonts w:ascii="Arial" w:eastAsiaTheme="minorHAnsi" w:hAnsi="Arial" w:cs="Arial"/>
          <w:sz w:val="22"/>
          <w:szCs w:val="22"/>
          <w:lang w:val="en-US"/>
        </w:rPr>
        <w:t>within and between the experimental groups</w:t>
      </w:r>
      <w:r>
        <w:rPr>
          <w:rFonts w:ascii="Arial" w:eastAsiaTheme="minorHAnsi" w:hAnsi="Arial" w:cs="Arial"/>
          <w:sz w:val="22"/>
          <w:szCs w:val="22"/>
          <w:lang w:val="en-US"/>
        </w:rPr>
        <w:t xml:space="preserve"> (B).</w:t>
      </w:r>
      <w:r w:rsidRPr="00D444BD">
        <w:rPr>
          <w:rFonts w:ascii="Arial" w:eastAsiaTheme="minorHAnsi" w:hAnsi="Arial" w:cs="Arial"/>
          <w:sz w:val="22"/>
          <w:szCs w:val="22"/>
          <w:lang w:val="en-US"/>
        </w:rPr>
        <w:t xml:space="preserve"> </w:t>
      </w:r>
      <w:r>
        <w:rPr>
          <w:rFonts w:ascii="Arial" w:eastAsiaTheme="minorHAnsi" w:hAnsi="Arial" w:cs="Arial"/>
          <w:sz w:val="22"/>
          <w:szCs w:val="22"/>
          <w:lang w:val="en-US"/>
        </w:rPr>
        <w:t>Bars represent mean</w:t>
      </w:r>
      <w:r w:rsidRPr="004D06C6">
        <w:rPr>
          <w:rFonts w:ascii="Arial" w:eastAsia="MS Gothic" w:hAnsi="Arial" w:cs="Arial"/>
          <w:sz w:val="22"/>
          <w:szCs w:val="22"/>
        </w:rPr>
        <w:t>±</w:t>
      </w:r>
      <w:r w:rsidRPr="004D06C6">
        <w:rPr>
          <w:rFonts w:ascii="Arial" w:eastAsiaTheme="minorHAnsi" w:hAnsi="Arial" w:cs="Arial"/>
          <w:sz w:val="22"/>
          <w:szCs w:val="22"/>
          <w:lang w:val="en-US"/>
        </w:rPr>
        <w:t xml:space="preserve">SE. </w:t>
      </w:r>
      <w:r>
        <w:rPr>
          <w:rFonts w:ascii="Arial" w:eastAsiaTheme="minorHAnsi" w:hAnsi="Arial" w:cs="Arial"/>
          <w:sz w:val="22"/>
          <w:szCs w:val="22"/>
          <w:lang w:val="en-US"/>
        </w:rPr>
        <w:t xml:space="preserve"> * </w:t>
      </w:r>
      <w:proofErr w:type="gramStart"/>
      <w:r>
        <w:rPr>
          <w:rFonts w:ascii="Arial" w:eastAsiaTheme="minorHAnsi" w:hAnsi="Arial" w:cs="Arial"/>
          <w:sz w:val="22"/>
          <w:szCs w:val="22"/>
          <w:lang w:val="en-US"/>
        </w:rPr>
        <w:t>p</w:t>
      </w:r>
      <w:proofErr w:type="gramEnd"/>
      <w:r>
        <w:rPr>
          <w:rFonts w:ascii="Arial" w:eastAsiaTheme="minorHAnsi" w:hAnsi="Arial" w:cs="Arial"/>
          <w:sz w:val="22"/>
          <w:szCs w:val="22"/>
          <w:lang w:val="en-US"/>
        </w:rPr>
        <w:t>&lt;0.05, *** p&lt;0.001, **** p&lt;0.0001</w:t>
      </w:r>
    </w:p>
    <w:p w14:paraId="77755BB0" w14:textId="77777777" w:rsidR="00821ACD" w:rsidRDefault="00A0409D" w:rsidP="00D40E59">
      <w:pPr>
        <w:pStyle w:val="Heading2"/>
      </w:pPr>
      <w:bookmarkStart w:id="85" w:name="_Toc383723885"/>
      <w:r>
        <w:lastRenderedPageBreak/>
        <w:t>3.3 Discussion</w:t>
      </w:r>
      <w:bookmarkEnd w:id="85"/>
      <w:r>
        <w:t xml:space="preserve"> </w:t>
      </w:r>
    </w:p>
    <w:p w14:paraId="6C4B6E8A" w14:textId="77777777" w:rsidR="00A0409D" w:rsidRPr="00821ACD" w:rsidRDefault="00A0409D" w:rsidP="00821ACD">
      <w:pPr>
        <w:pStyle w:val="Heading3"/>
        <w:spacing w:line="480" w:lineRule="auto"/>
        <w:jc w:val="both"/>
        <w:rPr>
          <w:rFonts w:ascii="Arial" w:hAnsi="Arial" w:cs="Arial"/>
          <w:color w:val="auto"/>
        </w:rPr>
      </w:pPr>
      <w:bookmarkStart w:id="86" w:name="_Toc383723886"/>
      <w:r w:rsidRPr="00821ACD">
        <w:rPr>
          <w:rFonts w:ascii="Arial" w:hAnsi="Arial" w:cs="Arial"/>
          <w:color w:val="auto"/>
        </w:rPr>
        <w:t>3.3.1 Differences in feeding behaviour of fed and overnight fasted young male mice</w:t>
      </w:r>
      <w:bookmarkEnd w:id="86"/>
      <w:r w:rsidRPr="00821ACD">
        <w:rPr>
          <w:rFonts w:ascii="Arial" w:hAnsi="Arial" w:cs="Arial"/>
          <w:color w:val="auto"/>
        </w:rPr>
        <w:t xml:space="preserve"> </w:t>
      </w:r>
    </w:p>
    <w:p w14:paraId="24DC8ADD" w14:textId="77777777" w:rsidR="00A0409D" w:rsidRDefault="00A0409D" w:rsidP="00A0409D">
      <w:pPr>
        <w:spacing w:line="480" w:lineRule="auto"/>
        <w:jc w:val="both"/>
        <w:rPr>
          <w:rFonts w:ascii="Arial" w:hAnsi="Arial"/>
          <w:color w:val="000000"/>
        </w:rPr>
      </w:pPr>
      <w:r w:rsidRPr="006D6524">
        <w:rPr>
          <w:rFonts w:ascii="Arial" w:hAnsi="Arial"/>
          <w:color w:val="000000"/>
        </w:rPr>
        <w:t xml:space="preserve">Overnight </w:t>
      </w:r>
      <w:r>
        <w:rPr>
          <w:rFonts w:ascii="Arial" w:hAnsi="Arial"/>
          <w:color w:val="000000"/>
        </w:rPr>
        <w:t xml:space="preserve">prolonged </w:t>
      </w:r>
      <w:r w:rsidRPr="006D6524">
        <w:rPr>
          <w:rFonts w:ascii="Arial" w:hAnsi="Arial"/>
          <w:color w:val="000000"/>
        </w:rPr>
        <w:t xml:space="preserve">fasting had an impact on feeding behaviour of </w:t>
      </w:r>
      <w:r>
        <w:rPr>
          <w:rFonts w:ascii="Arial" w:hAnsi="Arial"/>
          <w:color w:val="000000"/>
        </w:rPr>
        <w:t xml:space="preserve">young male </w:t>
      </w:r>
      <w:r w:rsidRPr="006D6524">
        <w:rPr>
          <w:rFonts w:ascii="Arial" w:hAnsi="Arial"/>
          <w:color w:val="000000"/>
        </w:rPr>
        <w:t>mice as expected</w:t>
      </w:r>
      <w:r>
        <w:rPr>
          <w:rFonts w:ascii="Arial" w:hAnsi="Arial"/>
          <w:color w:val="000000"/>
        </w:rPr>
        <w:t xml:space="preserve"> </w:t>
      </w:r>
      <w:r w:rsidR="00B43858">
        <w:rPr>
          <w:rFonts w:ascii="Arial" w:hAnsi="Arial"/>
          <w:color w:val="000000"/>
        </w:rPr>
        <w:fldChar w:fldCharType="begin"/>
      </w:r>
      <w:r w:rsidR="00B97465">
        <w:rPr>
          <w:rFonts w:ascii="Arial" w:hAnsi="Arial"/>
          <w:color w:val="000000"/>
        </w:rPr>
        <w:instrText xml:space="preserve"> ADDIN EN.CITE &lt;EndNote&gt;&lt;Cite&gt;&lt;Author&gt;Ayala&lt;/Author&gt;&lt;Year&gt;2010&lt;/Year&gt;&lt;RecNum&gt;205&lt;/RecNum&gt;&lt;DisplayText&gt;(Ayala et al., 2010, Ellacott et al., 2010)&lt;/DisplayText&gt;&lt;record&gt;&lt;rec-number&gt;205&lt;/rec-number&gt;&lt;foreign-keys&gt;&lt;key app="EN" db-id="ae9rewfrpdttrheppfxxv0p4950wpd25r09x" timestamp="1520658156"&gt;205&lt;/key&gt;&lt;key app="ENWeb" db-id=""&gt;0&lt;/key&gt;&lt;/foreign-keys&gt;&lt;ref-type name="Journal Article"&gt;17&lt;/ref-type&gt;&lt;contributors&gt;&lt;authors&gt;&lt;author&gt;Ayala, J. E.&lt;/author&gt;&lt;author&gt;Samuel, V. T.&lt;/author&gt;&lt;author&gt;Morton, G. J.&lt;/author&gt;&lt;author&gt;Obici, S.&lt;/author&gt;&lt;author&gt;Croniger, C. M.&lt;/author&gt;&lt;author&gt;Shulman, G. I.&lt;/author&gt;&lt;author&gt;Wasserman, D. H.&lt;/author&gt;&lt;author&gt;McGuinness, O. P.&lt;/author&gt;&lt;/authors&gt;&lt;/contributors&gt;&lt;titles&gt;&lt;title&gt;Standard operating procedures for describing and performing metabolic tests of glucose homeostasis in mice&lt;/title&gt;&lt;secondary-title&gt;Disease Models and Mechanisms&lt;/secondary-title&gt;&lt;/titles&gt;&lt;periodical&gt;&lt;full-title&gt;Disease Models and Mechanisms&lt;/full-title&gt;&lt;/periodical&gt;&lt;pages&gt;525-534&lt;/pages&gt;&lt;volume&gt;3&lt;/volume&gt;&lt;dates&gt;&lt;year&gt;2010&lt;/year&gt;&lt;/dates&gt;&lt;isbn&gt;1754-8403&lt;/isbn&gt;&lt;urls&gt;&lt;/urls&gt;&lt;electronic-resource-num&gt;10.1242/dmm.006239&lt;/electronic-resource-num&gt;&lt;/record&gt;&lt;/Cite&gt;&lt;Cite&gt;&lt;Author&gt;Ellacott&lt;/Author&gt;&lt;Year&gt;2010&lt;/Year&gt;&lt;RecNum&gt;4&lt;/RecNum&gt;&lt;record&gt;&lt;rec-number&gt;4&lt;/rec-number&gt;&lt;foreign-keys&gt;&lt;key app="EN" db-id="ae9rewfrpdttrheppfxxv0p4950wpd25r09x" timestamp="1520657380"&gt;4&lt;/key&gt;&lt;key app="ENWeb" db-id=""&gt;0&lt;/key&gt;&lt;/foreign-keys&gt;&lt;ref-type name="Journal Article"&gt;17&lt;/ref-type&gt;&lt;contributors&gt;&lt;authors&gt;&lt;author&gt;Ellacott, Kate L. J.&lt;/author&gt;&lt;author&gt;Morton, Gregory J.&lt;/author&gt;&lt;author&gt;Schwartz, Michael W.&lt;/author&gt;&lt;author&gt;Tso, Patrick&lt;/author&gt;&lt;author&gt;Woods, Stephen C.&lt;/author&gt;&lt;/authors&gt;&lt;/contributors&gt;&lt;titles&gt;&lt;title&gt;Assessment of Feeding Behavior in Laboratory Mice&lt;/title&gt;&lt;secondary-title&gt;Cell metabolism&lt;/secondary-title&gt;&lt;/titles&gt;&lt;periodical&gt;&lt;full-title&gt;Cell metabolism&lt;/full-title&gt;&lt;/periodical&gt;&lt;pages&gt;10-18&lt;/pages&gt;&lt;volume&gt;12&lt;/volume&gt;&lt;number&gt;1&lt;/number&gt;&lt;dates&gt;&lt;year&gt;2010&lt;/year&gt;&lt;/dates&gt;&lt;isbn&gt;1550-4131&lt;/isbn&gt;&lt;urls&gt;&lt;/urls&gt;&lt;/record&gt;&lt;/Cite&gt;&lt;/EndNote&gt;</w:instrText>
      </w:r>
      <w:r w:rsidR="00B43858">
        <w:rPr>
          <w:rFonts w:ascii="Arial" w:hAnsi="Arial"/>
          <w:color w:val="000000"/>
        </w:rPr>
        <w:fldChar w:fldCharType="separate"/>
      </w:r>
      <w:r w:rsidR="00B43858">
        <w:rPr>
          <w:rFonts w:ascii="Arial" w:hAnsi="Arial"/>
          <w:noProof/>
          <w:color w:val="000000"/>
        </w:rPr>
        <w:t>(Ayala et al., 2010, Ellacott et al., 2010)</w:t>
      </w:r>
      <w:r w:rsidR="00B43858">
        <w:rPr>
          <w:rFonts w:ascii="Arial" w:hAnsi="Arial"/>
          <w:color w:val="000000"/>
        </w:rPr>
        <w:fldChar w:fldCharType="end"/>
      </w:r>
      <w:r w:rsidR="009B24A7">
        <w:rPr>
          <w:rFonts w:ascii="Arial" w:hAnsi="Arial"/>
          <w:color w:val="000000"/>
        </w:rPr>
        <w:t xml:space="preserve">. </w:t>
      </w:r>
      <w:r w:rsidRPr="006D6524">
        <w:rPr>
          <w:rFonts w:ascii="Arial" w:hAnsi="Arial"/>
          <w:color w:val="000000"/>
        </w:rPr>
        <w:t xml:space="preserve">Increased food intake, known as a hyperphagic response </w:t>
      </w:r>
      <w:r>
        <w:rPr>
          <w:rFonts w:ascii="Arial" w:hAnsi="Arial"/>
          <w:color w:val="000000"/>
        </w:rPr>
        <w:t xml:space="preserve">to correct their negative energy balance, </w:t>
      </w:r>
      <w:r w:rsidRPr="006D6524">
        <w:rPr>
          <w:rFonts w:ascii="Arial" w:hAnsi="Arial"/>
          <w:color w:val="000000"/>
        </w:rPr>
        <w:t xml:space="preserve">was observed in </w:t>
      </w:r>
      <w:r w:rsidR="009A2CDC">
        <w:rPr>
          <w:rFonts w:ascii="Arial" w:hAnsi="Arial"/>
          <w:color w:val="000000"/>
        </w:rPr>
        <w:t>16-hour</w:t>
      </w:r>
      <w:r w:rsidRPr="006D6524">
        <w:rPr>
          <w:rFonts w:ascii="Arial" w:hAnsi="Arial"/>
          <w:color w:val="000000"/>
        </w:rPr>
        <w:t xml:space="preserve"> f</w:t>
      </w:r>
      <w:r w:rsidR="0003014F">
        <w:rPr>
          <w:rFonts w:ascii="Arial" w:hAnsi="Arial"/>
          <w:color w:val="000000"/>
        </w:rPr>
        <w:t>asted mice for approximately 2</w:t>
      </w:r>
      <w:r w:rsidRPr="006D6524">
        <w:rPr>
          <w:rFonts w:ascii="Arial" w:hAnsi="Arial"/>
          <w:color w:val="000000"/>
        </w:rPr>
        <w:t xml:space="preserve"> hours during re-feeding period</w:t>
      </w:r>
      <w:r>
        <w:rPr>
          <w:rFonts w:ascii="Arial" w:hAnsi="Arial"/>
          <w:color w:val="000000"/>
        </w:rPr>
        <w:t xml:space="preserve"> compared with the </w:t>
      </w:r>
      <w:r w:rsidR="001F3387">
        <w:rPr>
          <w:rFonts w:ascii="Arial" w:hAnsi="Arial"/>
          <w:color w:val="000000"/>
        </w:rPr>
        <w:t>ad-lib fed</w:t>
      </w:r>
      <w:r>
        <w:rPr>
          <w:rFonts w:ascii="Arial" w:hAnsi="Arial"/>
          <w:color w:val="000000"/>
        </w:rPr>
        <w:t xml:space="preserve"> mice</w:t>
      </w:r>
      <w:r w:rsidRPr="006D6524">
        <w:rPr>
          <w:rFonts w:ascii="Arial" w:hAnsi="Arial"/>
          <w:color w:val="000000"/>
        </w:rPr>
        <w:t>.  The body weights of</w:t>
      </w:r>
      <w:r>
        <w:rPr>
          <w:rFonts w:ascii="Arial" w:hAnsi="Arial"/>
          <w:color w:val="000000"/>
        </w:rPr>
        <w:t xml:space="preserve"> </w:t>
      </w:r>
      <w:r w:rsidRPr="006D6524">
        <w:rPr>
          <w:rFonts w:ascii="Arial" w:hAnsi="Arial"/>
          <w:color w:val="000000"/>
        </w:rPr>
        <w:t xml:space="preserve">overnight fasted mice rose </w:t>
      </w:r>
      <w:r>
        <w:rPr>
          <w:rFonts w:ascii="Arial" w:hAnsi="Arial"/>
          <w:color w:val="000000"/>
        </w:rPr>
        <w:t xml:space="preserve">significantly </w:t>
      </w:r>
      <w:r w:rsidRPr="006D6524">
        <w:rPr>
          <w:rFonts w:ascii="Arial" w:hAnsi="Arial"/>
          <w:color w:val="000000"/>
        </w:rPr>
        <w:t xml:space="preserve">faster relative to </w:t>
      </w:r>
      <w:r>
        <w:rPr>
          <w:rFonts w:ascii="Arial" w:hAnsi="Arial"/>
          <w:color w:val="000000"/>
        </w:rPr>
        <w:t xml:space="preserve">the </w:t>
      </w:r>
      <w:r w:rsidR="00693E48">
        <w:rPr>
          <w:rFonts w:ascii="Arial" w:hAnsi="Arial"/>
          <w:color w:val="000000"/>
        </w:rPr>
        <w:t xml:space="preserve">ad-lib fed </w:t>
      </w:r>
      <w:r w:rsidR="009E0C98">
        <w:rPr>
          <w:rFonts w:ascii="Arial" w:hAnsi="Arial"/>
          <w:color w:val="000000"/>
        </w:rPr>
        <w:t>mice (Figure 20</w:t>
      </w:r>
      <w:r w:rsidRPr="006D6524">
        <w:rPr>
          <w:rFonts w:ascii="Arial" w:hAnsi="Arial"/>
          <w:color w:val="000000"/>
        </w:rPr>
        <w:t xml:space="preserve">).  This can be explained that </w:t>
      </w:r>
      <w:r w:rsidR="009E0C98">
        <w:rPr>
          <w:rFonts w:ascii="Arial" w:hAnsi="Arial"/>
          <w:color w:val="000000"/>
        </w:rPr>
        <w:t xml:space="preserve">an </w:t>
      </w:r>
      <w:r w:rsidRPr="006D6524">
        <w:rPr>
          <w:rFonts w:ascii="Arial" w:hAnsi="Arial"/>
          <w:color w:val="000000"/>
        </w:rPr>
        <w:t xml:space="preserve">overnight fast </w:t>
      </w:r>
      <w:r>
        <w:rPr>
          <w:rFonts w:ascii="Arial" w:hAnsi="Arial"/>
          <w:color w:val="000000"/>
        </w:rPr>
        <w:t xml:space="preserve">may have </w:t>
      </w:r>
      <w:r w:rsidRPr="006D6524">
        <w:rPr>
          <w:rFonts w:ascii="Arial" w:hAnsi="Arial"/>
          <w:color w:val="000000"/>
        </w:rPr>
        <w:t xml:space="preserve">stimulated catabolic state in mice </w:t>
      </w:r>
      <w:r>
        <w:rPr>
          <w:rFonts w:ascii="Arial" w:hAnsi="Arial"/>
          <w:color w:val="000000"/>
        </w:rPr>
        <w:t>leading to a state of starvation</w:t>
      </w:r>
      <w:r w:rsidRPr="006D6524">
        <w:rPr>
          <w:rFonts w:ascii="Arial" w:hAnsi="Arial"/>
          <w:color w:val="000000"/>
        </w:rPr>
        <w:t xml:space="preserve"> as </w:t>
      </w:r>
      <w:r>
        <w:rPr>
          <w:rFonts w:ascii="Arial" w:hAnsi="Arial"/>
          <w:color w:val="000000"/>
        </w:rPr>
        <w:t>mice</w:t>
      </w:r>
      <w:r w:rsidRPr="006D6524">
        <w:rPr>
          <w:rFonts w:ascii="Arial" w:hAnsi="Arial"/>
          <w:color w:val="000000"/>
        </w:rPr>
        <w:t xml:space="preserve"> mainly </w:t>
      </w:r>
      <w:r>
        <w:rPr>
          <w:rFonts w:ascii="Arial" w:hAnsi="Arial"/>
          <w:color w:val="000000"/>
        </w:rPr>
        <w:t>consume food</w:t>
      </w:r>
      <w:r w:rsidRPr="006D6524">
        <w:rPr>
          <w:rFonts w:ascii="Arial" w:hAnsi="Arial"/>
          <w:color w:val="000000"/>
        </w:rPr>
        <w:t xml:space="preserve"> at night. It </w:t>
      </w:r>
      <w:r>
        <w:rPr>
          <w:rFonts w:ascii="Arial" w:hAnsi="Arial"/>
          <w:color w:val="000000"/>
        </w:rPr>
        <w:t>was</w:t>
      </w:r>
      <w:r w:rsidRPr="006D6524">
        <w:rPr>
          <w:rFonts w:ascii="Arial" w:hAnsi="Arial"/>
          <w:color w:val="000000"/>
        </w:rPr>
        <w:t xml:space="preserve"> shown previously that</w:t>
      </w:r>
      <w:r>
        <w:rPr>
          <w:rFonts w:ascii="Arial" w:hAnsi="Arial"/>
          <w:color w:val="000000"/>
        </w:rPr>
        <w:t xml:space="preserve"> overnight prolonged food deprivation reduced body weights</w:t>
      </w:r>
      <w:r w:rsidRPr="006D6524">
        <w:rPr>
          <w:rFonts w:ascii="Arial" w:hAnsi="Arial"/>
          <w:color w:val="000000"/>
        </w:rPr>
        <w:t xml:space="preserve"> of </w:t>
      </w:r>
      <w:r>
        <w:rPr>
          <w:rFonts w:ascii="Arial" w:hAnsi="Arial"/>
          <w:color w:val="000000"/>
        </w:rPr>
        <w:t>rodents</w:t>
      </w:r>
      <w:r w:rsidRPr="006D6524">
        <w:rPr>
          <w:rFonts w:ascii="Arial" w:hAnsi="Arial"/>
          <w:color w:val="000000"/>
        </w:rPr>
        <w:t xml:space="preserve"> by a</w:t>
      </w:r>
      <w:r>
        <w:rPr>
          <w:rFonts w:ascii="Arial" w:hAnsi="Arial"/>
          <w:color w:val="000000"/>
        </w:rPr>
        <w:t>round</w:t>
      </w:r>
      <w:r w:rsidRPr="006D6524">
        <w:rPr>
          <w:rFonts w:ascii="Arial" w:hAnsi="Arial"/>
          <w:color w:val="000000"/>
        </w:rPr>
        <w:t xml:space="preserve"> </w:t>
      </w:r>
      <w:r>
        <w:rPr>
          <w:rFonts w:ascii="Arial" w:hAnsi="Arial"/>
          <w:color w:val="000000"/>
        </w:rPr>
        <w:t>10-</w:t>
      </w:r>
      <w:r w:rsidRPr="006D6524">
        <w:rPr>
          <w:rFonts w:ascii="Arial" w:hAnsi="Arial"/>
          <w:color w:val="000000"/>
        </w:rPr>
        <w:t xml:space="preserve">15%, which is </w:t>
      </w:r>
      <w:r>
        <w:rPr>
          <w:rFonts w:ascii="Arial" w:hAnsi="Arial"/>
          <w:color w:val="000000"/>
        </w:rPr>
        <w:t>consistent</w:t>
      </w:r>
      <w:r w:rsidRPr="006D6524">
        <w:rPr>
          <w:rFonts w:ascii="Arial" w:hAnsi="Arial"/>
          <w:color w:val="000000"/>
        </w:rPr>
        <w:t xml:space="preserve"> with our observations</w:t>
      </w:r>
      <w:r w:rsidR="00361A5E">
        <w:rPr>
          <w:rFonts w:ascii="Arial" w:hAnsi="Arial"/>
          <w:color w:val="000000"/>
        </w:rPr>
        <w:t xml:space="preserve"> </w:t>
      </w:r>
      <w:r w:rsidR="00B43858">
        <w:rPr>
          <w:rFonts w:ascii="Arial" w:hAnsi="Arial"/>
          <w:color w:val="000000"/>
        </w:rPr>
        <w:fldChar w:fldCharType="begin"/>
      </w:r>
      <w:r w:rsidR="00A108A1">
        <w:rPr>
          <w:rFonts w:ascii="Arial" w:hAnsi="Arial"/>
          <w:color w:val="000000"/>
        </w:rPr>
        <w:instrText xml:space="preserve"> ADDIN EN.CITE &lt;EndNote&gt;&lt;Cite&gt;&lt;Author&gt;Vermeulen&lt;/Author&gt;&lt;Year&gt;1997&lt;/Year&gt;&lt;RecNum&gt;450&lt;/RecNum&gt;&lt;DisplayText&gt;(Vermeulen et al., 1997, Ayala et al., 2006)&lt;/DisplayText&gt;&lt;record&gt;&lt;rec-number&gt;450&lt;/rec-number&gt;&lt;foreign-keys&gt;&lt;key app="EN" db-id="ae9rewfrpdttrheppfxxv0p4950wpd25r09x" timestamp="1520658307"&gt;450&lt;/key&gt;&lt;/foreign-keys&gt;&lt;ref-type name="Journal Article"&gt;17&lt;/ref-type&gt;&lt;contributors&gt;&lt;authors&gt;&lt;author&gt;Vermeulen, J. K., &lt;/author&gt;&lt;author&gt;De Vries, A., &lt;/author&gt;&lt;author&gt;Schlingmann, F., &lt;/author&gt;&lt;author&gt;Remie, R.&lt;/author&gt;&lt;/authors&gt;&lt;/contributors&gt;&lt;titles&gt;&lt;title&gt;Food deprivation: common sense or nonsense?&lt;/title&gt;&lt;secondary-title&gt;Animal Technology&lt;/secondary-title&gt;&lt;/titles&gt;&lt;periodical&gt;&lt;full-title&gt;Animal Technology&lt;/full-title&gt;&lt;/periodical&gt;&lt;pages&gt;45-54&lt;/pages&gt;&lt;volume&gt;48&lt;/volume&gt;&lt;dates&gt;&lt;year&gt;1997&lt;/year&gt;&lt;/dates&gt;&lt;urls&gt;&lt;/urls&gt;&lt;/record&gt;&lt;/Cite&gt;&lt;Cite&gt;&lt;Author&gt;Ayala&lt;/Author&gt;&lt;Year&gt;2006&lt;/Year&gt;&lt;RecNum&gt;268&lt;/RecNum&gt;&lt;record&gt;&lt;rec-number&gt;268&lt;/rec-number&gt;&lt;foreign-keys&gt;&lt;key app="EN" db-id="ae9rewfrpdttrheppfxxv0p4950wpd25r09x" timestamp="1520658220"&gt;268&lt;/key&gt;&lt;key app="ENWeb" db-id=""&gt;0&lt;/key&gt;&lt;/foreign-keys&gt;&lt;ref-type name="Journal Article"&gt;17&lt;/ref-type&gt;&lt;contributors&gt;&lt;authors&gt;&lt;author&gt;Ayala, Je&lt;/author&gt;&lt;author&gt;Bracy, Dp&lt;/author&gt;&lt;author&gt;McGuinness, Op&lt;/author&gt;&lt;author&gt;Wasserman, Dh&lt;/author&gt;&lt;/authors&gt;&lt;/contributors&gt;&lt;titles&gt;&lt;title&gt;Considerations in the design of hyperinsulinemic-euglycemic clamps in the conscious mouse&lt;/title&gt;&lt;secondary-title&gt;Diabetes&lt;/secondary-title&gt;&lt;/titles&gt;&lt;periodical&gt;&lt;full-title&gt;Diabetes&lt;/full-title&gt;&lt;/periodical&gt;&lt;pages&gt;390-397&lt;/pages&gt;&lt;volume&gt;55&lt;/volume&gt;&lt;number&gt;2&lt;/number&gt;&lt;dates&gt;&lt;year&gt;2006&lt;/year&gt;&lt;/dates&gt;&lt;isbn&gt;0012-1797&lt;/isbn&gt;&lt;urls&gt;&lt;/urls&gt;&lt;/record&gt;&lt;/Cite&gt;&lt;/EndNote&gt;</w:instrText>
      </w:r>
      <w:r w:rsidR="00B43858">
        <w:rPr>
          <w:rFonts w:ascii="Arial" w:hAnsi="Arial"/>
          <w:color w:val="000000"/>
        </w:rPr>
        <w:fldChar w:fldCharType="separate"/>
      </w:r>
      <w:r w:rsidR="00B43858">
        <w:rPr>
          <w:rFonts w:ascii="Arial" w:hAnsi="Arial"/>
          <w:noProof/>
          <w:color w:val="000000"/>
        </w:rPr>
        <w:t>(Vermeulen et al., 1997, Ayala et al., 2006)</w:t>
      </w:r>
      <w:r w:rsidR="00B43858">
        <w:rPr>
          <w:rFonts w:ascii="Arial" w:hAnsi="Arial"/>
          <w:color w:val="000000"/>
        </w:rPr>
        <w:fldChar w:fldCharType="end"/>
      </w:r>
      <w:r w:rsidR="009E0C98">
        <w:rPr>
          <w:rFonts w:ascii="Arial" w:hAnsi="Arial"/>
          <w:color w:val="000000"/>
        </w:rPr>
        <w:t>, Figure 20</w:t>
      </w:r>
      <w:r w:rsidRPr="006D6524">
        <w:rPr>
          <w:rFonts w:ascii="Arial" w:hAnsi="Arial"/>
          <w:color w:val="000000"/>
        </w:rPr>
        <w:t xml:space="preserve">. </w:t>
      </w:r>
      <w:r>
        <w:rPr>
          <w:rFonts w:ascii="Arial" w:hAnsi="Arial"/>
          <w:color w:val="000000"/>
        </w:rPr>
        <w:t>T</w:t>
      </w:r>
      <w:r w:rsidRPr="006D6524">
        <w:rPr>
          <w:rFonts w:ascii="Arial" w:hAnsi="Arial"/>
          <w:color w:val="000000"/>
        </w:rPr>
        <w:t xml:space="preserve">he </w:t>
      </w:r>
      <w:r>
        <w:rPr>
          <w:rFonts w:ascii="Arial" w:hAnsi="Arial"/>
          <w:color w:val="000000"/>
        </w:rPr>
        <w:t xml:space="preserve">nesting material, wood shavings were </w:t>
      </w:r>
      <w:r w:rsidRPr="006D6524">
        <w:rPr>
          <w:rFonts w:ascii="Arial" w:hAnsi="Arial"/>
          <w:color w:val="000000"/>
        </w:rPr>
        <w:t xml:space="preserve">removed </w:t>
      </w:r>
      <w:r>
        <w:rPr>
          <w:rFonts w:ascii="Arial" w:hAnsi="Arial"/>
          <w:color w:val="000000"/>
        </w:rPr>
        <w:t xml:space="preserve">from the cages </w:t>
      </w:r>
      <w:r w:rsidRPr="006D6524">
        <w:rPr>
          <w:rFonts w:ascii="Arial" w:hAnsi="Arial"/>
          <w:color w:val="000000"/>
        </w:rPr>
        <w:t>prior the experiment</w:t>
      </w:r>
      <w:r>
        <w:rPr>
          <w:rFonts w:ascii="Arial" w:hAnsi="Arial"/>
          <w:color w:val="000000"/>
        </w:rPr>
        <w:t>s</w:t>
      </w:r>
      <w:r w:rsidRPr="006D6524">
        <w:rPr>
          <w:rFonts w:ascii="Arial" w:hAnsi="Arial"/>
          <w:color w:val="000000"/>
        </w:rPr>
        <w:t xml:space="preserve"> as hungry animals may eat them ensuring</w:t>
      </w:r>
      <w:r>
        <w:rPr>
          <w:rFonts w:ascii="Arial" w:hAnsi="Arial"/>
          <w:color w:val="000000"/>
        </w:rPr>
        <w:t xml:space="preserve"> the overnight fasted mice lost</w:t>
      </w:r>
      <w:r w:rsidRPr="006D6524">
        <w:rPr>
          <w:rFonts w:ascii="Arial" w:hAnsi="Arial"/>
          <w:color w:val="000000"/>
        </w:rPr>
        <w:t xml:space="preserve"> their weights due to the food deprivation. As energy stores were replenished </w:t>
      </w:r>
      <w:r>
        <w:rPr>
          <w:rFonts w:ascii="Arial" w:hAnsi="Arial"/>
          <w:color w:val="000000"/>
        </w:rPr>
        <w:t xml:space="preserve">restoring positive energy balance and body weights increased, the </w:t>
      </w:r>
      <w:r w:rsidRPr="006D6524">
        <w:rPr>
          <w:rFonts w:ascii="Arial" w:hAnsi="Arial"/>
          <w:color w:val="000000"/>
        </w:rPr>
        <w:t xml:space="preserve">food intake </w:t>
      </w:r>
      <w:r>
        <w:rPr>
          <w:rFonts w:ascii="Arial" w:hAnsi="Arial"/>
          <w:color w:val="000000"/>
        </w:rPr>
        <w:t>of fasted mice reduced approximately 2 hours later</w:t>
      </w:r>
      <w:r w:rsidRPr="006D6524">
        <w:rPr>
          <w:rFonts w:ascii="Arial" w:hAnsi="Arial"/>
          <w:color w:val="000000"/>
        </w:rPr>
        <w:t>,</w:t>
      </w:r>
      <w:r>
        <w:rPr>
          <w:rFonts w:ascii="Arial" w:hAnsi="Arial"/>
          <w:color w:val="000000"/>
        </w:rPr>
        <w:t xml:space="preserve"> </w:t>
      </w:r>
      <w:r w:rsidRPr="006D6524">
        <w:rPr>
          <w:rFonts w:ascii="Arial" w:hAnsi="Arial"/>
          <w:color w:val="000000"/>
        </w:rPr>
        <w:t xml:space="preserve">a process described as a homeostatic feeding response </w:t>
      </w:r>
      <w:r w:rsidR="00B43858">
        <w:rPr>
          <w:rFonts w:ascii="Arial" w:hAnsi="Arial"/>
          <w:color w:val="000000"/>
        </w:rPr>
        <w:fldChar w:fldCharType="begin"/>
      </w:r>
      <w:r w:rsidR="00A108A1">
        <w:rPr>
          <w:rFonts w:ascii="Arial" w:hAnsi="Arial"/>
          <w:color w:val="000000"/>
        </w:rPr>
        <w:instrText xml:space="preserve"> ADDIN EN.CITE &lt;EndNote&gt;&lt;Cite&gt;&lt;Author&gt;Ellacott&lt;/Author&gt;&lt;Year&gt;2010&lt;/Year&gt;&lt;RecNum&gt;4&lt;/RecNum&gt;&lt;DisplayText&gt;(Ellacott et al., 2010)&lt;/DisplayText&gt;&lt;record&gt;&lt;rec-number&gt;4&lt;/rec-number&gt;&lt;foreign-keys&gt;&lt;key app="EN" db-id="ae9rewfrpdttrheppfxxv0p4950wpd25r09x" timestamp="1520657380"&gt;4&lt;/key&gt;&lt;key app="ENWeb" db-id=""&gt;0&lt;/key&gt;&lt;/foreign-keys&gt;&lt;ref-type name="Journal Article"&gt;17&lt;/ref-type&gt;&lt;contributors&gt;&lt;authors&gt;&lt;author&gt;Ellacott, Kate L. J.&lt;/author&gt;&lt;author&gt;Morton, Gregory J.&lt;/author&gt;&lt;author&gt;Schwartz, Michael W.&lt;/author&gt;&lt;author&gt;Tso, Patrick&lt;/author&gt;&lt;author&gt;Woods, Stephen C.&lt;/author&gt;&lt;/authors&gt;&lt;/contributors&gt;&lt;titles&gt;&lt;title&gt;Assessment of Feeding Behavior in Laboratory Mice&lt;/title&gt;&lt;secondary-title&gt;Cell metabolism&lt;/secondary-title&gt;&lt;/titles&gt;&lt;periodical&gt;&lt;full-title&gt;Cell metabolism&lt;/full-title&gt;&lt;/periodical&gt;&lt;pages&gt;10-18&lt;/pages&gt;&lt;volume&gt;12&lt;/volume&gt;&lt;number&gt;1&lt;/number&gt;&lt;dates&gt;&lt;year&gt;2010&lt;/year&gt;&lt;/dates&gt;&lt;isbn&gt;1550-4131&lt;/isbn&gt;&lt;urls&gt;&lt;/urls&gt;&lt;/record&gt;&lt;/Cite&gt;&lt;/EndNote&gt;</w:instrText>
      </w:r>
      <w:r w:rsidR="00B43858">
        <w:rPr>
          <w:rFonts w:ascii="Arial" w:hAnsi="Arial"/>
          <w:color w:val="000000"/>
        </w:rPr>
        <w:fldChar w:fldCharType="separate"/>
      </w:r>
      <w:r w:rsidR="00B43858">
        <w:rPr>
          <w:rFonts w:ascii="Arial" w:hAnsi="Arial"/>
          <w:noProof/>
          <w:color w:val="000000"/>
        </w:rPr>
        <w:t>(Ellacott et al., 2010)</w:t>
      </w:r>
      <w:r w:rsidR="00B43858">
        <w:rPr>
          <w:rFonts w:ascii="Arial" w:hAnsi="Arial"/>
          <w:color w:val="000000"/>
        </w:rPr>
        <w:fldChar w:fldCharType="end"/>
      </w:r>
      <w:r w:rsidR="00F74504">
        <w:rPr>
          <w:rFonts w:ascii="Arial" w:hAnsi="Arial"/>
          <w:color w:val="000000"/>
        </w:rPr>
        <w:t xml:space="preserve">. </w:t>
      </w:r>
      <w:r>
        <w:rPr>
          <w:rFonts w:ascii="Arial" w:hAnsi="Arial"/>
          <w:color w:val="000000"/>
        </w:rPr>
        <w:t>Unsurprisingly, throughout the entire experiment the ad-lib fed mice excreted significantly more faeces than did overnight fasted fed mice due to the latter having restricted access to food overnight for 16 hours, Figur</w:t>
      </w:r>
      <w:r w:rsidR="00F74504">
        <w:rPr>
          <w:rFonts w:ascii="Arial" w:hAnsi="Arial"/>
          <w:color w:val="000000"/>
        </w:rPr>
        <w:t>e 20</w:t>
      </w:r>
      <w:r w:rsidR="002A07EB">
        <w:rPr>
          <w:rFonts w:ascii="Arial" w:hAnsi="Arial"/>
          <w:color w:val="000000"/>
        </w:rPr>
        <w:t xml:space="preserve">C. Although water was </w:t>
      </w:r>
      <w:r>
        <w:rPr>
          <w:rFonts w:ascii="Arial" w:hAnsi="Arial"/>
          <w:color w:val="000000"/>
        </w:rPr>
        <w:t xml:space="preserve">available at all times when feeding behaviour of mice was assessed, its consumption </w:t>
      </w:r>
      <w:r w:rsidR="00F74504">
        <w:rPr>
          <w:rFonts w:ascii="Arial" w:hAnsi="Arial"/>
          <w:color w:val="000000"/>
        </w:rPr>
        <w:t xml:space="preserve">was </w:t>
      </w:r>
      <w:r w:rsidR="002A07EB">
        <w:rPr>
          <w:rFonts w:ascii="Arial" w:hAnsi="Arial"/>
          <w:color w:val="000000"/>
        </w:rPr>
        <w:t>correlated with</w:t>
      </w:r>
      <w:r>
        <w:rPr>
          <w:rFonts w:ascii="Arial" w:hAnsi="Arial"/>
          <w:color w:val="000000"/>
        </w:rPr>
        <w:t xml:space="preserve"> </w:t>
      </w:r>
      <w:r w:rsidR="00F74504">
        <w:rPr>
          <w:rFonts w:ascii="Arial" w:hAnsi="Arial"/>
          <w:color w:val="000000"/>
        </w:rPr>
        <w:t xml:space="preserve">the </w:t>
      </w:r>
      <w:r>
        <w:rPr>
          <w:rFonts w:ascii="Arial" w:hAnsi="Arial"/>
          <w:color w:val="000000"/>
        </w:rPr>
        <w:t>food intake and declined in fasted animals</w:t>
      </w:r>
      <w:r w:rsidR="00F74504">
        <w:rPr>
          <w:rFonts w:ascii="Arial" w:hAnsi="Arial"/>
          <w:color w:val="000000"/>
        </w:rPr>
        <w:t xml:space="preserve"> as observed throughout the experiment</w:t>
      </w:r>
      <w:r>
        <w:rPr>
          <w:rFonts w:ascii="Arial" w:hAnsi="Arial"/>
          <w:color w:val="000000"/>
        </w:rPr>
        <w:t>.</w:t>
      </w:r>
    </w:p>
    <w:p w14:paraId="3BC7F4F6" w14:textId="77777777" w:rsidR="00A0409D" w:rsidRDefault="00A0409D" w:rsidP="00A0409D">
      <w:pPr>
        <w:spacing w:line="480" w:lineRule="auto"/>
        <w:jc w:val="both"/>
        <w:rPr>
          <w:rFonts w:ascii="Arial" w:hAnsi="Arial"/>
          <w:color w:val="000000"/>
        </w:rPr>
      </w:pPr>
    </w:p>
    <w:p w14:paraId="010D4F72" w14:textId="77777777" w:rsidR="00CF2348" w:rsidRDefault="00A0409D" w:rsidP="00CF2348">
      <w:pPr>
        <w:spacing w:line="480" w:lineRule="auto"/>
        <w:jc w:val="both"/>
        <w:rPr>
          <w:rFonts w:ascii="Arial" w:hAnsi="Arial"/>
          <w:color w:val="000000"/>
        </w:rPr>
      </w:pPr>
      <w:r>
        <w:rPr>
          <w:rFonts w:ascii="Arial" w:hAnsi="Arial"/>
          <w:color w:val="000000"/>
        </w:rPr>
        <w:t>The feeding behaviour of</w:t>
      </w:r>
      <w:r w:rsidRPr="006D6524">
        <w:rPr>
          <w:rFonts w:ascii="Arial" w:hAnsi="Arial"/>
          <w:color w:val="000000"/>
        </w:rPr>
        <w:t xml:space="preserve"> mice is controlled and influenced by </w:t>
      </w:r>
      <w:r>
        <w:rPr>
          <w:rFonts w:ascii="Arial" w:hAnsi="Arial"/>
          <w:color w:val="000000"/>
        </w:rPr>
        <w:t>variety</w:t>
      </w:r>
      <w:r w:rsidRPr="006D6524">
        <w:rPr>
          <w:rFonts w:ascii="Arial" w:hAnsi="Arial"/>
          <w:color w:val="000000"/>
        </w:rPr>
        <w:t xml:space="preserve"> of factors that are not fully understood. Mice are nocturnal and mainly consume their food in frequent, small meals throughout the night</w:t>
      </w:r>
      <w:r>
        <w:rPr>
          <w:rFonts w:ascii="Arial" w:hAnsi="Arial"/>
          <w:color w:val="000000"/>
        </w:rPr>
        <w:t xml:space="preserve"> during the dark cycle</w:t>
      </w:r>
      <w:r w:rsidRPr="006D6524">
        <w:rPr>
          <w:rFonts w:ascii="Arial" w:hAnsi="Arial"/>
          <w:color w:val="000000"/>
        </w:rPr>
        <w:t xml:space="preserve">, whereas humans consume most of their </w:t>
      </w:r>
      <w:r w:rsidRPr="006D6524">
        <w:rPr>
          <w:rFonts w:ascii="Arial" w:hAnsi="Arial"/>
          <w:color w:val="000000"/>
        </w:rPr>
        <w:lastRenderedPageBreak/>
        <w:t>food during the day in response of a range of physiological and psychological states</w:t>
      </w:r>
      <w:r>
        <w:rPr>
          <w:rFonts w:ascii="Arial" w:hAnsi="Arial"/>
          <w:color w:val="000000"/>
        </w:rPr>
        <w:t xml:space="preserve"> </w:t>
      </w:r>
      <w:r w:rsidR="00B43858">
        <w:rPr>
          <w:rFonts w:ascii="Arial" w:hAnsi="Arial"/>
          <w:color w:val="000000"/>
        </w:rPr>
        <w:fldChar w:fldCharType="begin">
          <w:fldData xml:space="preserve">PEVuZE5vdGU+PENpdGU+PEF1dGhvcj5Lb2hzYWthPC9BdXRob3I+PFllYXI+MjAwNzwvWWVhcj48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</w:fldData>
        </w:fldChar>
      </w:r>
      <w:r w:rsidR="0000415D">
        <w:rPr>
          <w:rFonts w:ascii="Arial" w:hAnsi="Arial"/>
          <w:color w:val="000000"/>
        </w:rPr>
        <w:instrText xml:space="preserve"> ADDIN EN.CITE </w:instrText>
      </w:r>
      <w:r w:rsidR="0000415D">
        <w:rPr>
          <w:rFonts w:ascii="Arial" w:hAnsi="Arial"/>
          <w:color w:val="000000"/>
        </w:rPr>
        <w:fldChar w:fldCharType="begin">
          <w:fldData xml:space="preserve">PEVuZE5vdGU+PENpdGU+PEF1dGhvcj5Lb2hzYWthPC9BdXRob3I+PFllYXI+MjAwNzwvWWVhcj48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</w:fldData>
        </w:fldChar>
      </w:r>
      <w:r w:rsidR="0000415D">
        <w:rPr>
          <w:rFonts w:ascii="Arial" w:hAnsi="Arial"/>
          <w:color w:val="000000"/>
        </w:rPr>
        <w:instrText xml:space="preserve"> ADDIN EN.CITE.DATA </w:instrText>
      </w:r>
      <w:r w:rsidR="0000415D">
        <w:rPr>
          <w:rFonts w:ascii="Arial" w:hAnsi="Arial"/>
          <w:color w:val="000000"/>
        </w:rPr>
      </w:r>
      <w:r w:rsidR="0000415D">
        <w:rPr>
          <w:rFonts w:ascii="Arial" w:hAnsi="Arial"/>
          <w:color w:val="000000"/>
        </w:rPr>
        <w:fldChar w:fldCharType="end"/>
      </w:r>
      <w:r w:rsidR="00B43858">
        <w:rPr>
          <w:rFonts w:ascii="Arial" w:hAnsi="Arial"/>
          <w:color w:val="000000"/>
        </w:rPr>
      </w:r>
      <w:r w:rsidR="00B43858">
        <w:rPr>
          <w:rFonts w:ascii="Arial" w:hAnsi="Arial"/>
          <w:color w:val="000000"/>
        </w:rPr>
        <w:fldChar w:fldCharType="separate"/>
      </w:r>
      <w:r w:rsidR="00B43858">
        <w:rPr>
          <w:rFonts w:ascii="Arial" w:hAnsi="Arial"/>
          <w:noProof/>
          <w:color w:val="000000"/>
        </w:rPr>
        <w:t>(Kohsaka et al., 2007, Ellacott et al., 2010, Atalayer and Rowland, 2012, Longo and Mattson, 2014, Mattson et al., 2014)</w:t>
      </w:r>
      <w:r w:rsidR="00B43858">
        <w:rPr>
          <w:rFonts w:ascii="Arial" w:hAnsi="Arial"/>
          <w:color w:val="000000"/>
        </w:rPr>
        <w:fldChar w:fldCharType="end"/>
      </w:r>
      <w:r w:rsidR="00E079DC">
        <w:rPr>
          <w:rFonts w:ascii="Arial" w:hAnsi="Arial"/>
          <w:color w:val="000000"/>
        </w:rPr>
        <w:t xml:space="preserve">. </w:t>
      </w:r>
      <w:r>
        <w:rPr>
          <w:rFonts w:ascii="Arial" w:hAnsi="Arial"/>
          <w:color w:val="000000"/>
        </w:rPr>
        <w:t xml:space="preserve">The metabolic rate of mice is higher than humans </w:t>
      </w:r>
      <w:r w:rsidR="00B43858">
        <w:rPr>
          <w:rFonts w:ascii="Arial" w:hAnsi="Arial"/>
          <w:color w:val="000000"/>
        </w:rPr>
        <w:fldChar w:fldCharType="begin"/>
      </w:r>
      <w:r w:rsidR="00B97465">
        <w:rPr>
          <w:rFonts w:ascii="Arial" w:hAnsi="Arial"/>
          <w:color w:val="000000"/>
        </w:rPr>
        <w:instrText xml:space="preserve"> ADDIN EN.CITE &lt;EndNote&gt;&lt;Cite&gt;&lt;Author&gt;Ayala&lt;/Author&gt;&lt;Year&gt;2006&lt;/Year&gt;&lt;RecNum&gt;268&lt;/RecNum&gt;&lt;DisplayText&gt;(Ayala et al., 2006, Andrikopoulos et al., 2008)&lt;/DisplayText&gt;&lt;record&gt;&lt;rec-number&gt;268&lt;/rec-number&gt;&lt;foreign-keys&gt;&lt;key app="EN" db-id="ae9rewfrpdttrheppfxxv0p4950wpd25r09x" timestamp="1520658220"&gt;268&lt;/key&gt;&lt;key app="ENWeb" db-id=""&gt;0&lt;/key&gt;&lt;/foreign-keys&gt;&lt;ref-type name="Journal Article"&gt;17&lt;/ref-type&gt;&lt;contributors&gt;&lt;authors&gt;&lt;author&gt;Ayala, Je&lt;/author&gt;&lt;author&gt;Bracy, Dp&lt;/author&gt;&lt;author&gt;McGuinness, Op&lt;/author&gt;&lt;author&gt;Wasserman, Dh&lt;/author&gt;&lt;/authors&gt;&lt;/contributors&gt;&lt;titles&gt;&lt;title&gt;Considerations in the design of hyperinsulinemic-euglycemic clamps in the conscious mouse&lt;/title&gt;&lt;secondary-title&gt;Diabetes&lt;/secondary-title&gt;&lt;/titles&gt;&lt;periodical&gt;&lt;full-title&gt;Diabetes&lt;/full-title&gt;&lt;/periodical&gt;&lt;pages&gt;390-397&lt;/pages&gt;&lt;volume&gt;55&lt;/volume&gt;&lt;number&gt;2&lt;/number&gt;&lt;dates&gt;&lt;year&gt;2006&lt;/year&gt;&lt;/dates&gt;&lt;isbn&gt;0012-1797&lt;/isbn&gt;&lt;urls&gt;&lt;/urls&gt;&lt;/record&gt;&lt;/Cite&gt;&lt;Cite&gt;&lt;Author&gt;Andrikopoulos&lt;/Author&gt;&lt;Year&gt;2008&lt;/Year&gt;&lt;RecNum&gt;202&lt;/RecNum&gt;&lt;record&gt;&lt;rec-number&gt;202&lt;/rec-number&gt;&lt;foreign-keys&gt;&lt;key app="EN" db-id="ae9rewfrpdttrheppfxxv0p4950wpd25r09x" timestamp="1520658139"&gt;202&lt;/key&gt;&lt;key app="ENWeb" db-id=""&gt;0&lt;/key&gt;&lt;/foreign-keys&gt;&lt;ref-type name="Journal Article"&gt;17&lt;/ref-type&gt;&lt;contributors&gt;&lt;authors&gt;&lt;author&gt;Andrikopoulos, S.&lt;/author&gt;&lt;author&gt;Blair, A. R.&lt;/author&gt;&lt;author&gt;Deluca, N.&lt;/author&gt;&lt;author&gt;Fam, B. C.&lt;/author&gt;&lt;author&gt;Proietto, J.&lt;/author&gt;&lt;/authors&gt;&lt;/contributors&gt;&lt;titles&gt;&lt;title&gt;Evaluating the glucose tolerance test in mice&lt;/title&gt;&lt;secondary-title&gt;American Journal of Physiology-Endocrinology and Metabolusm&lt;/secondary-title&gt;&lt;/titles&gt;&lt;periodical&gt;&lt;full-title&gt;American Journal of Physiology-Endocrinology and Metabolusm&lt;/full-title&gt;&lt;/periodical&gt;&lt;pages&gt;E1323-E1332&lt;/pages&gt;&lt;volume&gt;295&lt;/volume&gt;&lt;number&gt;6&lt;/number&gt;&lt;dates&gt;&lt;year&gt;2008&lt;/year&gt;&lt;/dates&gt;&lt;isbn&gt;0193-1849&lt;/isbn&gt;&lt;urls&gt;&lt;/urls&gt;&lt;electronic-resource-num&gt;10.1152/ajpendo.90617.2008&lt;/electronic-resource-num&gt;&lt;/record&gt;&lt;/Cite&gt;&lt;/EndNote&gt;</w:instrText>
      </w:r>
      <w:r w:rsidR="00B43858">
        <w:rPr>
          <w:rFonts w:ascii="Arial" w:hAnsi="Arial"/>
          <w:color w:val="000000"/>
        </w:rPr>
        <w:fldChar w:fldCharType="separate"/>
      </w:r>
      <w:r w:rsidR="00B43858">
        <w:rPr>
          <w:rFonts w:ascii="Arial" w:hAnsi="Arial"/>
          <w:noProof/>
          <w:color w:val="000000"/>
        </w:rPr>
        <w:t>(Ayala et al., 2006, Andrikopoulos et al., 2008)</w:t>
      </w:r>
      <w:r w:rsidR="00B43858">
        <w:rPr>
          <w:rFonts w:ascii="Arial" w:hAnsi="Arial"/>
          <w:color w:val="000000"/>
        </w:rPr>
        <w:fldChar w:fldCharType="end"/>
      </w:r>
      <w:r w:rsidR="00E079DC">
        <w:rPr>
          <w:rFonts w:ascii="Arial" w:hAnsi="Arial"/>
          <w:color w:val="000000"/>
        </w:rPr>
        <w:t xml:space="preserve">. </w:t>
      </w:r>
      <w:r>
        <w:rPr>
          <w:rFonts w:ascii="Arial" w:hAnsi="Arial"/>
          <w:color w:val="000000"/>
        </w:rPr>
        <w:t xml:space="preserve">These differences should be accounted for when using mice as a model of human eating behaviour. Albeit adult mice may exhibit </w:t>
      </w:r>
      <w:r w:rsidRPr="006D6524">
        <w:rPr>
          <w:rFonts w:ascii="Arial" w:hAnsi="Arial"/>
          <w:color w:val="000000"/>
        </w:rPr>
        <w:t>variations in their body weights, calorie demands and</w:t>
      </w:r>
      <w:r>
        <w:rPr>
          <w:rFonts w:ascii="Arial" w:hAnsi="Arial"/>
          <w:color w:val="000000"/>
        </w:rPr>
        <w:t xml:space="preserve"> </w:t>
      </w:r>
      <w:r w:rsidRPr="006D6524">
        <w:rPr>
          <w:rFonts w:ascii="Arial" w:hAnsi="Arial"/>
          <w:color w:val="000000"/>
        </w:rPr>
        <w:t>food intakes</w:t>
      </w:r>
      <w:r>
        <w:rPr>
          <w:rFonts w:ascii="Arial" w:hAnsi="Arial"/>
          <w:color w:val="000000"/>
        </w:rPr>
        <w:t xml:space="preserve">, due to the use of inbred strains these variations should not have affected interpretation of our results. The limitations of this study include the length of time selected for the re-feeding period of the fasted mice. A more prolonged period of re-feeding following overnight fast would have led to the body weights of fasted fed mice return to their pre-fasted values (usually within 2-3 days) </w:t>
      </w:r>
      <w:r w:rsidR="00B43858">
        <w:rPr>
          <w:rFonts w:ascii="Arial" w:hAnsi="Arial"/>
          <w:color w:val="000000"/>
        </w:rPr>
        <w:fldChar w:fldCharType="begin"/>
      </w:r>
      <w:r w:rsidR="00A108A1">
        <w:rPr>
          <w:rFonts w:ascii="Arial" w:hAnsi="Arial"/>
          <w:color w:val="000000"/>
        </w:rPr>
        <w:instrText xml:space="preserve"> ADDIN EN.CITE &lt;EndNote&gt;&lt;Cite&gt;&lt;Author&gt;Ellacott&lt;/Author&gt;&lt;Year&gt;2010&lt;/Year&gt;&lt;RecNum&gt;4&lt;/RecNum&gt;&lt;DisplayText&gt;(Ellacott et al., 2010)&lt;/DisplayText&gt;&lt;record&gt;&lt;rec-number&gt;4&lt;/rec-number&gt;&lt;foreign-keys&gt;&lt;key app="EN" db-id="ae9rewfrpdttrheppfxxv0p4950wpd25r09x" timestamp="1520657380"&gt;4&lt;/key&gt;&lt;key app="ENWeb" db-id=""&gt;0&lt;/key&gt;&lt;/foreign-keys&gt;&lt;ref-type name="Journal Article"&gt;17&lt;/ref-type&gt;&lt;contributors&gt;&lt;authors&gt;&lt;author&gt;Ellacott, Kate L. J.&lt;/author&gt;&lt;author&gt;Morton, Gregory J.&lt;/author&gt;&lt;author&gt;Schwartz, Michael W.&lt;/author&gt;&lt;author&gt;Tso, Patrick&lt;/author&gt;&lt;author&gt;Woods, Stephen C.&lt;/author&gt;&lt;/authors&gt;&lt;/contributors&gt;&lt;titles&gt;&lt;title&gt;Assessment of Feeding Behavior in Laboratory Mice&lt;/title&gt;&lt;secondary-title&gt;Cell metabolism&lt;/secondary-title&gt;&lt;/titles&gt;&lt;periodical&gt;&lt;full-title&gt;Cell metabolism&lt;/full-title&gt;&lt;/periodical&gt;&lt;pages&gt;10-18&lt;/pages&gt;&lt;volume&gt;12&lt;/volume&gt;&lt;number&gt;1&lt;/number&gt;&lt;dates&gt;&lt;year&gt;2010&lt;/year&gt;&lt;/dates&gt;&lt;isbn&gt;1550-4131&lt;/isbn&gt;&lt;urls&gt;&lt;/urls&gt;&lt;/record&gt;&lt;/Cite&gt;&lt;/EndNote&gt;</w:instrText>
      </w:r>
      <w:r w:rsidR="00B43858">
        <w:rPr>
          <w:rFonts w:ascii="Arial" w:hAnsi="Arial"/>
          <w:color w:val="000000"/>
        </w:rPr>
        <w:fldChar w:fldCharType="separate"/>
      </w:r>
      <w:r w:rsidR="00B43858">
        <w:rPr>
          <w:rFonts w:ascii="Arial" w:hAnsi="Arial"/>
          <w:noProof/>
          <w:color w:val="000000"/>
        </w:rPr>
        <w:t>(Ellacott et al., 2010)</w:t>
      </w:r>
      <w:r w:rsidR="00B43858">
        <w:rPr>
          <w:rFonts w:ascii="Arial" w:hAnsi="Arial"/>
          <w:color w:val="000000"/>
        </w:rPr>
        <w:fldChar w:fldCharType="end"/>
      </w:r>
      <w:r w:rsidR="00602AB2">
        <w:rPr>
          <w:rFonts w:ascii="Arial" w:hAnsi="Arial"/>
          <w:color w:val="000000"/>
        </w:rPr>
        <w:t>.</w:t>
      </w:r>
      <w:r>
        <w:rPr>
          <w:rFonts w:ascii="Arial" w:hAnsi="Arial"/>
          <w:color w:val="000000"/>
        </w:rPr>
        <w:t xml:space="preserve"> However, the primary purpose of this study was to assess the feeding behaviour of free-fed and prolonged fasted fed young male mice and ultimately the timing of feeding required for fasted mice to deplete normal chow following overnight food restriction. </w:t>
      </w:r>
      <w:r w:rsidRPr="00C46B31">
        <w:rPr>
          <w:rFonts w:ascii="Arial" w:hAnsi="Arial"/>
          <w:color w:val="000000"/>
        </w:rPr>
        <w:t xml:space="preserve">Further studies </w:t>
      </w:r>
      <w:r>
        <w:rPr>
          <w:rFonts w:ascii="Arial" w:hAnsi="Arial"/>
          <w:color w:val="000000"/>
        </w:rPr>
        <w:t xml:space="preserve">could expand these experiments to include female mice since, like humans, body fat distribution and body compositions differ between male and female mice. </w:t>
      </w:r>
    </w:p>
    <w:p w14:paraId="76AD863A" w14:textId="77777777" w:rsidR="00A0409D" w:rsidRPr="00CF2348" w:rsidRDefault="00A0409D" w:rsidP="00CF2348">
      <w:pPr>
        <w:pStyle w:val="Heading3"/>
        <w:spacing w:line="480" w:lineRule="auto"/>
        <w:jc w:val="both"/>
        <w:rPr>
          <w:rFonts w:ascii="Arial" w:hAnsi="Arial" w:cs="Arial"/>
          <w:color w:val="auto"/>
        </w:rPr>
      </w:pPr>
      <w:bookmarkStart w:id="87" w:name="_Toc383723887"/>
      <w:r w:rsidRPr="00CF2348">
        <w:rPr>
          <w:rFonts w:ascii="Arial" w:hAnsi="Arial" w:cs="Arial"/>
          <w:color w:val="auto"/>
        </w:rPr>
        <w:t xml:space="preserve">3.3.2 Overnight fasting neither potentiates nor inhibits bone’s response to 20 cycles of mechanical loading in </w:t>
      </w:r>
      <w:r w:rsidR="00E4700D">
        <w:rPr>
          <w:rFonts w:ascii="Arial" w:hAnsi="Arial" w:cs="Arial"/>
          <w:color w:val="auto"/>
        </w:rPr>
        <w:t xml:space="preserve">young male </w:t>
      </w:r>
      <w:r w:rsidRPr="00CF2348">
        <w:rPr>
          <w:rFonts w:ascii="Arial" w:hAnsi="Arial" w:cs="Arial"/>
          <w:color w:val="auto"/>
        </w:rPr>
        <w:t>mice</w:t>
      </w:r>
      <w:bookmarkEnd w:id="87"/>
      <w:r w:rsidRPr="00CF2348">
        <w:rPr>
          <w:rFonts w:ascii="Arial" w:hAnsi="Arial" w:cs="Arial"/>
          <w:color w:val="auto"/>
        </w:rPr>
        <w:t xml:space="preserve"> </w:t>
      </w:r>
    </w:p>
    <w:p w14:paraId="7A0359A7" w14:textId="77777777" w:rsidR="00A0409D" w:rsidRPr="00A9414C" w:rsidRDefault="00A0409D" w:rsidP="00A0409D">
      <w:pPr>
        <w:spacing w:line="480" w:lineRule="auto"/>
        <w:jc w:val="both"/>
        <w:rPr>
          <w:rFonts w:ascii="Arial" w:eastAsiaTheme="minorHAnsi" w:hAnsi="Arial"/>
          <w:bCs/>
          <w:lang w:val="en-US"/>
        </w:rPr>
      </w:pPr>
      <w:r w:rsidRPr="00D73384">
        <w:rPr>
          <w:rFonts w:ascii="Arial" w:eastAsiaTheme="minorHAnsi" w:hAnsi="Arial"/>
          <w:bCs/>
          <w:lang w:val="en-US"/>
        </w:rPr>
        <w:t>We used widely accepted method to apply non-invasive axial compressive loads on mouse tibiae to increase bone mass and architecture in structural</w:t>
      </w:r>
      <w:r>
        <w:rPr>
          <w:rFonts w:ascii="Arial" w:eastAsiaTheme="minorHAnsi" w:hAnsi="Arial"/>
          <w:bCs/>
          <w:lang w:val="en-US"/>
        </w:rPr>
        <w:t>ly relevant locations mimicking</w:t>
      </w:r>
      <w:r w:rsidRPr="00D73384">
        <w:rPr>
          <w:rFonts w:ascii="Arial" w:eastAsiaTheme="minorHAnsi" w:hAnsi="Arial"/>
          <w:bCs/>
          <w:lang w:val="en-US"/>
        </w:rPr>
        <w:t xml:space="preserve"> osteogenic exercise </w:t>
      </w:r>
      <w:r w:rsidRPr="00D73384">
        <w:rPr>
          <w:rFonts w:ascii="Arial" w:eastAsiaTheme="minorHAnsi" w:hAnsi="Arial"/>
          <w:bCs/>
          <w:lang w:val="en-US"/>
        </w:rPr>
        <w:fldChar w:fldCharType="begin">
          <w:fldData xml:space="preserve">PEVuZE5vdGU+PENpdGU+PEF1dGhvcj5EZSBTb3V6YTwvQXV0aG9yPjxZZWFyPjIwMDU8L1llYXI+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=
</w:fldData>
        </w:fldChar>
      </w:r>
      <w:r w:rsidR="00A108A1">
        <w:rPr>
          <w:rFonts w:ascii="Arial" w:eastAsiaTheme="minorHAnsi" w:hAnsi="Arial"/>
          <w:bCs/>
          <w:lang w:val="en-US"/>
        </w:rPr>
        <w:instrText xml:space="preserve"> ADDIN EN.CITE </w:instrText>
      </w:r>
      <w:r w:rsidR="00A108A1">
        <w:rPr>
          <w:rFonts w:ascii="Arial" w:eastAsiaTheme="minorHAnsi" w:hAnsi="Arial"/>
          <w:bCs/>
          <w:lang w:val="en-US"/>
        </w:rPr>
        <w:fldChar w:fldCharType="begin">
          <w:fldData xml:space="preserve">PEVuZE5vdGU+PENpdGU+PEF1dGhvcj5EZSBTb3V6YTwvQXV0aG9yPjxZZWFyPjIwMDU8L1llYXI+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=
</w:fldData>
        </w:fldChar>
      </w:r>
      <w:r w:rsidR="00A108A1">
        <w:rPr>
          <w:rFonts w:ascii="Arial" w:eastAsiaTheme="minorHAnsi" w:hAnsi="Arial"/>
          <w:bCs/>
          <w:lang w:val="en-US"/>
        </w:rPr>
        <w:instrText xml:space="preserve"> ADDIN EN.CITE.DATA </w:instrText>
      </w:r>
      <w:r w:rsidR="00A108A1">
        <w:rPr>
          <w:rFonts w:ascii="Arial" w:eastAsiaTheme="minorHAnsi" w:hAnsi="Arial"/>
          <w:bCs/>
          <w:lang w:val="en-US"/>
        </w:rPr>
      </w:r>
      <w:r w:rsidR="00A108A1">
        <w:rPr>
          <w:rFonts w:ascii="Arial" w:eastAsiaTheme="minorHAnsi" w:hAnsi="Arial"/>
          <w:bCs/>
          <w:lang w:val="en-US"/>
        </w:rPr>
        <w:fldChar w:fldCharType="end"/>
      </w:r>
      <w:r w:rsidRPr="00D73384">
        <w:rPr>
          <w:rFonts w:ascii="Arial" w:eastAsiaTheme="minorHAnsi" w:hAnsi="Arial"/>
          <w:bCs/>
          <w:lang w:val="en-US"/>
        </w:rPr>
      </w:r>
      <w:r w:rsidRPr="00D73384">
        <w:rPr>
          <w:rFonts w:ascii="Arial" w:eastAsiaTheme="minorHAnsi" w:hAnsi="Arial"/>
          <w:bCs/>
          <w:lang w:val="en-US"/>
        </w:rPr>
        <w:fldChar w:fldCharType="separate"/>
      </w:r>
      <w:r>
        <w:rPr>
          <w:rFonts w:ascii="Arial" w:eastAsiaTheme="minorHAnsi" w:hAnsi="Arial"/>
          <w:bCs/>
          <w:noProof/>
          <w:lang w:val="en-US"/>
        </w:rPr>
        <w:t>(De Souza et al., 2005a</w:t>
      </w:r>
      <w:r w:rsidRPr="00D73384">
        <w:rPr>
          <w:rFonts w:ascii="Arial" w:eastAsiaTheme="minorHAnsi" w:hAnsi="Arial"/>
          <w:bCs/>
          <w:noProof/>
          <w:lang w:val="en-US"/>
        </w:rPr>
        <w:t>, De Souza et al., 2005b, Sugiyama et al., 2008, Pierroz et al., 2012, Windahl et al., 2013, Weatherholt et al., 2013, Willie et al., 2013)</w:t>
      </w:r>
      <w:r w:rsidRPr="00D73384">
        <w:rPr>
          <w:rFonts w:ascii="Arial" w:eastAsiaTheme="minorHAnsi" w:hAnsi="Arial"/>
          <w:bCs/>
          <w:lang w:val="en-US"/>
        </w:rPr>
        <w:fldChar w:fldCharType="end"/>
      </w:r>
      <w:r w:rsidRPr="00D73384">
        <w:rPr>
          <w:rFonts w:ascii="Arial" w:eastAsiaTheme="minorHAnsi" w:hAnsi="Arial"/>
          <w:bCs/>
          <w:lang w:val="en-US"/>
        </w:rPr>
        <w:t xml:space="preserve">. </w:t>
      </w:r>
      <w:r>
        <w:rPr>
          <w:rFonts w:ascii="Arial" w:eastAsiaTheme="minorHAnsi" w:hAnsi="Arial"/>
          <w:bCs/>
          <w:lang w:val="en-US"/>
        </w:rPr>
        <w:t xml:space="preserve">As detailed in </w:t>
      </w:r>
      <w:r w:rsidR="000111C5">
        <w:rPr>
          <w:rFonts w:ascii="Arial" w:eastAsiaTheme="minorHAnsi" w:hAnsi="Arial"/>
          <w:bCs/>
          <w:lang w:val="en-US"/>
        </w:rPr>
        <w:t xml:space="preserve">the </w:t>
      </w:r>
      <w:r>
        <w:rPr>
          <w:rFonts w:ascii="Arial" w:eastAsiaTheme="minorHAnsi" w:hAnsi="Arial"/>
          <w:bCs/>
          <w:lang w:val="en-US"/>
        </w:rPr>
        <w:t>introduction</w:t>
      </w:r>
      <w:r w:rsidR="000111C5">
        <w:rPr>
          <w:rFonts w:ascii="Arial" w:eastAsiaTheme="minorHAnsi" w:hAnsi="Arial"/>
          <w:bCs/>
          <w:lang w:val="en-US"/>
        </w:rPr>
        <w:t xml:space="preserve"> (section 3.1)</w:t>
      </w:r>
      <w:r>
        <w:rPr>
          <w:rFonts w:ascii="Arial" w:eastAsiaTheme="minorHAnsi" w:hAnsi="Arial"/>
          <w:bCs/>
          <w:lang w:val="en-US"/>
        </w:rPr>
        <w:t>, the</w:t>
      </w:r>
      <w:r w:rsidRPr="00D73384">
        <w:rPr>
          <w:rFonts w:ascii="Arial" w:eastAsiaTheme="minorHAnsi" w:hAnsi="Arial"/>
          <w:bCs/>
          <w:lang w:val="en-US"/>
        </w:rPr>
        <w:t xml:space="preserve"> contralateral (left) tibiae </w:t>
      </w:r>
      <w:r>
        <w:rPr>
          <w:rFonts w:ascii="Arial" w:eastAsiaTheme="minorHAnsi" w:hAnsi="Arial"/>
          <w:bCs/>
          <w:lang w:val="en-US"/>
        </w:rPr>
        <w:t>were</w:t>
      </w:r>
      <w:r w:rsidRPr="00D73384">
        <w:rPr>
          <w:rFonts w:ascii="Arial" w:eastAsiaTheme="minorHAnsi" w:hAnsi="Arial"/>
          <w:bCs/>
          <w:lang w:val="en-US"/>
        </w:rPr>
        <w:t xml:space="preserve"> internal </w:t>
      </w:r>
      <w:r>
        <w:rPr>
          <w:rFonts w:ascii="Arial" w:eastAsiaTheme="minorHAnsi" w:hAnsi="Arial"/>
          <w:bCs/>
          <w:lang w:val="en-US"/>
        </w:rPr>
        <w:t xml:space="preserve">unloaded </w:t>
      </w:r>
      <w:r w:rsidRPr="00D73384">
        <w:rPr>
          <w:rFonts w:ascii="Arial" w:eastAsiaTheme="minorHAnsi" w:hAnsi="Arial"/>
          <w:bCs/>
          <w:lang w:val="en-US"/>
        </w:rPr>
        <w:t>controls</w:t>
      </w:r>
      <w:r>
        <w:rPr>
          <w:rFonts w:ascii="Arial" w:eastAsiaTheme="minorHAnsi" w:hAnsi="Arial"/>
          <w:bCs/>
          <w:lang w:val="en-US"/>
        </w:rPr>
        <w:t>, which increased</w:t>
      </w:r>
      <w:r w:rsidRPr="00D73384">
        <w:rPr>
          <w:rFonts w:ascii="Arial" w:eastAsiaTheme="minorHAnsi" w:hAnsi="Arial"/>
          <w:bCs/>
          <w:lang w:val="en-US"/>
        </w:rPr>
        <w:t xml:space="preserve"> </w:t>
      </w:r>
      <w:r>
        <w:rPr>
          <w:rFonts w:ascii="Arial" w:eastAsiaTheme="minorHAnsi" w:hAnsi="Arial"/>
          <w:bCs/>
          <w:lang w:val="en-US"/>
        </w:rPr>
        <w:t>the statistical power and reduced</w:t>
      </w:r>
      <w:r w:rsidRPr="00D73384">
        <w:rPr>
          <w:rFonts w:ascii="Arial" w:eastAsiaTheme="minorHAnsi" w:hAnsi="Arial"/>
          <w:bCs/>
          <w:lang w:val="en-US"/>
        </w:rPr>
        <w:t xml:space="preserve"> </w:t>
      </w:r>
      <w:r>
        <w:rPr>
          <w:rFonts w:ascii="Arial" w:eastAsiaTheme="minorHAnsi" w:hAnsi="Arial"/>
          <w:bCs/>
          <w:lang w:val="en-US"/>
        </w:rPr>
        <w:t xml:space="preserve">the </w:t>
      </w:r>
      <w:r w:rsidRPr="00D73384">
        <w:rPr>
          <w:rFonts w:ascii="Arial" w:eastAsiaTheme="minorHAnsi" w:hAnsi="Arial"/>
          <w:bCs/>
          <w:lang w:val="en-US"/>
        </w:rPr>
        <w:t>number of experimental animals</w:t>
      </w:r>
      <w:r>
        <w:rPr>
          <w:rFonts w:ascii="Arial" w:eastAsiaTheme="minorHAnsi" w:hAnsi="Arial"/>
          <w:bCs/>
          <w:lang w:val="en-US"/>
        </w:rPr>
        <w:t>.</w:t>
      </w:r>
    </w:p>
    <w:p w14:paraId="6D934756" w14:textId="77777777" w:rsidR="00A0409D" w:rsidRPr="0026652A" w:rsidRDefault="00A0409D" w:rsidP="00A0409D">
      <w:pPr>
        <w:spacing w:line="480" w:lineRule="auto"/>
        <w:jc w:val="both"/>
        <w:rPr>
          <w:rFonts w:ascii="Arial" w:hAnsi="Arial"/>
          <w:bCs/>
          <w:lang w:val="en-US"/>
        </w:rPr>
      </w:pPr>
      <w:r>
        <w:rPr>
          <w:rFonts w:ascii="Arial" w:hAnsi="Arial"/>
          <w:bCs/>
          <w:lang w:val="en-US"/>
        </w:rPr>
        <w:lastRenderedPageBreak/>
        <w:t xml:space="preserve">Numerous previous studies of </w:t>
      </w:r>
      <w:r w:rsidRPr="006E6D12">
        <w:rPr>
          <w:rFonts w:ascii="Arial" w:hAnsi="Arial"/>
          <w:bCs/>
          <w:i/>
          <w:lang w:val="en-US"/>
        </w:rPr>
        <w:t>in vivo</w:t>
      </w:r>
      <w:r>
        <w:rPr>
          <w:rFonts w:ascii="Arial" w:hAnsi="Arial"/>
          <w:bCs/>
          <w:lang w:val="en-US"/>
        </w:rPr>
        <w:t xml:space="preserve"> mechanical loading used several hundreds of loading cycles, which despite inducing new woven bone formation are most likely to result in inflammation </w:t>
      </w:r>
      <w:r w:rsidR="00B43858">
        <w:rPr>
          <w:rFonts w:ascii="Arial" w:hAnsi="Arial"/>
          <w:bCs/>
          <w:lang w:val="en-US"/>
        </w:rPr>
        <w:fldChar w:fldCharType="begin">
          <w:fldData xml:space="preserve">PEVuZE5vdGU+PENpdGU+PEF1dGhvcj5MeW5jaDwvQXV0aG9yPjxZZWFyPjIwMTE8L1llYXI+PFJl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</w:fldData>
        </w:fldChar>
      </w:r>
      <w:r w:rsidR="00A108A1">
        <w:rPr>
          <w:rFonts w:ascii="Arial" w:hAnsi="Arial"/>
          <w:bCs/>
          <w:lang w:val="en-US"/>
        </w:rPr>
        <w:instrText xml:space="preserve"> ADDIN EN.CITE </w:instrText>
      </w:r>
      <w:r w:rsidR="00A108A1">
        <w:rPr>
          <w:rFonts w:ascii="Arial" w:hAnsi="Arial"/>
          <w:bCs/>
          <w:lang w:val="en-US"/>
        </w:rPr>
        <w:fldChar w:fldCharType="begin">
          <w:fldData xml:space="preserve">PEVuZE5vdGU+PENpdGU+PEF1dGhvcj5MeW5jaDwvQXV0aG9yPjxZZWFyPjIwMTE8L1llYXI+PFJl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</w:fldData>
        </w:fldChar>
      </w:r>
      <w:r w:rsidR="00A108A1">
        <w:rPr>
          <w:rFonts w:ascii="Arial" w:hAnsi="Arial"/>
          <w:bCs/>
          <w:lang w:val="en-US"/>
        </w:rPr>
        <w:instrText xml:space="preserve"> ADDIN EN.CITE.DATA </w:instrText>
      </w:r>
      <w:r w:rsidR="00A108A1">
        <w:rPr>
          <w:rFonts w:ascii="Arial" w:hAnsi="Arial"/>
          <w:bCs/>
          <w:lang w:val="en-US"/>
        </w:rPr>
      </w:r>
      <w:r w:rsidR="00A108A1">
        <w:rPr>
          <w:rFonts w:ascii="Arial" w:hAnsi="Arial"/>
          <w:bCs/>
          <w:lang w:val="en-US"/>
        </w:rPr>
        <w:fldChar w:fldCharType="end"/>
      </w:r>
      <w:r w:rsidR="00B43858">
        <w:rPr>
          <w:rFonts w:ascii="Arial" w:hAnsi="Arial"/>
          <w:bCs/>
          <w:lang w:val="en-US"/>
        </w:rPr>
      </w:r>
      <w:r w:rsidR="00B43858">
        <w:rPr>
          <w:rFonts w:ascii="Arial" w:hAnsi="Arial"/>
          <w:bCs/>
          <w:lang w:val="en-US"/>
        </w:rPr>
        <w:fldChar w:fldCharType="separate"/>
      </w:r>
      <w:r w:rsidR="00B43858">
        <w:rPr>
          <w:rFonts w:ascii="Arial" w:hAnsi="Arial"/>
          <w:bCs/>
          <w:noProof/>
          <w:lang w:val="en-US"/>
        </w:rPr>
        <w:t>(Lynch et al., 2011, Willie et al., 2013)</w:t>
      </w:r>
      <w:r w:rsidR="00B43858">
        <w:rPr>
          <w:rFonts w:ascii="Arial" w:hAnsi="Arial"/>
          <w:bCs/>
          <w:lang w:val="en-US"/>
        </w:rPr>
        <w:fldChar w:fldCharType="end"/>
      </w:r>
      <w:r w:rsidR="002B5A3C">
        <w:rPr>
          <w:rFonts w:ascii="Arial" w:hAnsi="Arial"/>
          <w:bCs/>
          <w:lang w:val="en-US"/>
        </w:rPr>
        <w:t>.</w:t>
      </w:r>
      <w:r>
        <w:rPr>
          <w:rFonts w:ascii="Arial" w:hAnsi="Arial"/>
          <w:bCs/>
          <w:lang w:val="en-US"/>
        </w:rPr>
        <w:t xml:space="preserve"> </w:t>
      </w:r>
      <w:r>
        <w:rPr>
          <w:rFonts w:ascii="Arial" w:hAnsi="Arial"/>
        </w:rPr>
        <w:t xml:space="preserve">In our pilot study the </w:t>
      </w:r>
      <w:r>
        <w:rPr>
          <w:rFonts w:ascii="Arial" w:hAnsi="Arial"/>
          <w:bCs/>
          <w:lang w:val="en-US"/>
        </w:rPr>
        <w:t>m</w:t>
      </w:r>
      <w:r w:rsidRPr="00C53EBA">
        <w:rPr>
          <w:rFonts w:ascii="Arial" w:hAnsi="Arial"/>
          <w:bCs/>
          <w:lang w:val="en-US"/>
        </w:rPr>
        <w:t>echanical loading with 20 cycles regimen was sufficient to induce osteogenic adap</w:t>
      </w:r>
      <w:r>
        <w:rPr>
          <w:rFonts w:ascii="Arial" w:hAnsi="Arial"/>
          <w:bCs/>
          <w:lang w:val="en-US"/>
        </w:rPr>
        <w:t xml:space="preserve">tive responses in cortical thickness </w:t>
      </w:r>
      <w:r w:rsidR="002B5A3C">
        <w:rPr>
          <w:rFonts w:ascii="Arial" w:hAnsi="Arial"/>
          <w:bCs/>
          <w:lang w:val="en-US"/>
        </w:rPr>
        <w:t xml:space="preserve">and trabecular bone volume fraction </w:t>
      </w:r>
      <w:r>
        <w:rPr>
          <w:rFonts w:ascii="Arial" w:hAnsi="Arial"/>
          <w:bCs/>
          <w:lang w:val="en-US"/>
        </w:rPr>
        <w:t>of</w:t>
      </w:r>
      <w:r w:rsidRPr="00C53EBA">
        <w:rPr>
          <w:rFonts w:ascii="Arial" w:hAnsi="Arial"/>
          <w:bCs/>
          <w:lang w:val="en-US"/>
        </w:rPr>
        <w:t xml:space="preserve"> right </w:t>
      </w:r>
      <w:r>
        <w:rPr>
          <w:rFonts w:ascii="Arial" w:hAnsi="Arial"/>
          <w:bCs/>
          <w:lang w:val="en-US"/>
        </w:rPr>
        <w:t xml:space="preserve">loaded </w:t>
      </w:r>
      <w:r w:rsidRPr="00C53EBA">
        <w:rPr>
          <w:rFonts w:ascii="Arial" w:hAnsi="Arial"/>
          <w:bCs/>
          <w:lang w:val="en-US"/>
        </w:rPr>
        <w:t>tibiae of fed and ov</w:t>
      </w:r>
      <w:r>
        <w:rPr>
          <w:rFonts w:ascii="Arial" w:hAnsi="Arial"/>
          <w:bCs/>
          <w:lang w:val="en-US"/>
        </w:rPr>
        <w:t>ernight fasted groups of mice compared with the l</w:t>
      </w:r>
      <w:r w:rsidR="002B5A3C">
        <w:rPr>
          <w:rFonts w:ascii="Arial" w:hAnsi="Arial"/>
          <w:bCs/>
          <w:lang w:val="en-US"/>
        </w:rPr>
        <w:t>eft unloaded controls (Figures 22 and 23</w:t>
      </w:r>
      <w:r>
        <w:rPr>
          <w:rFonts w:ascii="Arial" w:hAnsi="Arial"/>
          <w:bCs/>
          <w:lang w:val="en-US"/>
        </w:rPr>
        <w:t>). H</w:t>
      </w:r>
      <w:r w:rsidRPr="00C53EBA">
        <w:rPr>
          <w:rFonts w:ascii="Arial" w:hAnsi="Arial"/>
          <w:bCs/>
          <w:lang w:val="en-US"/>
        </w:rPr>
        <w:t>owever,</w:t>
      </w:r>
      <w:r>
        <w:rPr>
          <w:rFonts w:ascii="Arial" w:hAnsi="Arial"/>
        </w:rPr>
        <w:t xml:space="preserve"> </w:t>
      </w:r>
      <w:r w:rsidRPr="00C53EBA">
        <w:rPr>
          <w:rFonts w:ascii="Arial" w:hAnsi="Arial"/>
          <w:lang w:val="en-US"/>
        </w:rPr>
        <w:t>overnight fasting neither potent</w:t>
      </w:r>
      <w:r>
        <w:rPr>
          <w:rFonts w:ascii="Arial" w:hAnsi="Arial"/>
          <w:lang w:val="en-US"/>
        </w:rPr>
        <w:t xml:space="preserve">iated nor inhibited bone’s response to 20 cycles of mechanical loading between the fed </w:t>
      </w:r>
      <w:r w:rsidRPr="00C53EBA">
        <w:rPr>
          <w:rFonts w:ascii="Arial" w:hAnsi="Arial"/>
          <w:lang w:val="en-US"/>
        </w:rPr>
        <w:t xml:space="preserve">mice </w:t>
      </w:r>
      <w:r>
        <w:rPr>
          <w:rFonts w:ascii="Arial" w:hAnsi="Arial"/>
          <w:lang w:val="en-US"/>
        </w:rPr>
        <w:t xml:space="preserve">and those starved overnight before the loading </w:t>
      </w:r>
      <w:r w:rsidRPr="00C53EBA">
        <w:rPr>
          <w:rFonts w:ascii="Arial" w:hAnsi="Arial"/>
          <w:lang w:val="en-US"/>
        </w:rPr>
        <w:t xml:space="preserve">within </w:t>
      </w:r>
      <w:r w:rsidR="001965AB">
        <w:rPr>
          <w:rFonts w:ascii="Arial" w:hAnsi="Arial"/>
          <w:lang w:val="en-US"/>
        </w:rPr>
        <w:t>a 2</w:t>
      </w:r>
      <w:r>
        <w:rPr>
          <w:rFonts w:ascii="Arial" w:hAnsi="Arial"/>
          <w:lang w:val="en-US"/>
        </w:rPr>
        <w:t>-week</w:t>
      </w:r>
      <w:r w:rsidRPr="00C53EBA">
        <w:rPr>
          <w:rFonts w:ascii="Arial" w:hAnsi="Arial"/>
          <w:lang w:val="en-US"/>
        </w:rPr>
        <w:t xml:space="preserve"> period of time. </w:t>
      </w:r>
    </w:p>
    <w:p w14:paraId="4624AF32" w14:textId="77777777" w:rsidR="00A0409D" w:rsidRPr="008F7A7C" w:rsidRDefault="00A0409D" w:rsidP="00A0409D">
      <w:pPr>
        <w:spacing w:line="480" w:lineRule="auto"/>
        <w:jc w:val="both"/>
        <w:rPr>
          <w:rFonts w:ascii="Arial" w:hAnsi="Arial"/>
          <w:lang w:val="en-US"/>
        </w:rPr>
      </w:pPr>
    </w:p>
    <w:p w14:paraId="0861DBDF" w14:textId="77777777" w:rsidR="00A0409D" w:rsidRPr="00813FDF" w:rsidRDefault="00A0409D" w:rsidP="00A0409D">
      <w:pPr>
        <w:spacing w:line="480" w:lineRule="auto"/>
        <w:jc w:val="both"/>
        <w:rPr>
          <w:rFonts w:ascii="Arial" w:hAnsi="Arial"/>
          <w:bCs/>
          <w:lang w:val="en-US"/>
        </w:rPr>
      </w:pPr>
      <w:r>
        <w:rPr>
          <w:rFonts w:ascii="Arial" w:hAnsi="Arial"/>
          <w:bCs/>
          <w:lang w:val="en-US"/>
        </w:rPr>
        <w:t>There were no significant differences in tibial longitudinal lengths of left control and right loaded tibiae of mice within or between the fed and fasted groups</w:t>
      </w:r>
      <w:r w:rsidR="002B5A3C">
        <w:rPr>
          <w:rFonts w:ascii="Arial" w:hAnsi="Arial"/>
          <w:bCs/>
          <w:lang w:val="en-US"/>
        </w:rPr>
        <w:t xml:space="preserve"> (Figure 21</w:t>
      </w:r>
      <w:r w:rsidR="002124B1">
        <w:rPr>
          <w:rFonts w:ascii="Arial" w:hAnsi="Arial"/>
          <w:bCs/>
          <w:lang w:val="en-US"/>
        </w:rPr>
        <w:t xml:space="preserve">). </w:t>
      </w:r>
      <w:r>
        <w:rPr>
          <w:rFonts w:ascii="Arial" w:hAnsi="Arial"/>
          <w:bCs/>
          <w:lang w:val="en-US"/>
        </w:rPr>
        <w:t xml:space="preserve">This indicated that all groups had similar bone size, and applied dynamic loads did not affect the longitudinal lengths of young mouse tibiae. These findings are consistent with those reported by Sugiyama and colleagues </w:t>
      </w:r>
      <w:r w:rsidR="00B43858">
        <w:rPr>
          <w:rFonts w:ascii="Arial" w:hAnsi="Arial"/>
          <w:bCs/>
          <w:lang w:val="en-US"/>
        </w:rPr>
        <w:fldChar w:fldCharType="begin"/>
      </w:r>
      <w:r w:rsidR="00A108A1">
        <w:rPr>
          <w:rFonts w:ascii="Arial" w:hAnsi="Arial"/>
          <w:bCs/>
          <w:lang w:val="en-US"/>
        </w:rPr>
        <w:instrText xml:space="preserve"> ADDIN EN.CITE &lt;EndNote&gt;&lt;Cite&gt;&lt;Author&gt;Sugiyama&lt;/Author&gt;&lt;Year&gt;2012&lt;/Year&gt;&lt;RecNum&gt;283&lt;/RecNum&gt;&lt;DisplayText&gt;(Sugiyama et al., 2012)&lt;/DisplayText&gt;&lt;record&gt;&lt;rec-number&gt;283&lt;/rec-number&gt;&lt;foreign-keys&gt;&lt;key app="EN" db-id="ae9rewfrpdttrheppfxxv0p4950wpd25r09x" timestamp="1520658274"&gt;283&lt;/key&gt;&lt;key app="ENWeb" db-id=""&gt;0&lt;/key&gt;&lt;/foreign-keys&gt;&lt;ref-type name="Journal Article"&gt;17&lt;/ref-type&gt;&lt;contributors&gt;&lt;authors&gt;&lt;author&gt;Sugiyama, Toshihiro&lt;/author&gt;&lt;author&gt;Meakin, Lee B.&lt;/author&gt;&lt;author&gt;Browne, William J.&lt;/author&gt;&lt;author&gt;Galea, Gabriel L.&lt;/author&gt;&lt;author&gt;Price, Joanna S.&lt;/author&gt;&lt;author&gt;Lanyon, Lance E.&lt;/author&gt;&lt;/authors&gt;&lt;/contributors&gt;&lt;titles&gt;&lt;title&gt;Bones&amp;apos; adaptive response to mechanical loading is essentially linear between the low strains associated with disuse and the high strains associated with the lamellar/woven bone transition&lt;/title&gt;&lt;secondary-title&gt;Journal of Bone and Mineral Research&lt;/secondary-title&gt;&lt;/titles&gt;&lt;periodical&gt;&lt;full-title&gt;Journal of Bone and Mineral Research&lt;/full-title&gt;&lt;/periodical&gt;&lt;pages&gt;1784-1793&lt;/pages&gt;&lt;volume&gt;27&lt;/volume&gt;&lt;number&gt;8&lt;/number&gt;&lt;keywords&gt;&lt;keyword&gt;Bone Loading&lt;/keyword&gt;&lt;keyword&gt;Lazy Zone&lt;/keyword&gt;&lt;keyword&gt;Mechanostat&lt;/keyword&gt;&lt;keyword&gt;Minimum Effective Strain&lt;/keyword&gt;&lt;keyword&gt;Strain-Related Adaptation&lt;/keyword&gt;&lt;/keywords&gt;&lt;dates&gt;&lt;year&gt;2012&lt;/year&gt;&lt;/dates&gt;&lt;isbn&gt;08840431&lt;/isbn&gt;&lt;urls&gt;&lt;/urls&gt;&lt;electronic-resource-num&gt;10.1002/jbmr.1599&lt;/electronic-resource-num&gt;&lt;/record&gt;&lt;/Cite&gt;&lt;/EndNote&gt;</w:instrText>
      </w:r>
      <w:r w:rsidR="00B43858">
        <w:rPr>
          <w:rFonts w:ascii="Arial" w:hAnsi="Arial"/>
          <w:bCs/>
          <w:lang w:val="en-US"/>
        </w:rPr>
        <w:fldChar w:fldCharType="separate"/>
      </w:r>
      <w:r w:rsidR="00B43858">
        <w:rPr>
          <w:rFonts w:ascii="Arial" w:hAnsi="Arial"/>
          <w:bCs/>
          <w:noProof/>
          <w:lang w:val="en-US"/>
        </w:rPr>
        <w:t>(Sugiyama et al., 2012)</w:t>
      </w:r>
      <w:r w:rsidR="00B43858">
        <w:rPr>
          <w:rFonts w:ascii="Arial" w:hAnsi="Arial"/>
          <w:bCs/>
          <w:lang w:val="en-US"/>
        </w:rPr>
        <w:fldChar w:fldCharType="end"/>
      </w:r>
      <w:r w:rsidR="002124B1">
        <w:rPr>
          <w:rFonts w:ascii="Arial" w:hAnsi="Arial"/>
          <w:bCs/>
          <w:lang w:val="en-US"/>
        </w:rPr>
        <w:t>.</w:t>
      </w:r>
      <w:r>
        <w:rPr>
          <w:rFonts w:ascii="Arial" w:hAnsi="Arial"/>
          <w:bCs/>
          <w:lang w:val="en-US"/>
        </w:rPr>
        <w:t xml:space="preserve"> Another study by Main et al. examined the effects of </w:t>
      </w:r>
      <w:r>
        <w:rPr>
          <w:rFonts w:ascii="Arial" w:hAnsi="Arial"/>
          <w:bCs/>
          <w:i/>
          <w:lang w:val="en-US"/>
        </w:rPr>
        <w:t xml:space="preserve">in vivo </w:t>
      </w:r>
      <w:r>
        <w:rPr>
          <w:rFonts w:ascii="Arial" w:hAnsi="Arial"/>
          <w:bCs/>
          <w:lang w:val="en-US"/>
        </w:rPr>
        <w:t>mechanical loading on tibial length of growing and mature female mice at 6, 10 and 16 weeks of age. They found that loaded tibiae of older groups of mice at 10 and 16 weeks of age were similar in length to the control tibiae</w:t>
      </w:r>
      <w:r w:rsidR="006E5646">
        <w:rPr>
          <w:rFonts w:ascii="Arial" w:hAnsi="Arial"/>
          <w:bCs/>
          <w:lang w:val="en-US"/>
        </w:rPr>
        <w:t xml:space="preserve"> </w:t>
      </w:r>
      <w:r w:rsidR="00B43858">
        <w:rPr>
          <w:rFonts w:ascii="Arial" w:hAnsi="Arial"/>
          <w:bCs/>
          <w:lang w:val="en-US"/>
        </w:rPr>
        <w:fldChar w:fldCharType="begin"/>
      </w:r>
      <w:r w:rsidR="0000415D">
        <w:rPr>
          <w:rFonts w:ascii="Arial" w:hAnsi="Arial"/>
          <w:bCs/>
          <w:lang w:val="en-US"/>
        </w:rPr>
        <w:instrText xml:space="preserve"> ADDIN EN.CITE &lt;EndNote&gt;&lt;Cite&gt;&lt;Author&gt;Main&lt;/Author&gt;&lt;Year&gt;2014&lt;/Year&gt;&lt;RecNum&gt;454&lt;/RecNum&gt;&lt;DisplayText&gt;(Main et al., 2014)&lt;/DisplayText&gt;&lt;record&gt;&lt;rec-number&gt;454&lt;/rec-number&gt;&lt;foreign-keys&gt;&lt;key app="EN" db-id="ae9rewfrpdttrheppfxxv0p4950wpd25r09x" timestamp="1520658307"&gt;454&lt;/key&gt;&lt;/foreign-keys&gt;&lt;ref-type name="Journal Article"&gt;17&lt;/ref-type&gt;&lt;contributors&gt;&lt;authors&gt;&lt;author&gt;Main, Russell P.&lt;/author&gt;&lt;author&gt;Lynch, Maureen E.&lt;/author&gt;&lt;author&gt;van Der Meulen, Marjolein C. H.&lt;/author&gt;&lt;/authors&gt;&lt;/contributors&gt;&lt;titles&gt;&lt;title&gt;Load- induced changes in bone stiffness and cancellous and cortical bone mass following tibial compression diminish with age in female mice&lt;/title&gt;&lt;secondary-title&gt;The Journal of Experimental Biology&lt;/secondary-title&gt;&lt;/titles&gt;&lt;periodical&gt;&lt;full-title&gt;The Journal of experimental biology&lt;/full-title&gt;&lt;/periodical&gt;&lt;pages&gt;1775-1783&lt;/pages&gt;&lt;volume&gt;217&lt;/volume&gt;&lt;number&gt;Pt 10&lt;/number&gt;&lt;keywords&gt;&lt;keyword&gt;Bone&lt;/keyword&gt;&lt;keyword&gt;Cancellous&lt;/keyword&gt;&lt;keyword&gt;Cortical&lt;/keyword&gt;&lt;keyword&gt;Load&lt;/keyword&gt;&lt;keyword&gt;Mouse&lt;/keyword&gt;&lt;keyword&gt;Stiffness&lt;/keyword&gt;&lt;keyword&gt;Tibia&lt;/keyword&gt;&lt;keyword&gt;Tibia -- Anatomy &amp;amp;amp&lt;/keyword&gt;&lt;keyword&gt;Histology&lt;/keyword&gt;&lt;keyword&gt;Tibia -- Physiology&lt;/keyword&gt;&lt;/keywords&gt;&lt;dates&gt;&lt;year&gt;2014&lt;/year&gt;&lt;/dates&gt;&lt;urls&gt;&lt;/urls&gt;&lt;electronic-resource-num&gt;10.1242/jeb.085522&lt;/electronic-resource-num&gt;&lt;/record&gt;&lt;/Cite&gt;&lt;/EndNote&gt;</w:instrText>
      </w:r>
      <w:r w:rsidR="00B43858">
        <w:rPr>
          <w:rFonts w:ascii="Arial" w:hAnsi="Arial"/>
          <w:bCs/>
          <w:lang w:val="en-US"/>
        </w:rPr>
        <w:fldChar w:fldCharType="separate"/>
      </w:r>
      <w:r w:rsidR="00B43858">
        <w:rPr>
          <w:rFonts w:ascii="Arial" w:hAnsi="Arial"/>
          <w:bCs/>
          <w:noProof/>
          <w:lang w:val="en-US"/>
        </w:rPr>
        <w:t>(Main et al., 2014)</w:t>
      </w:r>
      <w:r w:rsidR="00B43858">
        <w:rPr>
          <w:rFonts w:ascii="Arial" w:hAnsi="Arial"/>
          <w:bCs/>
          <w:lang w:val="en-US"/>
        </w:rPr>
        <w:fldChar w:fldCharType="end"/>
      </w:r>
      <w:r>
        <w:rPr>
          <w:rFonts w:ascii="Arial" w:hAnsi="Arial"/>
          <w:bCs/>
          <w:lang w:val="en-US"/>
        </w:rPr>
        <w:t>.</w:t>
      </w:r>
    </w:p>
    <w:p w14:paraId="2D3CB129" w14:textId="77777777" w:rsidR="00A0409D" w:rsidRPr="005C6B7E" w:rsidRDefault="00A0409D" w:rsidP="005C6B7E">
      <w:pPr>
        <w:pStyle w:val="Heading3"/>
        <w:spacing w:line="480" w:lineRule="auto"/>
        <w:jc w:val="both"/>
        <w:rPr>
          <w:rFonts w:ascii="Arial" w:hAnsi="Arial" w:cs="Arial"/>
          <w:color w:val="auto"/>
        </w:rPr>
      </w:pPr>
      <w:bookmarkStart w:id="88" w:name="_Toc383723888"/>
      <w:r w:rsidRPr="005C6B7E">
        <w:rPr>
          <w:rFonts w:ascii="Arial" w:hAnsi="Arial" w:cs="Arial"/>
          <w:color w:val="auto"/>
        </w:rPr>
        <w:t>3.3.3 Mechanical loading regimen with 40 cycles induces osteoge</w:t>
      </w:r>
      <w:r w:rsidR="001965AB">
        <w:rPr>
          <w:rFonts w:ascii="Arial" w:hAnsi="Arial" w:cs="Arial"/>
          <w:color w:val="auto"/>
        </w:rPr>
        <w:t xml:space="preserve">nic adaptive response in </w:t>
      </w:r>
      <w:r w:rsidRPr="005C6B7E">
        <w:rPr>
          <w:rFonts w:ascii="Arial" w:hAnsi="Arial" w:cs="Arial"/>
          <w:color w:val="auto"/>
        </w:rPr>
        <w:t>tibiae of young male mice</w:t>
      </w:r>
      <w:bookmarkEnd w:id="88"/>
      <w:r w:rsidRPr="005C6B7E">
        <w:rPr>
          <w:rFonts w:ascii="Arial" w:hAnsi="Arial" w:cs="Arial"/>
          <w:color w:val="auto"/>
        </w:rPr>
        <w:t xml:space="preserve"> </w:t>
      </w:r>
    </w:p>
    <w:p w14:paraId="0C653FC0" w14:textId="77777777" w:rsidR="00A0409D" w:rsidRDefault="00A0409D" w:rsidP="00A0409D">
      <w:pPr>
        <w:spacing w:line="480" w:lineRule="auto"/>
        <w:jc w:val="both"/>
        <w:rPr>
          <w:rFonts w:ascii="Arial" w:hAnsi="Arial"/>
        </w:rPr>
      </w:pPr>
      <w:r>
        <w:rPr>
          <w:rFonts w:ascii="Arial" w:hAnsi="Arial"/>
        </w:rPr>
        <w:t xml:space="preserve">While the relationship between components of mechanical loading regimen and their effectiveness in stimulating bone formation seems complex </w:t>
      </w:r>
      <w:r w:rsidR="00B43858">
        <w:rPr>
          <w:rFonts w:ascii="Arial" w:hAnsi="Arial"/>
        </w:rPr>
        <w:fldChar w:fldCharType="begin"/>
      </w:r>
      <w:r w:rsidR="00A108A1">
        <w:rPr>
          <w:rFonts w:ascii="Arial" w:hAnsi="Arial"/>
        </w:rPr>
        <w:instrText xml:space="preserve"> ADDIN EN.CITE &lt;EndNote&gt;&lt;Cite&gt;&lt;Author&gt;Skerry&lt;/Author&gt;&lt;Year&gt;1997&lt;/Year&gt;&lt;RecNum&gt;107&lt;/RecNum&gt;&lt;DisplayText&gt;(Skerry, 1997)&lt;/DisplayText&gt;&lt;record&gt;&lt;rec-number&gt;107&lt;/rec-number&gt;&lt;foreign-keys&gt;&lt;key app="EN" db-id="ae9rewfrpdttrheppfxxv0p4950wpd25r09x" timestamp="1520657875"&gt;107&lt;/key&gt;&lt;key app="ENWeb" db-id=""&gt;0&lt;/key&gt;&lt;/foreign-keys&gt;&lt;ref-type name="Journal Article"&gt;17&lt;/ref-type&gt;&lt;contributors&gt;&lt;authors&gt;&lt;author&gt;Skerry, T. M.&lt;/author&gt;&lt;/authors&gt;&lt;/contributors&gt;&lt;titles&gt;&lt;title&gt;Mechanical loading and bone: What sort of exercise is beneficial to the skeleton?&lt;/title&gt;&lt;secondary-title&gt;Bone&lt;/secondary-title&gt;&lt;/titles&gt;&lt;periodical&gt;&lt;full-title&gt;Bone&lt;/full-title&gt;&lt;/periodical&gt;&lt;pages&gt;179-181&lt;/pages&gt;&lt;volume&gt;20&lt;/volume&gt;&lt;number&gt;3&lt;/number&gt;&lt;dates&gt;&lt;year&gt;1997&lt;/year&gt;&lt;/dates&gt;&lt;isbn&gt;8756-3282&lt;/isbn&gt;&lt;urls&gt;&lt;/urls&gt;&lt;electronic-resource-num&gt;10.1016/S8756-3282(96)00387-0&lt;/electronic-resource-num&gt;&lt;/record&gt;&lt;/Cite&gt;&lt;/EndNote&gt;</w:instrText>
      </w:r>
      <w:r w:rsidR="00B43858">
        <w:rPr>
          <w:rFonts w:ascii="Arial" w:hAnsi="Arial"/>
        </w:rPr>
        <w:fldChar w:fldCharType="separate"/>
      </w:r>
      <w:r w:rsidR="00B43858">
        <w:rPr>
          <w:rFonts w:ascii="Arial" w:hAnsi="Arial"/>
          <w:noProof/>
        </w:rPr>
        <w:t>(Skerry, 1997)</w:t>
      </w:r>
      <w:r w:rsidR="00B43858">
        <w:rPr>
          <w:rFonts w:ascii="Arial" w:hAnsi="Arial"/>
        </w:rPr>
        <w:fldChar w:fldCharType="end"/>
      </w:r>
      <w:r w:rsidR="005C6B7E">
        <w:rPr>
          <w:rFonts w:ascii="Arial" w:hAnsi="Arial"/>
        </w:rPr>
        <w:t xml:space="preserve">, </w:t>
      </w:r>
      <w:r>
        <w:rPr>
          <w:rFonts w:ascii="Arial" w:hAnsi="Arial"/>
        </w:rPr>
        <w:t xml:space="preserve">the number of loading cycles required to stimulate maximal adaptive response in bones have shown to be surprisingly small </w:t>
      </w:r>
      <w:r w:rsidR="00B43858">
        <w:rPr>
          <w:rFonts w:ascii="Arial" w:hAnsi="Arial"/>
        </w:rPr>
        <w:fldChar w:fldCharType="begin"/>
      </w:r>
      <w:r w:rsidR="0000415D">
        <w:rPr>
          <w:rFonts w:ascii="Arial" w:hAnsi="Arial"/>
        </w:rPr>
        <w:instrText xml:space="preserve"> ADDIN EN.CITE &lt;EndNote&gt;&lt;Cite&gt;&lt;Author&gt;Rubin&lt;/Author&gt;&lt;Year&gt;1984&lt;/Year&gt;&lt;RecNum&gt;426&lt;/RecNum&gt;&lt;DisplayText&gt;(Rubin and Lanyon, 1984)&lt;/DisplayText&gt;&lt;record&gt;&lt;rec-number&gt;426&lt;/rec-number&gt;&lt;foreign-keys&gt;&lt;key app="EN" db-id="ae9rewfrpdttrheppfxxv0p4950wpd25r09x" timestamp="1520658304"&gt;426&lt;/key&gt;&lt;/foreign-keys&gt;&lt;ref-type name="Journal Article"&gt;17&lt;/ref-type&gt;&lt;contributors&gt;&lt;authors&gt;&lt;author&gt;Rubin, C. T.&lt;/author&gt;&lt;author&gt;Lanyon, L. E.&lt;/author&gt;&lt;/authors&gt;&lt;/contributors&gt;&lt;titles&gt;&lt;title&gt;Regulation of bone-formation by applied dynamic loads&lt;/title&gt;&lt;secondary-title&gt;Journal of Bone and Joint Surgery&lt;/secondary-title&gt;&lt;/titles&gt;&lt;periodical&gt;&lt;full-title&gt;Journal Of Bone And Joint Surgery&lt;/full-title&gt;&lt;/periodical&gt;&lt;pages&gt;397-402&lt;/pages&gt;&lt;volume&gt;66A&lt;/volume&gt;&lt;number&gt;3&lt;/number&gt;&lt;dates&gt;&lt;year&gt;1984&lt;/year&gt;&lt;pub-dates&gt;&lt;date&gt;1984&lt;/date&gt;&lt;/pub-dates&gt;&lt;/dates&gt;&lt;isbn&gt;0021-9355&lt;/isbn&gt;&lt;accession-num&gt;WOS:A1984SJ22700012&lt;/accession-num&gt;&lt;urls&gt;&lt;related-urls&gt;&lt;url&gt;&amp;lt;Go to ISI&amp;gt;://WOS:A1984SJ22700012&lt;/url&gt;&lt;/related-urls&gt;&lt;/urls&gt;&lt;/record&gt;&lt;/Cite&gt;&lt;/EndNote&gt;</w:instrText>
      </w:r>
      <w:r w:rsidR="00B43858">
        <w:rPr>
          <w:rFonts w:ascii="Arial" w:hAnsi="Arial"/>
        </w:rPr>
        <w:fldChar w:fldCharType="separate"/>
      </w:r>
      <w:r w:rsidR="00B43858">
        <w:rPr>
          <w:rFonts w:ascii="Arial" w:hAnsi="Arial"/>
          <w:noProof/>
        </w:rPr>
        <w:t>(Rubin and Lanyon, 1984)</w:t>
      </w:r>
      <w:r w:rsidR="00B43858">
        <w:rPr>
          <w:rFonts w:ascii="Arial" w:hAnsi="Arial"/>
        </w:rPr>
        <w:fldChar w:fldCharType="end"/>
      </w:r>
      <w:r w:rsidR="005C6B7E">
        <w:rPr>
          <w:rFonts w:ascii="Arial" w:hAnsi="Arial"/>
        </w:rPr>
        <w:t>.</w:t>
      </w:r>
      <w:r>
        <w:rPr>
          <w:rFonts w:ascii="Arial" w:hAnsi="Arial"/>
        </w:rPr>
        <w:t xml:space="preserve"> Due to significant osteogenic responses observed in </w:t>
      </w:r>
      <w:r w:rsidR="00551DA4">
        <w:rPr>
          <w:rFonts w:ascii="Arial" w:hAnsi="Arial"/>
        </w:rPr>
        <w:t>cortical thickness</w:t>
      </w:r>
      <w:r>
        <w:rPr>
          <w:rFonts w:ascii="Arial" w:hAnsi="Arial"/>
        </w:rPr>
        <w:t xml:space="preserve"> </w:t>
      </w:r>
      <w:r w:rsidR="005C6B7E">
        <w:rPr>
          <w:rFonts w:ascii="Arial" w:hAnsi="Arial"/>
        </w:rPr>
        <w:t xml:space="preserve">and trabecular BV/TV </w:t>
      </w:r>
      <w:r>
        <w:rPr>
          <w:rFonts w:ascii="Arial" w:hAnsi="Arial"/>
        </w:rPr>
        <w:t xml:space="preserve">of the right tibiae of fed or fasted </w:t>
      </w:r>
      <w:r>
        <w:rPr>
          <w:rFonts w:ascii="Arial" w:hAnsi="Arial"/>
        </w:rPr>
        <w:lastRenderedPageBreak/>
        <w:t xml:space="preserve">young mice loaded with 20 cycles regimen, we next determined if maximal mechanical loading </w:t>
      </w:r>
      <w:r>
        <w:rPr>
          <w:rFonts w:ascii="Arial" w:hAnsi="Arial"/>
          <w:bCs/>
        </w:rPr>
        <w:t xml:space="preserve">with </w:t>
      </w:r>
      <w:r w:rsidRPr="00E1140B">
        <w:rPr>
          <w:rFonts w:ascii="Arial" w:hAnsi="Arial"/>
          <w:bCs/>
        </w:rPr>
        <w:t xml:space="preserve">40 cycles of </w:t>
      </w:r>
      <w:r>
        <w:rPr>
          <w:rFonts w:ascii="Arial" w:hAnsi="Arial"/>
          <w:bCs/>
        </w:rPr>
        <w:t xml:space="preserve">regimen would lead significant adaptive changes in other trabecular and cortical bone parameters. </w:t>
      </w:r>
    </w:p>
    <w:p w14:paraId="234B51AA" w14:textId="77777777" w:rsidR="00A0409D" w:rsidRDefault="00A0409D" w:rsidP="00A0409D">
      <w:pPr>
        <w:rPr>
          <w:rFonts w:ascii="Arial" w:hAnsi="Arial"/>
        </w:rPr>
      </w:pPr>
    </w:p>
    <w:p w14:paraId="1B88A0FB" w14:textId="77777777" w:rsidR="00A0409D" w:rsidRPr="007A50C2" w:rsidRDefault="00A0409D" w:rsidP="00A0409D">
      <w:pPr>
        <w:spacing w:line="480" w:lineRule="auto"/>
        <w:jc w:val="both"/>
        <w:rPr>
          <w:rFonts w:ascii="Arial" w:hAnsi="Arial"/>
          <w:bCs/>
          <w:lang w:val="en-US"/>
        </w:rPr>
      </w:pPr>
      <w:r>
        <w:rPr>
          <w:rFonts w:ascii="Arial" w:hAnsi="Arial"/>
          <w:bCs/>
          <w:lang w:val="en-US"/>
        </w:rPr>
        <w:t>L</w:t>
      </w:r>
      <w:r w:rsidRPr="007A50C2">
        <w:rPr>
          <w:rFonts w:ascii="Arial" w:hAnsi="Arial"/>
          <w:bCs/>
          <w:lang w:val="en-US"/>
        </w:rPr>
        <w:t xml:space="preserve">oading </w:t>
      </w:r>
      <w:r>
        <w:rPr>
          <w:rFonts w:ascii="Arial" w:hAnsi="Arial"/>
          <w:bCs/>
          <w:lang w:val="en-US"/>
        </w:rPr>
        <w:t xml:space="preserve">regimen </w:t>
      </w:r>
      <w:r w:rsidRPr="007A50C2">
        <w:rPr>
          <w:rFonts w:ascii="Arial" w:hAnsi="Arial"/>
          <w:bCs/>
          <w:lang w:val="en-US"/>
        </w:rPr>
        <w:t xml:space="preserve">with </w:t>
      </w:r>
      <w:r>
        <w:rPr>
          <w:rFonts w:ascii="Arial" w:hAnsi="Arial"/>
          <w:bCs/>
          <w:lang w:val="en-US"/>
        </w:rPr>
        <w:t xml:space="preserve">13N force, </w:t>
      </w:r>
      <w:r w:rsidRPr="007A50C2">
        <w:rPr>
          <w:rFonts w:ascii="Arial" w:hAnsi="Arial"/>
          <w:bCs/>
          <w:lang w:val="en-US"/>
        </w:rPr>
        <w:t xml:space="preserve">40 cycles </w:t>
      </w:r>
      <w:r w:rsidR="00330FE5">
        <w:rPr>
          <w:rFonts w:ascii="Arial" w:hAnsi="Arial"/>
          <w:bCs/>
          <w:lang w:val="en-US"/>
        </w:rPr>
        <w:t>and 9s</w:t>
      </w:r>
      <w:r>
        <w:rPr>
          <w:rFonts w:ascii="Arial" w:hAnsi="Arial"/>
          <w:bCs/>
          <w:lang w:val="en-US"/>
        </w:rPr>
        <w:t xml:space="preserve"> rest between each induced</w:t>
      </w:r>
      <w:r w:rsidRPr="007A50C2">
        <w:rPr>
          <w:rFonts w:ascii="Arial" w:hAnsi="Arial"/>
          <w:bCs/>
          <w:lang w:val="en-US"/>
        </w:rPr>
        <w:t xml:space="preserve"> significant osteogenic response in the loaded tibiae within both fed and overnight fasted groups</w:t>
      </w:r>
      <w:r w:rsidR="006E1CE5">
        <w:rPr>
          <w:rFonts w:ascii="Arial" w:hAnsi="Arial"/>
          <w:bCs/>
          <w:lang w:val="en-US"/>
        </w:rPr>
        <w:t xml:space="preserve"> in 2-week</w:t>
      </w:r>
      <w:r>
        <w:rPr>
          <w:rFonts w:ascii="Arial" w:hAnsi="Arial"/>
          <w:bCs/>
          <w:lang w:val="en-US"/>
        </w:rPr>
        <w:t xml:space="preserve"> time</w:t>
      </w:r>
      <w:r w:rsidRPr="007A50C2">
        <w:rPr>
          <w:rFonts w:ascii="Arial" w:hAnsi="Arial"/>
          <w:bCs/>
          <w:lang w:val="en-US"/>
        </w:rPr>
        <w:t xml:space="preserve">. </w:t>
      </w:r>
      <w:r>
        <w:rPr>
          <w:rFonts w:ascii="Arial" w:hAnsi="Arial"/>
          <w:bCs/>
          <w:lang w:val="en-US"/>
        </w:rPr>
        <w:t>Sensitive</w:t>
      </w:r>
      <w:r w:rsidRPr="007A50C2">
        <w:rPr>
          <w:rFonts w:ascii="Arial" w:hAnsi="Arial"/>
          <w:bCs/>
          <w:lang w:val="en-US"/>
        </w:rPr>
        <w:t xml:space="preserve"> to mechanical loading</w:t>
      </w:r>
      <w:r>
        <w:rPr>
          <w:rFonts w:ascii="Arial" w:hAnsi="Arial"/>
          <w:bCs/>
          <w:lang w:val="en-US"/>
        </w:rPr>
        <w:t>,</w:t>
      </w:r>
      <w:r w:rsidRPr="007A50C2">
        <w:rPr>
          <w:rFonts w:ascii="Arial" w:hAnsi="Arial"/>
          <w:bCs/>
          <w:lang w:val="en-US"/>
        </w:rPr>
        <w:t xml:space="preserve"> cortical bone area and cortical thickness of the right loaded tibiae</w:t>
      </w:r>
      <w:r>
        <w:rPr>
          <w:rFonts w:ascii="Arial" w:hAnsi="Arial"/>
          <w:bCs/>
          <w:lang w:val="en-US"/>
        </w:rPr>
        <w:t xml:space="preserve"> compared with unloaded left controls</w:t>
      </w:r>
      <w:r w:rsidRPr="007A50C2">
        <w:rPr>
          <w:rFonts w:ascii="Arial" w:hAnsi="Arial"/>
          <w:bCs/>
          <w:lang w:val="en-US"/>
        </w:rPr>
        <w:t xml:space="preserve"> increased significantly in both </w:t>
      </w:r>
      <w:r>
        <w:rPr>
          <w:rFonts w:ascii="Arial" w:hAnsi="Arial"/>
          <w:bCs/>
          <w:lang w:val="en-US"/>
        </w:rPr>
        <w:t xml:space="preserve">fed and fasted young male mice. However, there were no prominent changes between </w:t>
      </w:r>
      <w:r w:rsidR="00E85546">
        <w:rPr>
          <w:rFonts w:ascii="Arial" w:hAnsi="Arial"/>
          <w:bCs/>
          <w:lang w:val="en-US"/>
        </w:rPr>
        <w:t xml:space="preserve">ad-lib </w:t>
      </w:r>
      <w:r>
        <w:rPr>
          <w:rFonts w:ascii="Arial" w:hAnsi="Arial"/>
          <w:bCs/>
          <w:lang w:val="en-US"/>
        </w:rPr>
        <w:t>fed and</w:t>
      </w:r>
      <w:r w:rsidR="005C6B7E">
        <w:rPr>
          <w:rFonts w:ascii="Arial" w:hAnsi="Arial"/>
          <w:bCs/>
          <w:lang w:val="en-US"/>
        </w:rPr>
        <w:t xml:space="preserve"> overnight fasted mice, Figure 24</w:t>
      </w:r>
      <w:r>
        <w:rPr>
          <w:rFonts w:ascii="Arial" w:hAnsi="Arial"/>
          <w:bCs/>
          <w:lang w:val="en-US"/>
        </w:rPr>
        <w:t xml:space="preserve">. Adaptive responses of </w:t>
      </w:r>
      <w:r w:rsidR="00D05A78">
        <w:rPr>
          <w:rFonts w:ascii="Arial" w:hAnsi="Arial"/>
          <w:bCs/>
          <w:lang w:val="en-US"/>
        </w:rPr>
        <w:t>cortical bone</w:t>
      </w:r>
      <w:r>
        <w:rPr>
          <w:rFonts w:ascii="Arial" w:hAnsi="Arial"/>
          <w:bCs/>
          <w:lang w:val="en-US"/>
        </w:rPr>
        <w:t xml:space="preserve"> total cross sectiona</w:t>
      </w:r>
      <w:r w:rsidR="00D05A78">
        <w:rPr>
          <w:rFonts w:ascii="Arial" w:hAnsi="Arial"/>
          <w:bCs/>
          <w:lang w:val="en-US"/>
        </w:rPr>
        <w:t xml:space="preserve">l area inside the periosteum </w:t>
      </w:r>
      <w:r>
        <w:rPr>
          <w:rFonts w:ascii="Arial" w:hAnsi="Arial"/>
          <w:bCs/>
          <w:lang w:val="en-US"/>
        </w:rPr>
        <w:t>and bone marrow area to mechanical loading were not significant within and between the experimental groups.</w:t>
      </w:r>
    </w:p>
    <w:p w14:paraId="639475D4" w14:textId="77777777" w:rsidR="00A0409D" w:rsidRPr="007A50C2" w:rsidRDefault="00A0409D" w:rsidP="00A0409D">
      <w:pPr>
        <w:spacing w:line="480" w:lineRule="auto"/>
        <w:jc w:val="both"/>
        <w:rPr>
          <w:rFonts w:ascii="Arial" w:hAnsi="Arial"/>
        </w:rPr>
      </w:pPr>
    </w:p>
    <w:p w14:paraId="51792C24" w14:textId="77777777" w:rsidR="00A0409D" w:rsidRPr="007A50C2" w:rsidRDefault="00A0409D" w:rsidP="00A0409D">
      <w:pPr>
        <w:spacing w:line="480" w:lineRule="auto"/>
        <w:jc w:val="both"/>
        <w:rPr>
          <w:rFonts w:ascii="Arial" w:hAnsi="Arial"/>
          <w:bCs/>
          <w:lang w:val="en-US"/>
        </w:rPr>
      </w:pPr>
      <w:r>
        <w:rPr>
          <w:rFonts w:ascii="Arial" w:hAnsi="Arial"/>
          <w:bCs/>
          <w:lang w:val="en-US"/>
        </w:rPr>
        <w:t>Most of the trabecular bone parameters of the loaded tibiae changed significantly by maximal loading in both fed</w:t>
      </w:r>
      <w:r w:rsidR="007E7C72">
        <w:rPr>
          <w:rFonts w:ascii="Arial" w:hAnsi="Arial"/>
          <w:bCs/>
          <w:lang w:val="en-US"/>
        </w:rPr>
        <w:t xml:space="preserve"> and fasted groups compared to the loading with</w:t>
      </w:r>
      <w:r>
        <w:rPr>
          <w:rFonts w:ascii="Arial" w:hAnsi="Arial"/>
          <w:bCs/>
          <w:lang w:val="en-US"/>
        </w:rPr>
        <w:t xml:space="preserve"> 20 cycle regimen. </w:t>
      </w:r>
      <w:r w:rsidRPr="007A50C2">
        <w:rPr>
          <w:rFonts w:ascii="Arial" w:hAnsi="Arial"/>
          <w:bCs/>
          <w:lang w:val="en-US"/>
        </w:rPr>
        <w:t xml:space="preserve">In </w:t>
      </w:r>
      <w:r>
        <w:rPr>
          <w:rFonts w:ascii="Arial" w:hAnsi="Arial"/>
          <w:bCs/>
          <w:lang w:val="en-US"/>
        </w:rPr>
        <w:t xml:space="preserve">ad-lib </w:t>
      </w:r>
      <w:r w:rsidRPr="007A50C2">
        <w:rPr>
          <w:rFonts w:ascii="Arial" w:hAnsi="Arial"/>
          <w:bCs/>
          <w:lang w:val="en-US"/>
        </w:rPr>
        <w:t xml:space="preserve">fed </w:t>
      </w:r>
      <w:r>
        <w:rPr>
          <w:rFonts w:ascii="Arial" w:hAnsi="Arial"/>
          <w:bCs/>
          <w:lang w:val="en-US"/>
        </w:rPr>
        <w:t xml:space="preserve">and overnight fasted </w:t>
      </w:r>
      <w:r w:rsidRPr="007A50C2">
        <w:rPr>
          <w:rFonts w:ascii="Arial" w:hAnsi="Arial"/>
          <w:bCs/>
          <w:lang w:val="en-US"/>
        </w:rPr>
        <w:t>mice, trabecular bone volume fraction</w:t>
      </w:r>
      <w:r>
        <w:rPr>
          <w:rFonts w:ascii="Arial" w:hAnsi="Arial"/>
          <w:bCs/>
          <w:lang w:val="en-US"/>
        </w:rPr>
        <w:t xml:space="preserve"> of</w:t>
      </w:r>
      <w:r w:rsidRPr="007A50C2">
        <w:rPr>
          <w:rFonts w:ascii="Arial" w:hAnsi="Arial"/>
          <w:bCs/>
          <w:lang w:val="en-US"/>
        </w:rPr>
        <w:t xml:space="preserve"> the loaded right tibiae increased s</w:t>
      </w:r>
      <w:r>
        <w:rPr>
          <w:rFonts w:ascii="Arial" w:hAnsi="Arial"/>
          <w:bCs/>
          <w:lang w:val="en-US"/>
        </w:rPr>
        <w:t xml:space="preserve">ignificantly compared with the non-loaded left controls </w:t>
      </w:r>
      <w:r>
        <w:rPr>
          <w:rFonts w:ascii="Arial" w:eastAsiaTheme="minorHAnsi" w:hAnsi="Arial" w:cs="Arial"/>
          <w:lang w:val="en-US"/>
        </w:rPr>
        <w:t>(</w:t>
      </w:r>
      <w:r w:rsidRPr="008F7951">
        <w:rPr>
          <w:rFonts w:ascii="Arial" w:eastAsiaTheme="minorHAnsi" w:hAnsi="Arial" w:cs="Arial"/>
          <w:lang w:val="en-US"/>
        </w:rPr>
        <w:t>p&lt;0.0001</w:t>
      </w:r>
      <w:r>
        <w:rPr>
          <w:rFonts w:ascii="Arial" w:eastAsiaTheme="minorHAnsi" w:hAnsi="Arial" w:cs="Arial"/>
          <w:lang w:val="en-US"/>
        </w:rPr>
        <w:t>)</w:t>
      </w:r>
      <w:r w:rsidR="00240CD2">
        <w:rPr>
          <w:rFonts w:ascii="Arial" w:eastAsiaTheme="minorHAnsi" w:hAnsi="Arial" w:cs="Arial"/>
          <w:lang w:val="en-US"/>
        </w:rPr>
        <w:t xml:space="preserve">, </w:t>
      </w:r>
      <w:r w:rsidR="00240CD2">
        <w:rPr>
          <w:rFonts w:ascii="Arial" w:hAnsi="Arial"/>
          <w:bCs/>
          <w:lang w:val="en-US"/>
        </w:rPr>
        <w:t>Figure 25A</w:t>
      </w:r>
      <w:r w:rsidRPr="007A50C2">
        <w:rPr>
          <w:rFonts w:ascii="Arial" w:hAnsi="Arial"/>
          <w:bCs/>
          <w:lang w:val="en-US"/>
        </w:rPr>
        <w:t xml:space="preserve">. </w:t>
      </w:r>
      <w:r>
        <w:rPr>
          <w:rFonts w:ascii="Arial" w:hAnsi="Arial"/>
          <w:bCs/>
          <w:lang w:val="en-US"/>
        </w:rPr>
        <w:t>Similarly, t</w:t>
      </w:r>
      <w:r w:rsidRPr="007A50C2">
        <w:rPr>
          <w:rFonts w:ascii="Arial" w:hAnsi="Arial"/>
          <w:bCs/>
          <w:lang w:val="en-US"/>
        </w:rPr>
        <w:t xml:space="preserve">rabecular thickness increased </w:t>
      </w:r>
      <w:r>
        <w:rPr>
          <w:rFonts w:ascii="Arial" w:hAnsi="Arial"/>
          <w:bCs/>
          <w:lang w:val="en-US"/>
        </w:rPr>
        <w:t xml:space="preserve">significantly </w:t>
      </w:r>
      <w:r w:rsidRPr="007A50C2">
        <w:rPr>
          <w:rFonts w:ascii="Arial" w:hAnsi="Arial"/>
          <w:bCs/>
          <w:lang w:val="en-US"/>
        </w:rPr>
        <w:t>within both experimental groups in response to the mechanical loading</w:t>
      </w:r>
      <w:r>
        <w:rPr>
          <w:rFonts w:ascii="Arial" w:hAnsi="Arial"/>
          <w:bCs/>
          <w:lang w:val="en-US"/>
        </w:rPr>
        <w:t xml:space="preserve"> </w:t>
      </w:r>
      <w:r>
        <w:rPr>
          <w:rFonts w:ascii="Arial" w:eastAsiaTheme="minorHAnsi" w:hAnsi="Arial" w:cs="Arial"/>
          <w:lang w:val="en-US"/>
        </w:rPr>
        <w:t>(</w:t>
      </w:r>
      <w:r w:rsidRPr="008F7951">
        <w:rPr>
          <w:rFonts w:ascii="Arial" w:eastAsiaTheme="minorHAnsi" w:hAnsi="Arial" w:cs="Arial"/>
          <w:lang w:val="en-US"/>
        </w:rPr>
        <w:t>p&lt;0.0001</w:t>
      </w:r>
      <w:r>
        <w:rPr>
          <w:rFonts w:ascii="Arial" w:eastAsiaTheme="minorHAnsi" w:hAnsi="Arial" w:cs="Arial"/>
          <w:lang w:val="en-US"/>
        </w:rPr>
        <w:t>)</w:t>
      </w:r>
      <w:r w:rsidR="00240CD2">
        <w:rPr>
          <w:rFonts w:ascii="Arial" w:eastAsiaTheme="minorHAnsi" w:hAnsi="Arial" w:cs="Arial"/>
          <w:lang w:val="en-US"/>
        </w:rPr>
        <w:t xml:space="preserve">, </w:t>
      </w:r>
      <w:r w:rsidR="00240CD2">
        <w:rPr>
          <w:rFonts w:ascii="Arial" w:hAnsi="Arial"/>
          <w:bCs/>
          <w:lang w:val="en-US"/>
        </w:rPr>
        <w:t>Figure 25D</w:t>
      </w:r>
      <w:r>
        <w:rPr>
          <w:rFonts w:ascii="Arial" w:hAnsi="Arial"/>
          <w:bCs/>
          <w:lang w:val="en-US"/>
        </w:rPr>
        <w:t xml:space="preserve">. </w:t>
      </w:r>
      <w:r w:rsidRPr="007A50C2">
        <w:rPr>
          <w:rFonts w:ascii="Arial" w:hAnsi="Arial"/>
          <w:bCs/>
          <w:lang w:val="en-US"/>
        </w:rPr>
        <w:t xml:space="preserve">Trabecular pattern factor decreased in the loaded right tibiae </w:t>
      </w:r>
      <w:r w:rsidR="007F729C">
        <w:rPr>
          <w:rFonts w:ascii="Arial" w:hAnsi="Arial"/>
          <w:bCs/>
          <w:lang w:val="en-US"/>
        </w:rPr>
        <w:t>within both groups compared with</w:t>
      </w:r>
      <w:r w:rsidRPr="007A50C2">
        <w:rPr>
          <w:rFonts w:ascii="Arial" w:hAnsi="Arial"/>
          <w:bCs/>
          <w:lang w:val="en-US"/>
        </w:rPr>
        <w:t xml:space="preserve"> the left non-loaded </w:t>
      </w:r>
      <w:r>
        <w:rPr>
          <w:rFonts w:ascii="Arial" w:hAnsi="Arial"/>
          <w:bCs/>
          <w:lang w:val="en-US"/>
        </w:rPr>
        <w:t xml:space="preserve">bones as expected since </w:t>
      </w:r>
      <w:r w:rsidR="00551DA4">
        <w:rPr>
          <w:rFonts w:ascii="Arial" w:eastAsiaTheme="minorHAnsi" w:hAnsi="Arial"/>
          <w:bCs/>
          <w:lang w:val="en-US"/>
        </w:rPr>
        <w:t xml:space="preserve">the </w:t>
      </w:r>
      <w:r>
        <w:rPr>
          <w:rFonts w:ascii="Arial" w:eastAsiaTheme="minorHAnsi" w:hAnsi="Arial"/>
          <w:bCs/>
          <w:lang w:val="en-US"/>
        </w:rPr>
        <w:t>parameter indicates</w:t>
      </w:r>
      <w:r w:rsidRPr="007A50C2">
        <w:rPr>
          <w:rFonts w:ascii="Arial" w:eastAsiaTheme="minorHAnsi" w:hAnsi="Arial"/>
          <w:bCs/>
          <w:lang w:val="en-US"/>
        </w:rPr>
        <w:t xml:space="preserve"> how well connected the trabeculae are</w:t>
      </w:r>
      <w:r>
        <w:rPr>
          <w:rFonts w:ascii="Arial" w:eastAsiaTheme="minorHAnsi" w:hAnsi="Arial"/>
          <w:bCs/>
          <w:lang w:val="en-US"/>
        </w:rPr>
        <w:t xml:space="preserve"> </w:t>
      </w:r>
      <w:r w:rsidRPr="007A50C2">
        <w:rPr>
          <w:rFonts w:ascii="Arial" w:eastAsiaTheme="minorHAnsi" w:hAnsi="Arial"/>
          <w:bCs/>
          <w:lang w:val="en-US"/>
        </w:rPr>
        <w:fldChar w:fldCharType="begin"/>
      </w:r>
      <w:r w:rsidR="00A108A1">
        <w:rPr>
          <w:rFonts w:ascii="Arial" w:eastAsiaTheme="minorHAnsi" w:hAnsi="Arial"/>
          <w:bCs/>
          <w:lang w:val="en-US"/>
        </w:rPr>
        <w:instrText xml:space="preserve"> ADDIN EN.CITE &lt;EndNote&gt;&lt;Cite&gt;&lt;Author&gt;Bouxsein&lt;/Author&gt;&lt;Year&gt;2010&lt;/Year&gt;&lt;RecNum&gt;86&lt;/RecNum&gt;&lt;DisplayText&gt;(Bouxsein et al., 2010)&lt;/DisplayText&gt;&lt;record&gt;&lt;rec-number&gt;86&lt;/rec-number&gt;&lt;foreign-keys&gt;&lt;key app="EN" db-id="ae9rewfrpdttrheppfxxv0p4950wpd25r09x" timestamp="1520657811"&gt;86&lt;/key&gt;&lt;key app="ENWeb" db-id=""&gt;0&lt;/key&gt;&lt;/foreign-keys&gt;&lt;ref-type name="Journal Article"&gt;17&lt;/ref-type&gt;&lt;contributors&gt;&lt;authors&gt;&lt;author&gt;Bouxsein, Mary L.&lt;/author&gt;&lt;author&gt;Christiansen, Blaine A.&lt;/author&gt;&lt;author&gt;Boyd, Stephen K.&lt;/author&gt;&lt;author&gt;Guldberg, Robert E.&lt;/author&gt;&lt;author&gt;Jepsen, Karl J.&lt;/author&gt;&lt;author&gt;Müller, Ralph&lt;/author&gt;&lt;/authors&gt;&lt;/contributors&gt;&lt;titles&gt;&lt;title&gt;Guidelines for assessment of bone microstructure in rodents using micro-computed tomography&lt;/title&gt;&lt;secondary-title&gt;Journal of Bone and Mineral Research&lt;/secondary-title&gt;&lt;/titles&gt;&lt;periodical&gt;&lt;full-title&gt;Journal of Bone and Mineral Research&lt;/full-title&gt;&lt;/periodical&gt;&lt;pages&gt;1468-1486&lt;/pages&gt;&lt;volume&gt;25&lt;/volume&gt;&lt;number&gt;7&lt;/number&gt;&lt;keywords&gt;&lt;keyword&gt;Μct&lt;/keyword&gt;&lt;keyword&gt;Guidelines&lt;/keyword&gt;&lt;keyword&gt;Micro-Computed Tomography&lt;/keyword&gt;&lt;keyword&gt;Nomenclature&lt;/keyword&gt;&lt;/keywords&gt;&lt;dates&gt;&lt;year&gt;2010&lt;/year&gt;&lt;/dates&gt;&lt;isbn&gt;08840431&lt;/isbn&gt;&lt;urls&gt;&lt;/urls&gt;&lt;electronic-resource-num&gt;10.1002/jbmr.141&lt;/electronic-resource-num&gt;&lt;/record&gt;&lt;/Cite&gt;&lt;/EndNote&gt;</w:instrText>
      </w:r>
      <w:r w:rsidRPr="007A50C2">
        <w:rPr>
          <w:rFonts w:ascii="Arial" w:eastAsiaTheme="minorHAnsi" w:hAnsi="Arial"/>
          <w:bCs/>
          <w:lang w:val="en-US"/>
        </w:rPr>
        <w:fldChar w:fldCharType="separate"/>
      </w:r>
      <w:r w:rsidRPr="007A50C2">
        <w:rPr>
          <w:rFonts w:ascii="Arial" w:eastAsiaTheme="minorHAnsi" w:hAnsi="Arial"/>
          <w:bCs/>
          <w:noProof/>
          <w:lang w:val="en-US"/>
        </w:rPr>
        <w:t>(Bouxsein et al., 2010)</w:t>
      </w:r>
      <w:r w:rsidRPr="007A50C2">
        <w:rPr>
          <w:rFonts w:ascii="Arial" w:eastAsiaTheme="minorHAnsi" w:hAnsi="Arial"/>
          <w:bCs/>
          <w:lang w:val="en-US"/>
        </w:rPr>
        <w:fldChar w:fldCharType="end"/>
      </w:r>
      <w:r w:rsidRPr="007A50C2">
        <w:rPr>
          <w:rFonts w:ascii="Arial" w:eastAsiaTheme="minorHAnsi" w:hAnsi="Arial"/>
          <w:bCs/>
          <w:lang w:val="en-US"/>
        </w:rPr>
        <w:t>.</w:t>
      </w:r>
      <w:r>
        <w:rPr>
          <w:rFonts w:ascii="Arial" w:eastAsiaTheme="minorHAnsi" w:hAnsi="Arial"/>
          <w:bCs/>
          <w:lang w:val="en-US"/>
        </w:rPr>
        <w:t xml:space="preserve"> </w:t>
      </w:r>
      <w:r w:rsidR="00551DA4">
        <w:rPr>
          <w:rFonts w:ascii="Arial" w:eastAsiaTheme="minorHAnsi" w:hAnsi="Arial"/>
          <w:bCs/>
          <w:lang w:val="en-US"/>
        </w:rPr>
        <w:t>Significantly d</w:t>
      </w:r>
      <w:r w:rsidRPr="007A50C2">
        <w:rPr>
          <w:rFonts w:ascii="Arial" w:eastAsiaTheme="minorHAnsi" w:hAnsi="Arial"/>
          <w:bCs/>
          <w:lang w:val="en-US"/>
        </w:rPr>
        <w:t xml:space="preserve">ecreased trabecular pattern factor in the right tibiae </w:t>
      </w:r>
      <w:r w:rsidR="00551DA4">
        <w:rPr>
          <w:rFonts w:ascii="Arial" w:eastAsiaTheme="minorHAnsi" w:hAnsi="Arial"/>
          <w:bCs/>
          <w:lang w:val="en-US"/>
        </w:rPr>
        <w:t xml:space="preserve">of fasted mice </w:t>
      </w:r>
      <w:r>
        <w:rPr>
          <w:rFonts w:ascii="Arial" w:eastAsiaTheme="minorHAnsi" w:hAnsi="Arial"/>
          <w:bCs/>
          <w:lang w:val="en-US"/>
        </w:rPr>
        <w:t>revealed</w:t>
      </w:r>
      <w:r w:rsidRPr="007A50C2">
        <w:rPr>
          <w:rFonts w:ascii="Arial" w:eastAsiaTheme="minorHAnsi" w:hAnsi="Arial"/>
          <w:bCs/>
          <w:lang w:val="en-US"/>
        </w:rPr>
        <w:t xml:space="preserve"> that new connections </w:t>
      </w:r>
      <w:r>
        <w:rPr>
          <w:rFonts w:ascii="Arial" w:eastAsiaTheme="minorHAnsi" w:hAnsi="Arial"/>
          <w:bCs/>
          <w:lang w:val="en-US"/>
        </w:rPr>
        <w:t>were</w:t>
      </w:r>
      <w:r w:rsidRPr="007A50C2">
        <w:rPr>
          <w:rFonts w:ascii="Arial" w:eastAsiaTheme="minorHAnsi" w:hAnsi="Arial"/>
          <w:bCs/>
          <w:lang w:val="en-US"/>
        </w:rPr>
        <w:t xml:space="preserve"> formed in the network of the trabecular bone</w:t>
      </w:r>
      <w:r>
        <w:rPr>
          <w:rFonts w:ascii="Arial" w:eastAsiaTheme="minorHAnsi" w:hAnsi="Arial"/>
          <w:bCs/>
          <w:lang w:val="en-US"/>
        </w:rPr>
        <w:t xml:space="preserve"> due to maximal mechanical loading</w:t>
      </w:r>
      <w:r w:rsidR="00240CD2">
        <w:rPr>
          <w:rFonts w:ascii="Arial" w:eastAsiaTheme="minorHAnsi" w:hAnsi="Arial"/>
          <w:bCs/>
          <w:lang w:val="en-US"/>
        </w:rPr>
        <w:t xml:space="preserve"> </w:t>
      </w:r>
      <w:r w:rsidR="000A5059">
        <w:rPr>
          <w:rFonts w:ascii="Arial" w:eastAsiaTheme="minorHAnsi" w:hAnsi="Arial" w:cs="Arial"/>
          <w:lang w:val="en-US"/>
        </w:rPr>
        <w:t xml:space="preserve">(p&lt;0.05), </w:t>
      </w:r>
      <w:r w:rsidR="00240CD2">
        <w:rPr>
          <w:rFonts w:ascii="Arial" w:hAnsi="Arial"/>
          <w:bCs/>
          <w:lang w:val="en-US"/>
        </w:rPr>
        <w:t>Figure 25C</w:t>
      </w:r>
      <w:r w:rsidRPr="007A50C2">
        <w:rPr>
          <w:rFonts w:ascii="Arial" w:eastAsiaTheme="minorHAnsi" w:hAnsi="Arial"/>
          <w:bCs/>
          <w:lang w:val="en-US"/>
        </w:rPr>
        <w:t xml:space="preserve">. </w:t>
      </w:r>
      <w:r w:rsidRPr="007A50C2">
        <w:rPr>
          <w:rFonts w:ascii="Arial" w:hAnsi="Arial"/>
          <w:bCs/>
          <w:lang w:val="en-US"/>
        </w:rPr>
        <w:t>There</w:t>
      </w:r>
      <w:r w:rsidR="00C5250F">
        <w:rPr>
          <w:rFonts w:ascii="Arial" w:hAnsi="Arial"/>
          <w:bCs/>
          <w:lang w:val="en-US"/>
        </w:rPr>
        <w:t xml:space="preserve"> were no significant differences</w:t>
      </w:r>
      <w:r w:rsidRPr="007A50C2">
        <w:rPr>
          <w:rFonts w:ascii="Arial" w:hAnsi="Arial"/>
          <w:bCs/>
          <w:lang w:val="en-US"/>
        </w:rPr>
        <w:t xml:space="preserve"> in trabecular </w:t>
      </w:r>
      <w:r>
        <w:rPr>
          <w:rFonts w:ascii="Arial" w:hAnsi="Arial"/>
          <w:bCs/>
          <w:lang w:val="en-US"/>
        </w:rPr>
        <w:t>number</w:t>
      </w:r>
      <w:r w:rsidRPr="007A50C2">
        <w:rPr>
          <w:rFonts w:ascii="Arial" w:hAnsi="Arial"/>
          <w:bCs/>
          <w:lang w:val="en-US"/>
        </w:rPr>
        <w:t xml:space="preserve"> </w:t>
      </w:r>
      <w:r>
        <w:rPr>
          <w:rFonts w:ascii="Arial" w:hAnsi="Arial"/>
          <w:bCs/>
          <w:lang w:val="en-US"/>
        </w:rPr>
        <w:t>within the groups</w:t>
      </w:r>
      <w:r w:rsidR="00240CD2" w:rsidRPr="00240CD2">
        <w:rPr>
          <w:rFonts w:ascii="Arial" w:hAnsi="Arial"/>
          <w:bCs/>
          <w:lang w:val="en-US"/>
        </w:rPr>
        <w:t xml:space="preserve"> </w:t>
      </w:r>
      <w:r w:rsidR="00240CD2">
        <w:rPr>
          <w:rFonts w:ascii="Arial" w:hAnsi="Arial"/>
          <w:bCs/>
          <w:lang w:val="en-US"/>
        </w:rPr>
        <w:t>(Figure 25B)</w:t>
      </w:r>
      <w:r w:rsidR="00111312">
        <w:rPr>
          <w:rFonts w:ascii="Arial" w:hAnsi="Arial"/>
          <w:bCs/>
          <w:lang w:val="en-US"/>
        </w:rPr>
        <w:t xml:space="preserve"> </w:t>
      </w:r>
      <w:r>
        <w:rPr>
          <w:rFonts w:ascii="Arial" w:hAnsi="Arial"/>
          <w:bCs/>
          <w:lang w:val="en-US"/>
        </w:rPr>
        <w:t xml:space="preserve">or in any trabecular parameters of the loaded tibiae </w:t>
      </w:r>
      <w:r w:rsidRPr="007A50C2">
        <w:rPr>
          <w:rFonts w:ascii="Arial" w:hAnsi="Arial"/>
          <w:bCs/>
          <w:lang w:val="en-US"/>
        </w:rPr>
        <w:t>b</w:t>
      </w:r>
      <w:r>
        <w:rPr>
          <w:rFonts w:ascii="Arial" w:hAnsi="Arial"/>
          <w:bCs/>
          <w:lang w:val="en-US"/>
        </w:rPr>
        <w:t>etween</w:t>
      </w:r>
      <w:r w:rsidR="00240CD2">
        <w:rPr>
          <w:rFonts w:ascii="Arial" w:hAnsi="Arial"/>
          <w:bCs/>
          <w:lang w:val="en-US"/>
        </w:rPr>
        <w:t xml:space="preserve"> fed and fasted groups.</w:t>
      </w:r>
    </w:p>
    <w:p w14:paraId="309F5106" w14:textId="77777777" w:rsidR="00A0409D" w:rsidRDefault="00A0409D" w:rsidP="00D40E59">
      <w:pPr>
        <w:pStyle w:val="Heading2"/>
      </w:pPr>
      <w:bookmarkStart w:id="89" w:name="_Toc383723889"/>
      <w:r>
        <w:lastRenderedPageBreak/>
        <w:t>3.4 Conclusions</w:t>
      </w:r>
      <w:bookmarkEnd w:id="89"/>
      <w:r>
        <w:t xml:space="preserve"> </w:t>
      </w:r>
    </w:p>
    <w:p w14:paraId="6AF414E4" w14:textId="77777777" w:rsidR="00A0409D" w:rsidRPr="00EA369A" w:rsidRDefault="00A0409D" w:rsidP="00A0409D">
      <w:pPr>
        <w:spacing w:line="480" w:lineRule="auto"/>
        <w:jc w:val="both"/>
        <w:rPr>
          <w:rFonts w:ascii="Arial" w:hAnsi="Arial"/>
        </w:rPr>
      </w:pPr>
      <w:r w:rsidRPr="00983727">
        <w:rPr>
          <w:rFonts w:ascii="Arial" w:hAnsi="Arial"/>
        </w:rPr>
        <w:t xml:space="preserve">This study </w:t>
      </w:r>
      <w:r>
        <w:rPr>
          <w:rFonts w:ascii="Arial" w:hAnsi="Arial"/>
        </w:rPr>
        <w:t>prese</w:t>
      </w:r>
      <w:r w:rsidR="007E7C72">
        <w:rPr>
          <w:rFonts w:ascii="Arial" w:hAnsi="Arial"/>
        </w:rPr>
        <w:t>nted the effect of overnight (16-hour)</w:t>
      </w:r>
      <w:r>
        <w:rPr>
          <w:rFonts w:ascii="Arial" w:hAnsi="Arial"/>
        </w:rPr>
        <w:t xml:space="preserve"> fasting on feeding behaviour of young 17-week-old male mice and mechanical loading regimens on tibiae of young fed or fasted male mice whose effects were altered by the number of loading cycles. </w:t>
      </w:r>
      <w:r>
        <w:rPr>
          <w:rFonts w:ascii="Arial" w:hAnsi="Arial"/>
          <w:bCs/>
          <w:lang w:val="en-US"/>
        </w:rPr>
        <w:t>It was apparent that following overnight starvation fasted mice exhibited significantly increased food intake for around 2 hours and wei</w:t>
      </w:r>
      <w:r w:rsidR="00E85546">
        <w:rPr>
          <w:rFonts w:ascii="Arial" w:hAnsi="Arial"/>
          <w:bCs/>
          <w:lang w:val="en-US"/>
        </w:rPr>
        <w:t xml:space="preserve">ght gain compared with the ad-lib </w:t>
      </w:r>
      <w:r>
        <w:rPr>
          <w:rFonts w:ascii="Arial" w:hAnsi="Arial"/>
          <w:bCs/>
          <w:lang w:val="en-US"/>
        </w:rPr>
        <w:t xml:space="preserve">fed control mice. </w:t>
      </w:r>
      <w:r>
        <w:rPr>
          <w:rFonts w:ascii="Arial" w:hAnsi="Arial"/>
        </w:rPr>
        <w:t xml:space="preserve"> </w:t>
      </w:r>
      <w:r w:rsidRPr="004A534D">
        <w:rPr>
          <w:rFonts w:ascii="Arial" w:hAnsi="Arial"/>
          <w:i/>
        </w:rPr>
        <w:t xml:space="preserve">In vivo </w:t>
      </w:r>
      <w:r>
        <w:rPr>
          <w:rFonts w:ascii="Arial" w:hAnsi="Arial"/>
        </w:rPr>
        <w:t>mechanical loading with 13N force and 40 cycle regimen significantly enhanced cortical bone formation at the mid-shaft of the tibiae and modified trabecular bone architecture at the proximal site of the tibiae in yo</w:t>
      </w:r>
      <w:r w:rsidR="007E7C72">
        <w:rPr>
          <w:rFonts w:ascii="Arial" w:hAnsi="Arial"/>
        </w:rPr>
        <w:t>ung ad-lib fed and overnight 16-hour</w:t>
      </w:r>
      <w:r>
        <w:rPr>
          <w:rFonts w:ascii="Arial" w:hAnsi="Arial"/>
        </w:rPr>
        <w:t xml:space="preserve"> fasted male mice in comparison to the loading with 13N force and 20 cycle regimen. However, </w:t>
      </w:r>
      <w:r>
        <w:rPr>
          <w:rFonts w:ascii="Arial" w:hAnsi="Arial"/>
          <w:bCs/>
          <w:lang w:val="en-US"/>
        </w:rPr>
        <w:t>o</w:t>
      </w:r>
      <w:r w:rsidRPr="00EA369A">
        <w:rPr>
          <w:rFonts w:ascii="Arial" w:hAnsi="Arial"/>
          <w:bCs/>
          <w:lang w:val="en-US"/>
        </w:rPr>
        <w:t xml:space="preserve">vernight </w:t>
      </w:r>
      <w:r>
        <w:rPr>
          <w:rFonts w:ascii="Arial" w:hAnsi="Arial"/>
          <w:bCs/>
          <w:lang w:val="en-US"/>
        </w:rPr>
        <w:t xml:space="preserve">prolonged </w:t>
      </w:r>
      <w:r w:rsidRPr="00EA369A">
        <w:rPr>
          <w:rFonts w:ascii="Arial" w:hAnsi="Arial"/>
          <w:bCs/>
          <w:lang w:val="en-US"/>
        </w:rPr>
        <w:t xml:space="preserve">fasting neither potentiated nor inhibited bone’s response to </w:t>
      </w:r>
      <w:r>
        <w:rPr>
          <w:rFonts w:ascii="Arial" w:hAnsi="Arial"/>
          <w:bCs/>
          <w:lang w:val="en-US"/>
        </w:rPr>
        <w:t xml:space="preserve">20 or </w:t>
      </w:r>
      <w:r w:rsidRPr="00EA369A">
        <w:rPr>
          <w:rFonts w:ascii="Arial" w:hAnsi="Arial"/>
          <w:bCs/>
          <w:lang w:val="en-US"/>
        </w:rPr>
        <w:t xml:space="preserve">40 cycles of mechanical loading in </w:t>
      </w:r>
      <w:r>
        <w:rPr>
          <w:rFonts w:ascii="Arial" w:hAnsi="Arial"/>
          <w:bCs/>
          <w:lang w:val="en-US"/>
        </w:rPr>
        <w:t xml:space="preserve">young male </w:t>
      </w:r>
      <w:r w:rsidRPr="00EA369A">
        <w:rPr>
          <w:rFonts w:ascii="Arial" w:hAnsi="Arial"/>
          <w:bCs/>
          <w:lang w:val="en-US"/>
        </w:rPr>
        <w:t>mice</w:t>
      </w:r>
      <w:r>
        <w:rPr>
          <w:rFonts w:ascii="Arial" w:hAnsi="Arial"/>
          <w:bCs/>
          <w:lang w:val="en-US"/>
        </w:rPr>
        <w:t xml:space="preserve">. </w:t>
      </w:r>
    </w:p>
    <w:p w14:paraId="30D25422" w14:textId="77777777" w:rsidR="00A0409D" w:rsidRDefault="00A0409D" w:rsidP="00A0409D">
      <w:pPr>
        <w:spacing w:line="480" w:lineRule="auto"/>
        <w:jc w:val="both"/>
        <w:rPr>
          <w:rFonts w:ascii="Arial" w:hAnsi="Arial" w:cs="Arial"/>
        </w:rPr>
      </w:pPr>
    </w:p>
    <w:p w14:paraId="0FF26602" w14:textId="77777777" w:rsidR="00A0409D" w:rsidRDefault="00A0409D" w:rsidP="00A0409D">
      <w:pPr>
        <w:spacing w:line="480" w:lineRule="auto"/>
        <w:jc w:val="both"/>
        <w:rPr>
          <w:rFonts w:ascii="Arial" w:hAnsi="Arial" w:cs="Arial"/>
        </w:rPr>
      </w:pPr>
    </w:p>
    <w:p w14:paraId="61402368" w14:textId="77777777" w:rsidR="00A0409D" w:rsidRDefault="00A0409D" w:rsidP="00A0409D"/>
    <w:p w14:paraId="749B2DF6" w14:textId="77777777" w:rsidR="00A0409D" w:rsidRPr="00B76621" w:rsidRDefault="00A0409D" w:rsidP="00A0409D"/>
    <w:p w14:paraId="003F26C4" w14:textId="77777777" w:rsidR="00A0409D" w:rsidRPr="00B76621" w:rsidRDefault="00A0409D" w:rsidP="00A0409D"/>
    <w:p w14:paraId="11BECC00" w14:textId="77777777" w:rsidR="00A0409D" w:rsidRPr="00B76621" w:rsidRDefault="00A0409D" w:rsidP="00A0409D"/>
    <w:p w14:paraId="5FA4E894" w14:textId="77777777" w:rsidR="00A0409D" w:rsidRDefault="00A0409D" w:rsidP="00A0409D"/>
    <w:p w14:paraId="547B5009" w14:textId="77777777" w:rsidR="00A0409D" w:rsidRPr="00B76621" w:rsidRDefault="00A0409D" w:rsidP="00A0409D"/>
    <w:p w14:paraId="19BA4642" w14:textId="77777777" w:rsidR="0061193F" w:rsidRDefault="0061193F" w:rsidP="0061193F">
      <w:pPr>
        <w:spacing w:line="480" w:lineRule="auto"/>
        <w:jc w:val="both"/>
        <w:rPr>
          <w:rFonts w:ascii="Arial" w:hAnsi="Arial" w:cs="Arial"/>
        </w:rPr>
      </w:pPr>
    </w:p>
    <w:p w14:paraId="1A26156A" w14:textId="77777777" w:rsidR="0061193F" w:rsidRDefault="0061193F" w:rsidP="0061193F">
      <w:pPr>
        <w:spacing w:line="480" w:lineRule="auto"/>
        <w:jc w:val="both"/>
        <w:rPr>
          <w:rFonts w:ascii="Arial" w:hAnsi="Arial" w:cs="Arial"/>
        </w:rPr>
      </w:pPr>
    </w:p>
    <w:p w14:paraId="42104944" w14:textId="77777777" w:rsidR="0061193F" w:rsidRDefault="0061193F" w:rsidP="0061193F">
      <w:pPr>
        <w:spacing w:line="480" w:lineRule="auto"/>
        <w:jc w:val="both"/>
        <w:rPr>
          <w:rFonts w:ascii="Arial" w:hAnsi="Arial" w:cs="Arial"/>
          <w:i/>
        </w:rPr>
      </w:pPr>
    </w:p>
    <w:p w14:paraId="05D793AB" w14:textId="77777777" w:rsidR="0061193F" w:rsidRDefault="0061193F" w:rsidP="0061193F">
      <w:pPr>
        <w:spacing w:line="480" w:lineRule="auto"/>
        <w:jc w:val="both"/>
        <w:rPr>
          <w:rFonts w:ascii="Arial" w:hAnsi="Arial" w:cs="Arial"/>
          <w:i/>
        </w:rPr>
      </w:pPr>
    </w:p>
    <w:p w14:paraId="3A48B20E" w14:textId="77777777" w:rsidR="0061193F" w:rsidRDefault="0061193F" w:rsidP="0061193F">
      <w:pPr>
        <w:spacing w:line="480" w:lineRule="auto"/>
        <w:jc w:val="both"/>
        <w:rPr>
          <w:rFonts w:ascii="Arial" w:hAnsi="Arial" w:cs="Arial"/>
          <w:i/>
        </w:rPr>
      </w:pPr>
    </w:p>
    <w:p w14:paraId="11E3A000" w14:textId="77777777" w:rsidR="0061193F" w:rsidRDefault="0061193F" w:rsidP="0061193F">
      <w:pPr>
        <w:spacing w:line="480" w:lineRule="auto"/>
        <w:jc w:val="both"/>
        <w:rPr>
          <w:rFonts w:ascii="Arial" w:hAnsi="Arial" w:cs="Arial"/>
          <w:i/>
        </w:rPr>
      </w:pPr>
    </w:p>
    <w:p w14:paraId="647DDC77" w14:textId="77777777" w:rsidR="0061193F" w:rsidRDefault="0061193F" w:rsidP="0061193F">
      <w:pPr>
        <w:spacing w:line="480" w:lineRule="auto"/>
        <w:jc w:val="both"/>
        <w:rPr>
          <w:rFonts w:ascii="Arial" w:hAnsi="Arial" w:cs="Arial"/>
        </w:rPr>
      </w:pPr>
    </w:p>
    <w:p w14:paraId="4B7FB179" w14:textId="77777777" w:rsidR="0061193F" w:rsidRDefault="0061193F" w:rsidP="0061193F">
      <w:pPr>
        <w:spacing w:line="480" w:lineRule="auto"/>
        <w:jc w:val="both"/>
        <w:rPr>
          <w:rFonts w:ascii="Arial" w:hAnsi="Arial" w:cs="Arial"/>
        </w:rPr>
      </w:pPr>
    </w:p>
    <w:p w14:paraId="7CC84C8A" w14:textId="77777777" w:rsidR="00644135" w:rsidRPr="00644135" w:rsidRDefault="00644135" w:rsidP="00644135"/>
    <w:p w14:paraId="2B2D4551" w14:textId="77777777" w:rsidR="00644135" w:rsidRDefault="00644135" w:rsidP="00204988">
      <w:pPr>
        <w:pStyle w:val="TOCHeading"/>
      </w:pPr>
    </w:p>
    <w:p w14:paraId="02C8FF95" w14:textId="77777777" w:rsidR="00E9205E" w:rsidRDefault="00E9205E" w:rsidP="00204988">
      <w:pPr>
        <w:pStyle w:val="TOCHeading"/>
      </w:pPr>
    </w:p>
    <w:p w14:paraId="7401B1B8" w14:textId="77777777" w:rsidR="009209C8" w:rsidRPr="009209C8" w:rsidRDefault="009209C8" w:rsidP="009209C8">
      <w:pPr>
        <w:pStyle w:val="TOCHeading"/>
        <w:spacing w:line="360" w:lineRule="auto"/>
        <w:rPr>
          <w:rFonts w:eastAsia="Times New Roman"/>
          <w:bCs w:val="0"/>
          <w:color w:val="1F497D" w:themeColor="text2"/>
          <w:sz w:val="24"/>
          <w:szCs w:val="24"/>
          <w:u w:val="double"/>
        </w:rPr>
      </w:pPr>
      <w:bookmarkStart w:id="90" w:name="_Toc383723890"/>
    </w:p>
    <w:p w14:paraId="000BE1B3" w14:textId="77777777" w:rsidR="009209C8" w:rsidRDefault="009209C8" w:rsidP="009209C8">
      <w:pPr>
        <w:pStyle w:val="TOCHeading"/>
        <w:spacing w:line="360" w:lineRule="auto"/>
        <w:rPr>
          <w:rFonts w:eastAsia="Times New Roman"/>
          <w:bCs w:val="0"/>
          <w:color w:val="1F497D" w:themeColor="text2"/>
          <w:sz w:val="40"/>
          <w:szCs w:val="40"/>
          <w:u w:val="double"/>
        </w:rPr>
      </w:pPr>
      <w:r>
        <w:rPr>
          <w:rFonts w:eastAsia="Times New Roman"/>
          <w:bCs w:val="0"/>
          <w:color w:val="1F497D" w:themeColor="text2"/>
          <w:sz w:val="40"/>
          <w:szCs w:val="40"/>
          <w:u w:val="double"/>
        </w:rPr>
        <w:t>CHAPTER 4</w:t>
      </w:r>
    </w:p>
    <w:p w14:paraId="62DE5230" w14:textId="77777777" w:rsidR="00E56E65" w:rsidRPr="00DD5A04" w:rsidRDefault="00E56E65" w:rsidP="00204988">
      <w:pPr>
        <w:pStyle w:val="Heading1"/>
      </w:pPr>
      <w:r w:rsidRPr="00DD5A04">
        <w:t xml:space="preserve">The effect of timing of feeding on bone mass and architecture of fed or overnight fasted </w:t>
      </w:r>
      <w:r>
        <w:t>young</w:t>
      </w:r>
      <w:r w:rsidRPr="00DD5A04">
        <w:t xml:space="preserve"> mice</w:t>
      </w:r>
      <w:bookmarkEnd w:id="90"/>
    </w:p>
    <w:p w14:paraId="0603E431" w14:textId="77777777" w:rsidR="00E56E65" w:rsidRPr="00DD5A04" w:rsidRDefault="00E56E65" w:rsidP="00204988">
      <w:pPr>
        <w:pStyle w:val="TOCHeading"/>
      </w:pPr>
    </w:p>
    <w:p w14:paraId="5E55EA5D" w14:textId="77777777" w:rsidR="00E56E65" w:rsidRDefault="00E56E65" w:rsidP="00204988">
      <w:pPr>
        <w:pStyle w:val="TOCHeading"/>
      </w:pPr>
    </w:p>
    <w:p w14:paraId="210CE554" w14:textId="77777777" w:rsidR="00E56E65" w:rsidRDefault="00E56E65" w:rsidP="00204988">
      <w:pPr>
        <w:pStyle w:val="TOCHeading"/>
      </w:pPr>
    </w:p>
    <w:p w14:paraId="06C67E71" w14:textId="77777777" w:rsidR="00E56E65" w:rsidRDefault="00E56E65" w:rsidP="00204988">
      <w:pPr>
        <w:pStyle w:val="TOCHeading"/>
      </w:pPr>
    </w:p>
    <w:p w14:paraId="07ED6E00" w14:textId="77777777" w:rsidR="00E56E65" w:rsidRDefault="00E56E65" w:rsidP="00204988">
      <w:pPr>
        <w:pStyle w:val="TOCHeading"/>
      </w:pPr>
    </w:p>
    <w:p w14:paraId="3AA1AB46" w14:textId="77777777" w:rsidR="00E56E65" w:rsidRDefault="00E56E65" w:rsidP="00204988">
      <w:pPr>
        <w:pStyle w:val="TOCHeading"/>
      </w:pPr>
    </w:p>
    <w:p w14:paraId="67347BE3" w14:textId="77777777" w:rsidR="00E56E65" w:rsidRDefault="00E56E65" w:rsidP="00204988">
      <w:pPr>
        <w:pStyle w:val="TOCHeading"/>
      </w:pPr>
    </w:p>
    <w:p w14:paraId="63819D09" w14:textId="77777777" w:rsidR="00E56E65" w:rsidRDefault="00E56E65" w:rsidP="00204988">
      <w:pPr>
        <w:pStyle w:val="TOCHeading"/>
      </w:pPr>
    </w:p>
    <w:p w14:paraId="7E725FD9" w14:textId="77777777" w:rsidR="00E56E65" w:rsidRDefault="00E56E65" w:rsidP="00204988">
      <w:pPr>
        <w:pStyle w:val="TOCHeading"/>
      </w:pPr>
    </w:p>
    <w:p w14:paraId="04D3F229" w14:textId="77777777" w:rsidR="00E56E65" w:rsidRDefault="00E56E65" w:rsidP="00204988">
      <w:pPr>
        <w:pStyle w:val="TOCHeading"/>
      </w:pPr>
    </w:p>
    <w:p w14:paraId="51FDB8C7" w14:textId="77777777" w:rsidR="00E73C69" w:rsidRDefault="00E73C69" w:rsidP="00D40E59">
      <w:pPr>
        <w:pStyle w:val="Heading2"/>
      </w:pPr>
    </w:p>
    <w:p w14:paraId="0DA698BE" w14:textId="77777777" w:rsidR="00E56E65" w:rsidRDefault="00E56E65" w:rsidP="00D40E59">
      <w:pPr>
        <w:pStyle w:val="Heading2"/>
      </w:pPr>
      <w:bookmarkStart w:id="91" w:name="_Toc383723891"/>
      <w:r>
        <w:lastRenderedPageBreak/>
        <w:t>4.1 Introduction</w:t>
      </w:r>
      <w:bookmarkEnd w:id="91"/>
    </w:p>
    <w:p w14:paraId="4B3E5A75" w14:textId="77777777" w:rsidR="00575BC3" w:rsidRDefault="00E56E65" w:rsidP="00E56E65">
      <w:pPr>
        <w:spacing w:line="480" w:lineRule="auto"/>
        <w:jc w:val="both"/>
        <w:rPr>
          <w:rFonts w:ascii="Arial" w:hAnsi="Arial" w:cs="Arial"/>
        </w:rPr>
      </w:pPr>
      <w:r w:rsidRPr="00EE7AA1">
        <w:rPr>
          <w:rFonts w:ascii="Arial" w:hAnsi="Arial"/>
        </w:rPr>
        <w:t>T</w:t>
      </w:r>
      <w:r w:rsidRPr="00EE7AA1">
        <w:rPr>
          <w:rFonts w:ascii="Arial" w:hAnsi="Arial" w:cs="Calibri"/>
          <w:bCs/>
          <w:color w:val="000000"/>
        </w:rPr>
        <w:t xml:space="preserve">here </w:t>
      </w:r>
      <w:r>
        <w:rPr>
          <w:rFonts w:ascii="Arial" w:hAnsi="Arial" w:cs="Calibri"/>
          <w:bCs/>
          <w:color w:val="000000"/>
        </w:rPr>
        <w:t>are coordinated and reciprocal interlinks</w:t>
      </w:r>
      <w:r w:rsidRPr="00EE7AA1">
        <w:rPr>
          <w:rFonts w:ascii="Arial" w:hAnsi="Arial" w:cs="Calibri"/>
          <w:bCs/>
          <w:color w:val="000000"/>
        </w:rPr>
        <w:t xml:space="preserve"> between </w:t>
      </w:r>
      <w:r>
        <w:rPr>
          <w:rFonts w:ascii="Arial" w:hAnsi="Arial" w:cs="Calibri"/>
          <w:bCs/>
          <w:color w:val="000000"/>
        </w:rPr>
        <w:t>endocrine</w:t>
      </w:r>
      <w:r w:rsidRPr="00EE7AA1">
        <w:rPr>
          <w:rFonts w:ascii="Arial" w:hAnsi="Arial" w:cs="Calibri"/>
          <w:bCs/>
          <w:color w:val="000000"/>
        </w:rPr>
        <w:t xml:space="preserve"> </w:t>
      </w:r>
      <w:r>
        <w:rPr>
          <w:rFonts w:ascii="Arial" w:hAnsi="Arial" w:cs="Calibri"/>
          <w:bCs/>
          <w:color w:val="000000"/>
        </w:rPr>
        <w:t>system</w:t>
      </w:r>
      <w:r w:rsidRPr="00EE7AA1">
        <w:rPr>
          <w:rFonts w:ascii="Arial" w:hAnsi="Arial" w:cs="Calibri"/>
          <w:bCs/>
          <w:color w:val="000000"/>
        </w:rPr>
        <w:t xml:space="preserve"> that regulate</w:t>
      </w:r>
      <w:r>
        <w:rPr>
          <w:rFonts w:ascii="Arial" w:hAnsi="Arial" w:cs="Calibri"/>
          <w:bCs/>
          <w:color w:val="000000"/>
        </w:rPr>
        <w:t>s</w:t>
      </w:r>
      <w:r w:rsidRPr="00EE7AA1">
        <w:rPr>
          <w:rFonts w:ascii="Arial" w:hAnsi="Arial" w:cs="Calibri"/>
          <w:bCs/>
          <w:color w:val="000000"/>
        </w:rPr>
        <w:t xml:space="preserve"> energy metabolism</w:t>
      </w:r>
      <w:r>
        <w:rPr>
          <w:rFonts w:ascii="Arial" w:hAnsi="Arial" w:cs="Calibri"/>
          <w:bCs/>
          <w:color w:val="000000"/>
        </w:rPr>
        <w:t>, adipose tissue</w:t>
      </w:r>
      <w:r w:rsidRPr="00EE7AA1">
        <w:rPr>
          <w:rFonts w:ascii="Arial" w:hAnsi="Arial" w:cs="Calibri"/>
          <w:bCs/>
          <w:color w:val="000000"/>
        </w:rPr>
        <w:t xml:space="preserve"> and bone homeostasis</w:t>
      </w:r>
      <w:r>
        <w:rPr>
          <w:rFonts w:ascii="Arial" w:hAnsi="Arial" w:cs="Calibri"/>
          <w:bCs/>
          <w:color w:val="000000"/>
        </w:rPr>
        <w:t xml:space="preserve"> </w:t>
      </w:r>
      <w:r w:rsidR="006961A1">
        <w:rPr>
          <w:rFonts w:ascii="Arial" w:hAnsi="Arial" w:cs="Calibri"/>
          <w:bCs/>
          <w:color w:val="000000"/>
        </w:rPr>
        <w:fldChar w:fldCharType="begin">
          <w:fldData xml:space="preserve">PEVuZE5vdGU+PENpdGU+PEF1dGhvcj5EdWN5PC9BdXRob3I+PFllYXI+MjAwMDwvWWVhcj48UmVj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</w:fldData>
        </w:fldChar>
      </w:r>
      <w:r w:rsidR="00651EFF">
        <w:rPr>
          <w:rFonts w:ascii="Arial" w:hAnsi="Arial" w:cs="Calibri"/>
          <w:bCs/>
          <w:color w:val="000000"/>
        </w:rPr>
        <w:instrText xml:space="preserve"> ADDIN EN.CITE </w:instrText>
      </w:r>
      <w:r w:rsidR="00651EFF">
        <w:rPr>
          <w:rFonts w:ascii="Arial" w:hAnsi="Arial" w:cs="Calibri"/>
          <w:bCs/>
          <w:color w:val="000000"/>
        </w:rPr>
        <w:fldChar w:fldCharType="begin">
          <w:fldData xml:space="preserve">PEVuZE5vdGU+PENpdGU+PEF1dGhvcj5EdWN5PC9BdXRob3I+PFllYXI+MjAwMDwvWWVhcj48UmVj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</w:fldData>
        </w:fldChar>
      </w:r>
      <w:r w:rsidR="00651EFF">
        <w:rPr>
          <w:rFonts w:ascii="Arial" w:hAnsi="Arial" w:cs="Calibri"/>
          <w:bCs/>
          <w:color w:val="000000"/>
        </w:rPr>
        <w:instrText xml:space="preserve"> ADDIN EN.CITE.DATA </w:instrText>
      </w:r>
      <w:r w:rsidR="00651EFF">
        <w:rPr>
          <w:rFonts w:ascii="Arial" w:hAnsi="Arial" w:cs="Calibri"/>
          <w:bCs/>
          <w:color w:val="000000"/>
        </w:rPr>
      </w:r>
      <w:r w:rsidR="00651EFF">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51EFF">
        <w:rPr>
          <w:rFonts w:ascii="Arial" w:hAnsi="Arial" w:cs="Calibri"/>
          <w:bCs/>
          <w:noProof/>
          <w:color w:val="000000"/>
        </w:rPr>
        <w:t>(Ducy et al., 2000, Naot and Cornish, 2008, Perrini et al., 2010, Govoni, 2012, De Paula and Rosen, 2013)</w:t>
      </w:r>
      <w:r w:rsidR="006961A1">
        <w:rPr>
          <w:rFonts w:ascii="Arial" w:hAnsi="Arial" w:cs="Calibri"/>
          <w:bCs/>
          <w:color w:val="000000"/>
        </w:rPr>
        <w:fldChar w:fldCharType="end"/>
      </w:r>
      <w:r w:rsidR="00233637">
        <w:rPr>
          <w:rFonts w:ascii="Arial" w:hAnsi="Arial" w:cs="Calibri"/>
          <w:bCs/>
          <w:color w:val="000000"/>
        </w:rPr>
        <w:t xml:space="preserve"> </w:t>
      </w:r>
      <w:r w:rsidR="005A2DAC">
        <w:rPr>
          <w:rFonts w:ascii="Arial" w:hAnsi="Arial" w:cs="Calibri"/>
          <w:bCs/>
          <w:color w:val="000000"/>
        </w:rPr>
        <w:t>(Figure 26</w:t>
      </w:r>
      <w:r>
        <w:rPr>
          <w:rFonts w:ascii="Arial" w:hAnsi="Arial" w:cs="Calibri"/>
          <w:bCs/>
          <w:color w:val="000000"/>
        </w:rPr>
        <w:t xml:space="preserve">). </w:t>
      </w:r>
      <w:r>
        <w:rPr>
          <w:rFonts w:ascii="Arial" w:hAnsi="Arial" w:cs="Arial"/>
        </w:rPr>
        <w:t>As discussed in the previous chapters, exogenously applied mechanical loading that mimics exercise is a major anabolic factor that affects bone strength and microarchitecture in model organisms</w:t>
      </w:r>
      <w:r w:rsidR="005A3EF3">
        <w:rPr>
          <w:rFonts w:ascii="Arial" w:hAnsi="Arial" w:cs="Arial"/>
        </w:rPr>
        <w:t xml:space="preserve"> </w:t>
      </w:r>
      <w:r w:rsidR="006961A1">
        <w:rPr>
          <w:rFonts w:ascii="Arial" w:hAnsi="Arial" w:cs="Arial"/>
        </w:rPr>
        <w:fldChar w:fldCharType="begin">
          <w:fldData xml:space="preserve">PEVuZE5vdGU+PENpdGU+PEF1dGhvcj5IaWxsYW08L0F1dGhvcj48WWVhcj4xOTk1PC9ZZWFyPjxS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</w:fldData>
        </w:fldChar>
      </w:r>
      <w:r w:rsidR="00651EFF">
        <w:rPr>
          <w:rFonts w:ascii="Arial" w:hAnsi="Arial" w:cs="Arial"/>
        </w:rPr>
        <w:instrText xml:space="preserve"> ADDIN EN.CITE </w:instrText>
      </w:r>
      <w:r w:rsidR="00651EFF">
        <w:rPr>
          <w:rFonts w:ascii="Arial" w:hAnsi="Arial" w:cs="Arial"/>
        </w:rPr>
        <w:fldChar w:fldCharType="begin">
          <w:fldData xml:space="preserve">PEVuZE5vdGU+PENpdGU+PEF1dGhvcj5IaWxsYW08L0F1dGhvcj48WWVhcj4xOTk1PC9ZZWFyPjxS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</w:fldData>
        </w:fldChar>
      </w:r>
      <w:r w:rsidR="00651EFF">
        <w:rPr>
          <w:rFonts w:ascii="Arial" w:hAnsi="Arial" w:cs="Arial"/>
        </w:rPr>
        <w:instrText xml:space="preserve"> ADDIN EN.CITE.DATA </w:instrText>
      </w:r>
      <w:r w:rsidR="00651EFF">
        <w:rPr>
          <w:rFonts w:ascii="Arial" w:hAnsi="Arial" w:cs="Arial"/>
        </w:rPr>
      </w:r>
      <w:r w:rsidR="00651EFF">
        <w:rPr>
          <w:rFonts w:ascii="Arial" w:hAnsi="Arial" w:cs="Arial"/>
        </w:rPr>
        <w:fldChar w:fldCharType="end"/>
      </w:r>
      <w:r w:rsidR="006961A1">
        <w:rPr>
          <w:rFonts w:ascii="Arial" w:hAnsi="Arial" w:cs="Arial"/>
        </w:rPr>
      </w:r>
      <w:r w:rsidR="006961A1">
        <w:rPr>
          <w:rFonts w:ascii="Arial" w:hAnsi="Arial" w:cs="Arial"/>
        </w:rPr>
        <w:fldChar w:fldCharType="separate"/>
      </w:r>
      <w:r w:rsidR="006961A1">
        <w:rPr>
          <w:rFonts w:ascii="Arial" w:hAnsi="Arial" w:cs="Arial"/>
          <w:noProof/>
        </w:rPr>
        <w:t>(Hillam and Skerry, 1995, Rubin et al., 2006, Skerry, 2006b, Sugiyama et al., 2010)</w:t>
      </w:r>
      <w:r w:rsidR="006961A1">
        <w:rPr>
          <w:rFonts w:ascii="Arial" w:hAnsi="Arial" w:cs="Arial"/>
        </w:rPr>
        <w:fldChar w:fldCharType="end"/>
      </w:r>
      <w:r w:rsidR="005A3EF3">
        <w:rPr>
          <w:rFonts w:ascii="Arial" w:hAnsi="Arial" w:cs="Arial"/>
        </w:rPr>
        <w:t>.</w:t>
      </w:r>
      <w:r>
        <w:rPr>
          <w:rFonts w:ascii="Arial" w:hAnsi="Arial" w:cs="Arial"/>
        </w:rPr>
        <w:t xml:space="preserve"> </w:t>
      </w:r>
    </w:p>
    <w:p w14:paraId="32212581" w14:textId="77777777" w:rsidR="000127EA" w:rsidRDefault="000127EA" w:rsidP="00E56E65">
      <w:pPr>
        <w:spacing w:line="480" w:lineRule="auto"/>
        <w:jc w:val="both"/>
        <w:rPr>
          <w:rFonts w:ascii="Arial" w:hAnsi="Arial" w:cs="Arial"/>
        </w:rPr>
      </w:pPr>
    </w:p>
    <w:p w14:paraId="3CA88807" w14:textId="77777777" w:rsidR="00575BC3" w:rsidRDefault="00575BC3" w:rsidP="00E56E65">
      <w:pPr>
        <w:spacing w:line="480" w:lineRule="auto"/>
        <w:jc w:val="both"/>
        <w:rPr>
          <w:rFonts w:ascii="Arial" w:hAnsi="Arial" w:cs="Arial"/>
        </w:rPr>
      </w:pPr>
    </w:p>
    <w:p w14:paraId="287736EE" w14:textId="77777777" w:rsidR="00575BC3" w:rsidRDefault="00575BC3" w:rsidP="00E56E65">
      <w:pPr>
        <w:spacing w:line="480" w:lineRule="auto"/>
        <w:jc w:val="both"/>
        <w:rPr>
          <w:rFonts w:ascii="Arial" w:hAnsi="Arial" w:cs="Arial"/>
        </w:rPr>
      </w:pPr>
      <w:r w:rsidRPr="001A2403">
        <w:rPr>
          <w:rFonts w:ascii="Arial" w:hAnsi="Arial" w:cs="Calibri"/>
          <w:bCs/>
          <w:noProof/>
          <w:color w:val="000000"/>
          <w:lang w:val="en-US"/>
        </w:rPr>
        <w:drawing>
          <wp:inline distT="0" distB="0" distL="0" distR="0" wp14:anchorId="0EC35E5B" wp14:editId="78077843">
            <wp:extent cx="6111240" cy="3460773"/>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11240" cy="3460773"/>
                    </a:xfrm>
                    <a:prstGeom prst="rect">
                      <a:avLst/>
                    </a:prstGeom>
                    <a:noFill/>
                    <a:ln>
                      <a:noFill/>
                    </a:ln>
                  </pic:spPr>
                </pic:pic>
              </a:graphicData>
            </a:graphic>
          </wp:inline>
        </w:drawing>
      </w:r>
    </w:p>
    <w:p w14:paraId="00831FC2" w14:textId="77777777" w:rsidR="000127EA" w:rsidRDefault="000127EA" w:rsidP="00575BC3">
      <w:pPr>
        <w:pStyle w:val="Caption"/>
        <w:spacing w:line="360" w:lineRule="auto"/>
        <w:jc w:val="both"/>
        <w:rPr>
          <w:rFonts w:ascii="Arial" w:hAnsi="Arial" w:cs="Arial"/>
          <w:color w:val="244061" w:themeColor="accent1" w:themeShade="80"/>
          <w:sz w:val="24"/>
          <w:szCs w:val="24"/>
        </w:rPr>
      </w:pPr>
      <w:bookmarkStart w:id="92" w:name="_Toc383544617"/>
    </w:p>
    <w:p w14:paraId="4165FA0B" w14:textId="77777777" w:rsidR="00575BC3" w:rsidRPr="005A2DAC" w:rsidRDefault="00575BC3" w:rsidP="00575BC3">
      <w:pPr>
        <w:pStyle w:val="Caption"/>
        <w:spacing w:line="360" w:lineRule="auto"/>
        <w:jc w:val="both"/>
        <w:rPr>
          <w:rFonts w:ascii="Arial" w:hAnsi="Arial" w:cs="Arial"/>
          <w:bCs w:val="0"/>
          <w:color w:val="244061" w:themeColor="accent1" w:themeShade="80"/>
          <w:sz w:val="24"/>
          <w:szCs w:val="24"/>
        </w:rPr>
      </w:pPr>
      <w:r w:rsidRPr="005A2DAC">
        <w:rPr>
          <w:rFonts w:ascii="Arial" w:hAnsi="Arial" w:cs="Arial"/>
          <w:color w:val="244061" w:themeColor="accent1" w:themeShade="80"/>
          <w:sz w:val="24"/>
          <w:szCs w:val="24"/>
        </w:rPr>
        <w:t xml:space="preserve">Figure </w:t>
      </w:r>
      <w:r w:rsidRPr="005A2DAC">
        <w:rPr>
          <w:rFonts w:ascii="Arial" w:hAnsi="Arial" w:cs="Arial"/>
          <w:color w:val="244061" w:themeColor="accent1" w:themeShade="80"/>
          <w:sz w:val="24"/>
          <w:szCs w:val="24"/>
        </w:rPr>
        <w:fldChar w:fldCharType="begin"/>
      </w:r>
      <w:r w:rsidRPr="005A2DAC">
        <w:rPr>
          <w:rFonts w:ascii="Arial" w:hAnsi="Arial" w:cs="Arial"/>
          <w:color w:val="244061" w:themeColor="accent1" w:themeShade="80"/>
          <w:sz w:val="24"/>
          <w:szCs w:val="24"/>
        </w:rPr>
        <w:instrText xml:space="preserve"> SEQ Figure \* ARABIC </w:instrText>
      </w:r>
      <w:r w:rsidRPr="005A2DAC">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26</w:t>
      </w:r>
      <w:r w:rsidRPr="005A2DAC">
        <w:rPr>
          <w:rFonts w:ascii="Arial" w:hAnsi="Arial" w:cs="Arial"/>
          <w:color w:val="244061" w:themeColor="accent1" w:themeShade="80"/>
          <w:sz w:val="24"/>
          <w:szCs w:val="24"/>
        </w:rPr>
        <w:fldChar w:fldCharType="end"/>
      </w:r>
      <w:r w:rsidRPr="005A2DAC">
        <w:rPr>
          <w:rFonts w:ascii="Arial" w:hAnsi="Arial" w:cs="Arial"/>
          <w:color w:val="244061" w:themeColor="accent1" w:themeShade="80"/>
          <w:sz w:val="24"/>
          <w:szCs w:val="24"/>
        </w:rPr>
        <w:t xml:space="preserve"> Interactions between energy metabolism, adipose tissue and bone homeostasis revealed through the use of genetically modified mice</w:t>
      </w:r>
      <w:bookmarkEnd w:id="92"/>
    </w:p>
    <w:p w14:paraId="0036440E" w14:textId="77777777" w:rsidR="00575BC3" w:rsidRDefault="00575BC3" w:rsidP="00575BC3">
      <w:pPr>
        <w:widowControl w:val="0"/>
        <w:autoSpaceDE w:val="0"/>
        <w:autoSpaceDN w:val="0"/>
        <w:adjustRightInd w:val="0"/>
        <w:spacing w:after="240" w:line="360" w:lineRule="auto"/>
        <w:jc w:val="both"/>
        <w:rPr>
          <w:rFonts w:ascii="Arial" w:eastAsiaTheme="minorEastAsia" w:hAnsi="Arial" w:cs="Arial"/>
          <w:sz w:val="22"/>
          <w:szCs w:val="22"/>
          <w:lang w:val="en-US"/>
        </w:rPr>
      </w:pPr>
      <w:proofErr w:type="gramStart"/>
      <w:r>
        <w:rPr>
          <w:rFonts w:ascii="Arial" w:hAnsi="Arial" w:cs="Calibri"/>
          <w:bCs/>
          <w:color w:val="000000"/>
          <w:sz w:val="22"/>
          <w:szCs w:val="22"/>
        </w:rPr>
        <w:t>vdr</w:t>
      </w:r>
      <w:proofErr w:type="gramEnd"/>
      <w:r>
        <w:rPr>
          <w:rFonts w:ascii="Arial" w:hAnsi="Arial" w:cs="Calibri"/>
          <w:bCs/>
          <w:color w:val="000000"/>
          <w:sz w:val="22"/>
          <w:szCs w:val="22"/>
        </w:rPr>
        <w:t xml:space="preserve"> null = Vitamin D receptor null mouse, fgr23 null = </w:t>
      </w:r>
      <w:r>
        <w:rPr>
          <w:rFonts w:ascii="Arial" w:eastAsiaTheme="minorEastAsia" w:hAnsi="Arial" w:cs="Arial"/>
          <w:sz w:val="22"/>
          <w:szCs w:val="22"/>
          <w:lang w:val="en-US"/>
        </w:rPr>
        <w:t xml:space="preserve">fibroblast growth factor </w:t>
      </w:r>
      <w:r w:rsidRPr="00A74CCE">
        <w:rPr>
          <w:rFonts w:ascii="Arial" w:eastAsiaTheme="minorEastAsia" w:hAnsi="Arial" w:cs="Arial"/>
          <w:sz w:val="22"/>
          <w:szCs w:val="22"/>
          <w:lang w:val="en-US"/>
        </w:rPr>
        <w:t>23 null mouse, leptin null</w:t>
      </w:r>
      <w:r>
        <w:rPr>
          <w:rFonts w:ascii="Arial" w:eastAsiaTheme="minorEastAsia" w:hAnsi="Arial" w:cs="Arial"/>
          <w:sz w:val="22"/>
          <w:szCs w:val="22"/>
          <w:lang w:val="en-US"/>
        </w:rPr>
        <w:t xml:space="preserve"> </w:t>
      </w:r>
      <w:r w:rsidRPr="00A74CCE">
        <w:rPr>
          <w:rFonts w:ascii="Arial" w:eastAsiaTheme="minorEastAsia" w:hAnsi="Arial" w:cs="Arial"/>
          <w:sz w:val="22"/>
          <w:szCs w:val="22"/>
          <w:lang w:val="en-US"/>
        </w:rPr>
        <w:t>= leptin null mouse</w:t>
      </w:r>
      <w:r>
        <w:rPr>
          <w:rFonts w:ascii="Arial" w:eastAsiaTheme="minorEastAsia" w:hAnsi="Arial" w:cs="Arial"/>
          <w:sz w:val="22"/>
          <w:szCs w:val="22"/>
          <w:lang w:val="en-US"/>
        </w:rPr>
        <w:t>,</w:t>
      </w:r>
      <w:r w:rsidRPr="00A74CCE">
        <w:rPr>
          <w:rFonts w:ascii="Arial" w:eastAsiaTheme="minorEastAsia" w:hAnsi="Arial" w:cs="Arial"/>
          <w:sz w:val="22"/>
          <w:szCs w:val="22"/>
          <w:lang w:val="en-US"/>
        </w:rPr>
        <w:t xml:space="preserve"> </w:t>
      </w:r>
      <w:r>
        <w:rPr>
          <w:rFonts w:ascii="Arial" w:eastAsiaTheme="minorEastAsia" w:hAnsi="Arial" w:cs="Arial"/>
          <w:sz w:val="22"/>
          <w:szCs w:val="22"/>
          <w:lang w:val="en-US"/>
        </w:rPr>
        <w:t>o</w:t>
      </w:r>
      <w:r w:rsidRPr="00A74CCE">
        <w:rPr>
          <w:rFonts w:ascii="Arial" w:eastAsiaTheme="minorEastAsia" w:hAnsi="Arial" w:cs="Arial"/>
          <w:sz w:val="22"/>
          <w:szCs w:val="22"/>
          <w:lang w:val="en-US"/>
        </w:rPr>
        <w:t xml:space="preserve">b-∆IR= insulin receptor deletion in osteoblast </w:t>
      </w:r>
    </w:p>
    <w:p w14:paraId="3CDD73AD" w14:textId="77777777" w:rsidR="00575BC3" w:rsidRPr="00A74CCE" w:rsidRDefault="00575BC3" w:rsidP="00575BC3">
      <w:pPr>
        <w:widowControl w:val="0"/>
        <w:autoSpaceDE w:val="0"/>
        <w:autoSpaceDN w:val="0"/>
        <w:adjustRightInd w:val="0"/>
        <w:spacing w:after="240" w:line="360" w:lineRule="auto"/>
        <w:jc w:val="both"/>
        <w:rPr>
          <w:rFonts w:ascii="Arial" w:eastAsiaTheme="minorEastAsia" w:hAnsi="Arial" w:cs="Arial"/>
          <w:lang w:val="en-US"/>
        </w:rPr>
      </w:pPr>
      <w:r>
        <w:rPr>
          <w:rFonts w:ascii="Arial" w:eastAsiaTheme="minorEastAsia" w:hAnsi="Arial" w:cs="Arial"/>
          <w:sz w:val="22"/>
          <w:szCs w:val="22"/>
          <w:lang w:val="en-US"/>
        </w:rPr>
        <w:t xml:space="preserve">Adapted from </w:t>
      </w:r>
      <w:r>
        <w:rPr>
          <w:rFonts w:ascii="Arial" w:eastAsiaTheme="minorEastAsia" w:hAnsi="Arial" w:cs="Arial"/>
          <w:sz w:val="22"/>
          <w:szCs w:val="22"/>
          <w:lang w:val="en-US"/>
        </w:rPr>
        <w:fldChar w:fldCharType="begin"/>
      </w:r>
      <w:r>
        <w:rPr>
          <w:rFonts w:ascii="Arial" w:eastAsiaTheme="minorEastAsia" w:hAnsi="Arial" w:cs="Arial"/>
          <w:sz w:val="22"/>
          <w:szCs w:val="22"/>
          <w:lang w:val="en-US"/>
        </w:rPr>
        <w:instrText xml:space="preserve"> ADDIN EN.CITE &lt;EndNote&gt;&lt;Cite&gt;&lt;Author&gt;de Paula&lt;/Author&gt;&lt;Year&gt;2013&lt;/Year&gt;&lt;RecNum&gt;294&lt;/RecNum&gt;&lt;DisplayText&gt;(De Paula and Rosen, 2013)&lt;/DisplayText&gt;&lt;record&gt;&lt;rec-number&gt;294&lt;/rec-number&gt;&lt;foreign-keys&gt;&lt;key app="EN" db-id="ae9rewfrpdttrheppfxxv0p4950wpd25r09x" timestamp="1520658290"&gt;294&lt;/key&gt;&lt;/foreign-keys&gt;&lt;ref-type name="Journal Article"&gt;17&lt;/ref-type&gt;&lt;contributors&gt;&lt;authors&gt;&lt;author&gt;De Paula, Francisco J. A.&lt;/author&gt;&lt;author&gt;Rosen, Clifford J.&lt;/author&gt;&lt;/authors&gt;&lt;/contributors&gt;&lt;titles&gt;&lt;title&gt;Bone Remodeling and Energy Metabolism: New Perspectives&lt;/title&gt;&lt;secondary-title&gt;Bone research&lt;/secondary-title&gt;&lt;/titles&gt;&lt;periodical&gt;&lt;full-title&gt;Bone research&lt;/full-title&gt;&lt;/periodical&gt;&lt;pages&gt;72-84&lt;/pages&gt;&lt;volume&gt;1&lt;/volume&gt;&lt;number&gt;1&lt;/number&gt;&lt;keywords&gt;&lt;keyword&gt;Adipose Tissue&lt;/keyword&gt;&lt;keyword&gt;Bone&lt;/keyword&gt;&lt;keyword&gt;Energy Metabolism&lt;/keyword&gt;&lt;keyword&gt;Leptin&lt;/keyword&gt;&lt;keyword&gt;Mineral Metabolism&lt;/keyword&gt;&lt;keyword&gt;Osteocalcin&lt;/keyword&gt;&lt;/keywords&gt;&lt;dates&gt;&lt;year&gt;2013&lt;/year&gt;&lt;/dates&gt;&lt;isbn&gt;2095-4700&lt;/isbn&gt;&lt;urls&gt;&lt;/urls&gt;&lt;electronic-resource-num&gt;10.4248/BR201301005&lt;/electronic-resource-num&gt;&lt;/record&gt;&lt;/Cite&gt;&lt;/EndNote&gt;</w:instrText>
      </w:r>
      <w:r>
        <w:rPr>
          <w:rFonts w:ascii="Arial" w:eastAsiaTheme="minorEastAsia" w:hAnsi="Arial" w:cs="Arial"/>
          <w:sz w:val="22"/>
          <w:szCs w:val="22"/>
          <w:lang w:val="en-US"/>
        </w:rPr>
        <w:fldChar w:fldCharType="separate"/>
      </w:r>
      <w:r>
        <w:rPr>
          <w:rFonts w:ascii="Arial" w:eastAsiaTheme="minorEastAsia" w:hAnsi="Arial" w:cs="Arial"/>
          <w:noProof/>
          <w:sz w:val="22"/>
          <w:szCs w:val="22"/>
          <w:lang w:val="en-US"/>
        </w:rPr>
        <w:t>(De Paula and Rosen, 2013)</w:t>
      </w:r>
      <w:r>
        <w:rPr>
          <w:rFonts w:ascii="Arial" w:eastAsiaTheme="minorEastAsia" w:hAnsi="Arial" w:cs="Arial"/>
          <w:sz w:val="22"/>
          <w:szCs w:val="22"/>
          <w:lang w:val="en-US"/>
        </w:rPr>
        <w:fldChar w:fldCharType="end"/>
      </w:r>
      <w:r>
        <w:rPr>
          <w:rFonts w:ascii="Arial" w:eastAsiaTheme="minorEastAsia" w:hAnsi="Arial" w:cs="Arial"/>
          <w:sz w:val="22"/>
          <w:szCs w:val="22"/>
          <w:lang w:val="en-US"/>
        </w:rPr>
        <w:t>.</w:t>
      </w:r>
    </w:p>
    <w:p w14:paraId="16AB7C3C" w14:textId="77777777" w:rsidR="00E56E65" w:rsidRDefault="00E56E65" w:rsidP="00E56E65">
      <w:pPr>
        <w:spacing w:line="480" w:lineRule="auto"/>
        <w:jc w:val="both"/>
        <w:rPr>
          <w:rFonts w:ascii="Arial" w:hAnsi="Arial" w:cs="Arial"/>
        </w:rPr>
      </w:pPr>
      <w:r>
        <w:rPr>
          <w:rFonts w:ascii="Arial" w:hAnsi="Arial" w:cs="Arial"/>
        </w:rPr>
        <w:lastRenderedPageBreak/>
        <w:t xml:space="preserve">Undoubtedly, the effects of exercise on the skeleton are beneficial in that it can increase bone mass and reduce bone loss uncoupling bone formation and resorption processes and shifting the balance of bone remodelling in favour of bone formation. However, during ageing the skeletal resorption rates are increased with concurrent decrease in bone formation rates resulting in overall net bone loss </w:t>
      </w:r>
      <w:r w:rsidR="006961A1">
        <w:rPr>
          <w:rFonts w:ascii="Arial" w:hAnsi="Arial" w:cs="Arial"/>
          <w:noProof/>
        </w:rPr>
        <w:fldChar w:fldCharType="begin">
          <w:fldData xml:space="preserve">PEVuZE5vdGU+PENpdGU+PEF1dGhvcj5QYXJmaXR0PC9BdXRob3I+PFllYXI+MTk4NDwvWWVhcj48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</w:fldData>
        </w:fldChar>
      </w:r>
      <w:r w:rsidR="0000415D">
        <w:rPr>
          <w:rFonts w:ascii="Arial" w:hAnsi="Arial" w:cs="Arial"/>
          <w:noProof/>
        </w:rPr>
        <w:instrText xml:space="preserve"> ADDIN EN.CITE </w:instrText>
      </w:r>
      <w:r w:rsidR="0000415D">
        <w:rPr>
          <w:rFonts w:ascii="Arial" w:hAnsi="Arial" w:cs="Arial"/>
          <w:noProof/>
        </w:rPr>
        <w:fldChar w:fldCharType="begin">
          <w:fldData xml:space="preserve">PEVuZE5vdGU+PENpdGU+PEF1dGhvcj5QYXJmaXR0PC9BdXRob3I+PFllYXI+MTk4NDwvWWVhcj48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</w:fldData>
        </w:fldChar>
      </w:r>
      <w:r w:rsidR="0000415D">
        <w:rPr>
          <w:rFonts w:ascii="Arial" w:hAnsi="Arial" w:cs="Arial"/>
          <w:noProof/>
        </w:rPr>
        <w:instrText xml:space="preserve"> ADDIN EN.CITE.DATA </w:instrText>
      </w:r>
      <w:r w:rsidR="0000415D">
        <w:rPr>
          <w:rFonts w:ascii="Arial" w:hAnsi="Arial" w:cs="Arial"/>
          <w:noProof/>
        </w:rPr>
      </w:r>
      <w:r w:rsidR="0000415D">
        <w:rPr>
          <w:rFonts w:ascii="Arial" w:hAnsi="Arial" w:cs="Arial"/>
          <w:noProof/>
        </w:rPr>
        <w:fldChar w:fldCharType="end"/>
      </w:r>
      <w:r w:rsidR="006961A1">
        <w:rPr>
          <w:rFonts w:ascii="Arial" w:hAnsi="Arial" w:cs="Arial"/>
          <w:noProof/>
        </w:rPr>
      </w:r>
      <w:r w:rsidR="006961A1">
        <w:rPr>
          <w:rFonts w:ascii="Arial" w:hAnsi="Arial" w:cs="Arial"/>
          <w:noProof/>
        </w:rPr>
        <w:fldChar w:fldCharType="separate"/>
      </w:r>
      <w:r w:rsidR="006961A1">
        <w:rPr>
          <w:rFonts w:ascii="Arial" w:hAnsi="Arial" w:cs="Arial"/>
          <w:noProof/>
        </w:rPr>
        <w:t>(Parfitt, 1984, Chavassieux and Meunier, 2001)</w:t>
      </w:r>
      <w:r w:rsidR="006961A1">
        <w:rPr>
          <w:rFonts w:ascii="Arial" w:hAnsi="Arial" w:cs="Arial"/>
          <w:noProof/>
        </w:rPr>
        <w:fldChar w:fldCharType="end"/>
      </w:r>
      <w:r w:rsidR="005A3EF3">
        <w:rPr>
          <w:rFonts w:ascii="Arial" w:hAnsi="Arial" w:cs="Arial"/>
          <w:noProof/>
        </w:rPr>
        <w:t xml:space="preserve">. </w:t>
      </w:r>
      <w:r>
        <w:rPr>
          <w:rFonts w:ascii="Arial" w:hAnsi="Arial" w:cs="Arial"/>
        </w:rPr>
        <w:t>Therefore, it is hard for elderly adults and osteoporotic patients to exercise vigorously who are already at high risk of bone fractures, and there is need to identify the most effective ways to exercise with maximal benefits for musculoskeletal system.</w:t>
      </w:r>
    </w:p>
    <w:p w14:paraId="4BC9B721" w14:textId="77777777" w:rsidR="00E56E65" w:rsidRDefault="00E56E65" w:rsidP="00E56E65">
      <w:pPr>
        <w:spacing w:line="480" w:lineRule="auto"/>
        <w:jc w:val="both"/>
        <w:rPr>
          <w:rFonts w:ascii="Arial" w:hAnsi="Arial" w:cs="Arial"/>
        </w:rPr>
      </w:pPr>
    </w:p>
    <w:p w14:paraId="148342B6" w14:textId="77777777" w:rsidR="00B23FAC" w:rsidRPr="000127EA" w:rsidRDefault="00E56E65" w:rsidP="000127EA">
      <w:pPr>
        <w:pStyle w:val="Default"/>
        <w:spacing w:line="480" w:lineRule="auto"/>
        <w:contextualSpacing/>
        <w:jc w:val="both"/>
        <w:rPr>
          <w:rFonts w:ascii="Arial" w:hAnsi="Arial" w:cs="Arial"/>
          <w:color w:val="101010"/>
          <w:sz w:val="22"/>
          <w:szCs w:val="22"/>
          <w:lang w:val="en-US" w:eastAsia="en-US"/>
        </w:rPr>
      </w:pPr>
      <w:r>
        <w:rPr>
          <w:rFonts w:ascii="Arial" w:hAnsi="Arial" w:cs="Calibri"/>
          <w:bCs/>
        </w:rPr>
        <w:t xml:space="preserve">Numerous previous studies determined interactions between diet and training exercise with particular emphasis on the effects of pre- and post exercise intake of different sources of dietary proteins or supplements on muscular hypertrophy and strength </w:t>
      </w:r>
      <w:r w:rsidR="006961A1">
        <w:rPr>
          <w:rFonts w:ascii="Arial" w:hAnsi="Arial" w:cs="Calibri"/>
          <w:bCs/>
        </w:rPr>
        <w:fldChar w:fldCharType="begin">
          <w:fldData xml:space="preserve">PEVuZE5vdGU+PENpdGU+PEF1dGhvcj5IYXJ0bWFuPC9BdXRob3I+PFllYXI+MjAwNzwvWWVhcj48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==
</w:fldData>
        </w:fldChar>
      </w:r>
      <w:r w:rsidR="0000415D">
        <w:rPr>
          <w:rFonts w:ascii="Arial" w:hAnsi="Arial" w:cs="Calibri"/>
          <w:bCs/>
        </w:rPr>
        <w:instrText xml:space="preserve"> ADDIN EN.CITE </w:instrText>
      </w:r>
      <w:r w:rsidR="0000415D">
        <w:rPr>
          <w:rFonts w:ascii="Arial" w:hAnsi="Arial" w:cs="Calibri"/>
          <w:bCs/>
        </w:rPr>
        <w:fldChar w:fldCharType="begin">
          <w:fldData xml:space="preserve">PEVuZE5vdGU+PENpdGU+PEF1dGhvcj5IYXJ0bWFuPC9BdXRob3I+PFllYXI+MjAwNzwvWWVhcj48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==
</w:fldData>
        </w:fldChar>
      </w:r>
      <w:r w:rsidR="0000415D">
        <w:rPr>
          <w:rFonts w:ascii="Arial" w:hAnsi="Arial" w:cs="Calibri"/>
          <w:bCs/>
        </w:rPr>
        <w:instrText xml:space="preserve"> ADDIN EN.CITE.DATA </w:instrText>
      </w:r>
      <w:r w:rsidR="0000415D">
        <w:rPr>
          <w:rFonts w:ascii="Arial" w:hAnsi="Arial" w:cs="Calibri"/>
          <w:bCs/>
        </w:rPr>
      </w:r>
      <w:r w:rsidR="0000415D">
        <w:rPr>
          <w:rFonts w:ascii="Arial" w:hAnsi="Arial" w:cs="Calibri"/>
          <w:bCs/>
        </w:rPr>
        <w:fldChar w:fldCharType="end"/>
      </w:r>
      <w:r w:rsidR="006961A1">
        <w:rPr>
          <w:rFonts w:ascii="Arial" w:hAnsi="Arial" w:cs="Calibri"/>
          <w:bCs/>
        </w:rPr>
      </w:r>
      <w:r w:rsidR="006961A1">
        <w:rPr>
          <w:rFonts w:ascii="Arial" w:hAnsi="Arial" w:cs="Calibri"/>
          <w:bCs/>
        </w:rPr>
        <w:fldChar w:fldCharType="separate"/>
      </w:r>
      <w:r w:rsidR="006961A1">
        <w:rPr>
          <w:rFonts w:ascii="Arial" w:hAnsi="Arial" w:cs="Calibri"/>
          <w:bCs/>
          <w:noProof/>
        </w:rPr>
        <w:t>(Hartman et al., 2007, Wilkinson et al., 2007, Stark et al., 2012)</w:t>
      </w:r>
      <w:r w:rsidR="006961A1">
        <w:rPr>
          <w:rFonts w:ascii="Arial" w:hAnsi="Arial" w:cs="Calibri"/>
          <w:bCs/>
        </w:rPr>
        <w:fldChar w:fldCharType="end"/>
      </w:r>
      <w:r w:rsidR="006815EE">
        <w:rPr>
          <w:rFonts w:ascii="Arial" w:hAnsi="Arial" w:cs="Calibri"/>
          <w:bCs/>
        </w:rPr>
        <w:t>.</w:t>
      </w:r>
      <w:r>
        <w:rPr>
          <w:rFonts w:ascii="Arial" w:hAnsi="Arial" w:cs="Calibri"/>
          <w:bCs/>
        </w:rPr>
        <w:t xml:space="preserve"> However, there are no previous studies related to the specific synergistic interactions between bone’s response to exercise/loading and metabolic hormones regulated by timing of feeding. As discussed in </w:t>
      </w:r>
      <w:r w:rsidR="00C61C04">
        <w:rPr>
          <w:rFonts w:ascii="Arial" w:hAnsi="Arial" w:cs="Calibri"/>
          <w:bCs/>
        </w:rPr>
        <w:t xml:space="preserve">the </w:t>
      </w:r>
      <w:r>
        <w:rPr>
          <w:rFonts w:ascii="Arial" w:hAnsi="Arial" w:cs="Calibri"/>
          <w:bCs/>
        </w:rPr>
        <w:t xml:space="preserve">general introduction, central regulation of trophic factors and hormones has direct or indirect effects on bone physiology governed through various intermediary organ systems. Osteoregulatory hormones mediate diurnal variation of bone turnover response to feeding and fasting. Feeding </w:t>
      </w:r>
      <w:r w:rsidR="009B34B1">
        <w:rPr>
          <w:rFonts w:ascii="Arial" w:hAnsi="Arial" w:cs="Calibri"/>
          <w:bCs/>
        </w:rPr>
        <w:t>modulates</w:t>
      </w:r>
      <w:r>
        <w:rPr>
          <w:rFonts w:ascii="Arial" w:hAnsi="Arial" w:cs="Calibri"/>
          <w:bCs/>
        </w:rPr>
        <w:t xml:space="preserve"> bone turnover shifting the balance </w:t>
      </w:r>
      <w:r w:rsidR="009B34B1">
        <w:rPr>
          <w:rFonts w:ascii="Arial" w:hAnsi="Arial" w:cs="Calibri"/>
          <w:bCs/>
        </w:rPr>
        <w:t>to the advantage of</w:t>
      </w:r>
      <w:r>
        <w:rPr>
          <w:rFonts w:ascii="Arial" w:hAnsi="Arial" w:cs="Calibri"/>
          <w:bCs/>
        </w:rPr>
        <w:t xml:space="preserve"> bone formation over bone resorption. Several previous studies assessed osteoclastic bone resorption by measuring </w:t>
      </w:r>
      <w:r w:rsidR="004E3E54">
        <w:rPr>
          <w:rFonts w:ascii="Arial" w:hAnsi="Arial" w:cs="Calibri"/>
          <w:bCs/>
        </w:rPr>
        <w:t>bio</w:t>
      </w:r>
      <w:r>
        <w:rPr>
          <w:rFonts w:ascii="Arial" w:hAnsi="Arial" w:cs="Calibri"/>
          <w:bCs/>
        </w:rPr>
        <w:t xml:space="preserve">markers of bone resorption including serum or urine </w:t>
      </w:r>
      <w:r w:rsidR="004E3E54">
        <w:rPr>
          <w:rFonts w:ascii="Arial" w:hAnsi="Arial" w:cs="Calibri"/>
          <w:bCs/>
        </w:rPr>
        <w:t>C-terminal telopeptide (</w:t>
      </w:r>
      <w:r>
        <w:rPr>
          <w:rFonts w:ascii="Arial" w:hAnsi="Arial" w:cs="Calibri"/>
          <w:bCs/>
        </w:rPr>
        <w:t>CTX</w:t>
      </w:r>
      <w:r w:rsidR="004E3E54">
        <w:rPr>
          <w:rFonts w:ascii="Arial" w:hAnsi="Arial" w:cs="Calibri"/>
          <w:bCs/>
        </w:rPr>
        <w:t>)</w:t>
      </w:r>
      <w:r>
        <w:rPr>
          <w:rFonts w:ascii="Arial" w:hAnsi="Arial" w:cs="Calibri"/>
          <w:bCs/>
        </w:rPr>
        <w:t xml:space="preserve"> and </w:t>
      </w:r>
      <w:r w:rsidR="004E3E54">
        <w:rPr>
          <w:rFonts w:ascii="Arial" w:hAnsi="Arial" w:cs="Calibri"/>
          <w:bCs/>
        </w:rPr>
        <w:t>N-terminal telopeptide (</w:t>
      </w:r>
      <w:r>
        <w:rPr>
          <w:rFonts w:ascii="Arial" w:hAnsi="Arial" w:cs="Calibri"/>
          <w:bCs/>
        </w:rPr>
        <w:t>NTX</w:t>
      </w:r>
      <w:r w:rsidR="004E3E54">
        <w:rPr>
          <w:rFonts w:ascii="Arial" w:hAnsi="Arial" w:cs="Calibri"/>
          <w:bCs/>
        </w:rPr>
        <w:t>)</w:t>
      </w:r>
      <w:r>
        <w:rPr>
          <w:rFonts w:ascii="Arial" w:hAnsi="Arial" w:cs="Calibri"/>
          <w:bCs/>
        </w:rPr>
        <w:t xml:space="preserve"> and revealed that food intake caused acute decrease in postprandial bone resorption, whereas fasting during sleep in humans resulted increase in nocturnal bone resorption </w:t>
      </w:r>
      <w:r w:rsidR="006961A1">
        <w:rPr>
          <w:rFonts w:ascii="Arial" w:hAnsi="Arial" w:cs="Calibri"/>
          <w:bCs/>
        </w:rPr>
        <w:fldChar w:fldCharType="begin">
          <w:fldData xml:space="preserve">PEVuZE5vdGU+PENpdGU+PEF1dGhvcj5CbHVtc29objwvQXV0aG9yPjxZZWFyPjE5OTQ8L1llYXI+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</w:fldData>
        </w:fldChar>
      </w:r>
      <w:r w:rsidR="00B97465">
        <w:rPr>
          <w:rFonts w:ascii="Arial" w:hAnsi="Arial" w:cs="Calibri"/>
          <w:bCs/>
        </w:rPr>
        <w:instrText xml:space="preserve"> ADDIN EN.CITE </w:instrText>
      </w:r>
      <w:r w:rsidR="00B97465">
        <w:rPr>
          <w:rFonts w:ascii="Arial" w:hAnsi="Arial" w:cs="Calibri"/>
          <w:bCs/>
        </w:rPr>
        <w:fldChar w:fldCharType="begin">
          <w:fldData xml:space="preserve">PEVuZE5vdGU+PENpdGU+PEF1dGhvcj5CbHVtc29objwvQXV0aG9yPjxZZWFyPjE5OTQ8L1llYXI+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</w:fldData>
        </w:fldChar>
      </w:r>
      <w:r w:rsidR="00B97465">
        <w:rPr>
          <w:rFonts w:ascii="Arial" w:hAnsi="Arial" w:cs="Calibri"/>
          <w:bCs/>
        </w:rPr>
        <w:instrText xml:space="preserve"> ADDIN EN.CITE.DATA </w:instrText>
      </w:r>
      <w:r w:rsidR="00B97465">
        <w:rPr>
          <w:rFonts w:ascii="Arial" w:hAnsi="Arial" w:cs="Calibri"/>
          <w:bCs/>
        </w:rPr>
      </w:r>
      <w:r w:rsidR="00B97465">
        <w:rPr>
          <w:rFonts w:ascii="Arial" w:hAnsi="Arial" w:cs="Calibri"/>
          <w:bCs/>
        </w:rPr>
        <w:fldChar w:fldCharType="end"/>
      </w:r>
      <w:r w:rsidR="006961A1">
        <w:rPr>
          <w:rFonts w:ascii="Arial" w:hAnsi="Arial" w:cs="Calibri"/>
          <w:bCs/>
        </w:rPr>
      </w:r>
      <w:r w:rsidR="006961A1">
        <w:rPr>
          <w:rFonts w:ascii="Arial" w:hAnsi="Arial" w:cs="Calibri"/>
          <w:bCs/>
        </w:rPr>
        <w:fldChar w:fldCharType="separate"/>
      </w:r>
      <w:r w:rsidR="006961A1">
        <w:rPr>
          <w:rFonts w:ascii="Arial" w:hAnsi="Arial" w:cs="Calibri"/>
          <w:bCs/>
          <w:noProof/>
        </w:rPr>
        <w:t>(Blumsohn et al., 1994, Clowes et al., 2002, Henriksen et al., 2003b)</w:t>
      </w:r>
      <w:r w:rsidR="006961A1">
        <w:rPr>
          <w:rFonts w:ascii="Arial" w:hAnsi="Arial" w:cs="Calibri"/>
          <w:bCs/>
        </w:rPr>
        <w:fldChar w:fldCharType="end"/>
      </w:r>
      <w:r w:rsidR="00A16D79">
        <w:rPr>
          <w:rFonts w:ascii="Arial" w:hAnsi="Arial" w:cs="Calibri"/>
          <w:bCs/>
        </w:rPr>
        <w:t>.</w:t>
      </w:r>
      <w:r>
        <w:rPr>
          <w:rFonts w:ascii="Arial" w:hAnsi="Arial" w:cs="Calibri"/>
          <w:bCs/>
        </w:rPr>
        <w:t xml:space="preserve"> However, the mechanisms underlying the acute effects of feeding and fasting on bone turnover are not fully understood. </w:t>
      </w:r>
    </w:p>
    <w:p w14:paraId="0AA2EBCE" w14:textId="77777777" w:rsidR="00E56E65" w:rsidRDefault="00BB6B5E" w:rsidP="00E56E65">
      <w:pPr>
        <w:spacing w:line="480" w:lineRule="auto"/>
        <w:jc w:val="both"/>
        <w:rPr>
          <w:rFonts w:ascii="Arial" w:hAnsi="Arial" w:cs="Calibri"/>
          <w:bCs/>
          <w:color w:val="000000"/>
        </w:rPr>
      </w:pPr>
      <w:r>
        <w:rPr>
          <w:rFonts w:ascii="Arial" w:hAnsi="Arial" w:cs="Calibri"/>
          <w:bCs/>
          <w:color w:val="000000"/>
        </w:rPr>
        <w:lastRenderedPageBreak/>
        <w:t xml:space="preserve">Bone is </w:t>
      </w:r>
      <w:r w:rsidR="00E56E65">
        <w:rPr>
          <w:rFonts w:ascii="Arial" w:hAnsi="Arial" w:cs="Calibri"/>
          <w:bCs/>
          <w:color w:val="000000"/>
        </w:rPr>
        <w:t xml:space="preserve">an endocrine organ affecting energy metabolism and other physiological functions </w:t>
      </w:r>
      <w:r w:rsidR="006961A1">
        <w:rPr>
          <w:rFonts w:ascii="Arial" w:hAnsi="Arial" w:cs="Calibri"/>
          <w:bCs/>
          <w:color w:val="000000"/>
        </w:rPr>
        <w:fldChar w:fldCharType="begin">
          <w:fldData xml:space="preserve">PEVuZE5vdGU+PENpdGU+PEF1dGhvcj5GZXJyb248L0F1dGhvcj48WWVhcj4yMDA4PC9ZZWFyPjxS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</w:fldData>
        </w:fldChar>
      </w:r>
      <w:r w:rsidR="00651EFF">
        <w:rPr>
          <w:rFonts w:ascii="Arial" w:hAnsi="Arial" w:cs="Calibri"/>
          <w:bCs/>
          <w:color w:val="000000"/>
        </w:rPr>
        <w:instrText xml:space="preserve"> ADDIN EN.CITE </w:instrText>
      </w:r>
      <w:r w:rsidR="00651EFF">
        <w:rPr>
          <w:rFonts w:ascii="Arial" w:hAnsi="Arial" w:cs="Calibri"/>
          <w:bCs/>
          <w:color w:val="000000"/>
        </w:rPr>
        <w:fldChar w:fldCharType="begin">
          <w:fldData xml:space="preserve">PEVuZE5vdGU+PENpdGU+PEF1dGhvcj5GZXJyb248L0F1dGhvcj48WWVhcj4yMDA4PC9ZZWFyPjxS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</w:fldData>
        </w:fldChar>
      </w:r>
      <w:r w:rsidR="00651EFF">
        <w:rPr>
          <w:rFonts w:ascii="Arial" w:hAnsi="Arial" w:cs="Calibri"/>
          <w:bCs/>
          <w:color w:val="000000"/>
        </w:rPr>
        <w:instrText xml:space="preserve"> ADDIN EN.CITE.DATA </w:instrText>
      </w:r>
      <w:r w:rsidR="00651EFF">
        <w:rPr>
          <w:rFonts w:ascii="Arial" w:hAnsi="Arial" w:cs="Calibri"/>
          <w:bCs/>
          <w:color w:val="000000"/>
        </w:rPr>
      </w:r>
      <w:r w:rsidR="00651EFF">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51EFF">
        <w:rPr>
          <w:rFonts w:ascii="Arial" w:hAnsi="Arial" w:cs="Calibri"/>
          <w:bCs/>
          <w:noProof/>
          <w:color w:val="000000"/>
        </w:rPr>
        <w:t>(Ferron et al., 2008, Hinoi et al., 2009, Guntur and Rosen, 2012, Karsenty and Ferron, 2012, De Paula and Rosen, 2013)</w:t>
      </w:r>
      <w:r w:rsidR="006961A1">
        <w:rPr>
          <w:rFonts w:ascii="Arial" w:hAnsi="Arial" w:cs="Calibri"/>
          <w:bCs/>
          <w:color w:val="000000"/>
        </w:rPr>
        <w:fldChar w:fldCharType="end"/>
      </w:r>
      <w:r w:rsidR="0053560C">
        <w:rPr>
          <w:rFonts w:ascii="Arial" w:hAnsi="Arial" w:cs="Calibri"/>
          <w:bCs/>
          <w:color w:val="000000"/>
        </w:rPr>
        <w:t xml:space="preserve">. </w:t>
      </w:r>
      <w:r w:rsidR="004913FE">
        <w:rPr>
          <w:rFonts w:ascii="Arial" w:hAnsi="Arial" w:cs="Calibri"/>
          <w:bCs/>
          <w:color w:val="000000"/>
        </w:rPr>
        <w:t>As discussed in section 1.1.1 o</w:t>
      </w:r>
      <w:r w:rsidR="00E56E65">
        <w:rPr>
          <w:rFonts w:ascii="Arial" w:hAnsi="Arial" w:cs="Calibri"/>
          <w:bCs/>
          <w:color w:val="000000"/>
        </w:rPr>
        <w:t>steocalcin, a bone</w:t>
      </w:r>
      <w:r w:rsidR="004913FE">
        <w:rPr>
          <w:rFonts w:ascii="Arial" w:hAnsi="Arial" w:cs="Calibri"/>
          <w:bCs/>
          <w:color w:val="000000"/>
        </w:rPr>
        <w:t xml:space="preserve"> derived multifunctional hormone, is shown to stimulate</w:t>
      </w:r>
      <w:r w:rsidR="00E56E65">
        <w:rPr>
          <w:rFonts w:ascii="Arial" w:hAnsi="Arial" w:cs="Calibri"/>
          <w:bCs/>
          <w:color w:val="000000"/>
        </w:rPr>
        <w:t xml:space="preserve"> insulin secretion and </w:t>
      </w:r>
      <w:r w:rsidR="00E56E65">
        <w:rPr>
          <w:rFonts w:ascii="Arial" w:hAnsi="Arial" w:cs="Arial"/>
          <w:bCs/>
          <w:color w:val="000000"/>
        </w:rPr>
        <w:t>β</w:t>
      </w:r>
      <w:r w:rsidR="00E56E65">
        <w:rPr>
          <w:rFonts w:ascii="Arial" w:hAnsi="Arial" w:cs="Calibri"/>
          <w:bCs/>
          <w:color w:val="000000"/>
        </w:rPr>
        <w:t xml:space="preserve"> cell proliferation in pancreas, energy expenditure by muscle and insulin sensitivity in liver, muscle and white adipose tissue. </w:t>
      </w:r>
      <w:r w:rsidR="004913FE">
        <w:rPr>
          <w:rFonts w:ascii="Arial" w:hAnsi="Arial" w:cs="Calibri"/>
          <w:bCs/>
          <w:color w:val="000000"/>
        </w:rPr>
        <w:t xml:space="preserve">Additionally, </w:t>
      </w:r>
      <w:r w:rsidR="00E56E65">
        <w:rPr>
          <w:rFonts w:ascii="Arial" w:hAnsi="Arial" w:cs="Calibri"/>
          <w:bCs/>
          <w:color w:val="000000"/>
        </w:rPr>
        <w:t xml:space="preserve">osteocalcin </w:t>
      </w:r>
      <w:r w:rsidR="004913FE">
        <w:rPr>
          <w:rFonts w:ascii="Arial" w:hAnsi="Arial" w:cs="Calibri"/>
          <w:bCs/>
          <w:color w:val="000000"/>
        </w:rPr>
        <w:t>may regulate</w:t>
      </w:r>
      <w:r w:rsidR="00E56E65">
        <w:rPr>
          <w:rFonts w:ascii="Arial" w:hAnsi="Arial" w:cs="Calibri"/>
          <w:bCs/>
          <w:color w:val="000000"/>
        </w:rPr>
        <w:t xml:space="preserve"> male fertility by stimulating testosterone synthesis in Leydig cells of testis</w:t>
      </w:r>
      <w:r w:rsidR="004913FE">
        <w:rPr>
          <w:rFonts w:ascii="Arial" w:hAnsi="Arial" w:cs="Calibri"/>
          <w:bCs/>
          <w:color w:val="000000"/>
        </w:rPr>
        <w:t>, Figure 1</w:t>
      </w:r>
      <w:r w:rsidR="00E56E65">
        <w:rPr>
          <w:rFonts w:ascii="Arial" w:hAnsi="Arial" w:cs="Calibri"/>
          <w:bCs/>
          <w:color w:val="000000"/>
        </w:rPr>
        <w:t xml:space="preserve"> </w:t>
      </w:r>
      <w:r w:rsidR="006961A1">
        <w:rPr>
          <w:rFonts w:ascii="Arial" w:hAnsi="Arial" w:cs="Calibri"/>
          <w:bCs/>
          <w:color w:val="000000"/>
        </w:rPr>
        <w:fldChar w:fldCharType="begin">
          <w:fldData xml:space="preserve">PEVuZE5vdGU+PENpdGU+PEF1dGhvcj5MZWU8L0F1dGhvcj48WWVhcj4yMDA3PC9ZZWFyPjxSZWNO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</w:fldData>
        </w:fldChar>
      </w:r>
      <w:r w:rsidR="00651EFF">
        <w:rPr>
          <w:rFonts w:ascii="Arial" w:hAnsi="Arial" w:cs="Calibri"/>
          <w:bCs/>
          <w:color w:val="000000"/>
        </w:rPr>
        <w:instrText xml:space="preserve"> ADDIN EN.CITE </w:instrText>
      </w:r>
      <w:r w:rsidR="00651EFF">
        <w:rPr>
          <w:rFonts w:ascii="Arial" w:hAnsi="Arial" w:cs="Calibri"/>
          <w:bCs/>
          <w:color w:val="000000"/>
        </w:rPr>
        <w:fldChar w:fldCharType="begin">
          <w:fldData xml:space="preserve">PEVuZE5vdGU+PENpdGU+PEF1dGhvcj5MZWU8L0F1dGhvcj48WWVhcj4yMDA3PC9ZZWFyPjxSZWNO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</w:fldData>
        </w:fldChar>
      </w:r>
      <w:r w:rsidR="00651EFF">
        <w:rPr>
          <w:rFonts w:ascii="Arial" w:hAnsi="Arial" w:cs="Calibri"/>
          <w:bCs/>
          <w:color w:val="000000"/>
        </w:rPr>
        <w:instrText xml:space="preserve"> ADDIN EN.CITE.DATA </w:instrText>
      </w:r>
      <w:r w:rsidR="00651EFF">
        <w:rPr>
          <w:rFonts w:ascii="Arial" w:hAnsi="Arial" w:cs="Calibri"/>
          <w:bCs/>
          <w:color w:val="000000"/>
        </w:rPr>
      </w:r>
      <w:r w:rsidR="00651EFF">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961A1">
        <w:rPr>
          <w:rFonts w:ascii="Arial" w:hAnsi="Arial" w:cs="Calibri"/>
          <w:bCs/>
          <w:noProof/>
          <w:color w:val="000000"/>
        </w:rPr>
        <w:t>(Lee et al., 2007, Ferron et al., 2008, Oury et al., 2011, Karsenty, 2014)</w:t>
      </w:r>
      <w:r w:rsidR="006961A1">
        <w:rPr>
          <w:rFonts w:ascii="Arial" w:hAnsi="Arial" w:cs="Calibri"/>
          <w:bCs/>
          <w:color w:val="000000"/>
        </w:rPr>
        <w:fldChar w:fldCharType="end"/>
      </w:r>
      <w:r w:rsidR="004913FE">
        <w:rPr>
          <w:rFonts w:ascii="Arial" w:hAnsi="Arial" w:cs="Calibri"/>
          <w:bCs/>
          <w:color w:val="000000"/>
        </w:rPr>
        <w:t xml:space="preserve">. </w:t>
      </w:r>
    </w:p>
    <w:p w14:paraId="273CED58" w14:textId="77777777" w:rsidR="00E56E65" w:rsidRDefault="00E56E65" w:rsidP="00E56E65">
      <w:pPr>
        <w:spacing w:line="480" w:lineRule="auto"/>
        <w:jc w:val="both"/>
        <w:rPr>
          <w:rFonts w:ascii="Arial" w:hAnsi="Arial" w:cs="Calibri"/>
          <w:bCs/>
          <w:color w:val="000000"/>
        </w:rPr>
      </w:pPr>
    </w:p>
    <w:p w14:paraId="676A0296" w14:textId="77777777" w:rsidR="00E56E65" w:rsidRDefault="00E56E65" w:rsidP="00E56E65">
      <w:pPr>
        <w:spacing w:line="480" w:lineRule="auto"/>
        <w:jc w:val="both"/>
        <w:rPr>
          <w:rFonts w:ascii="Arial" w:hAnsi="Arial" w:cs="Calibri"/>
          <w:bCs/>
          <w:color w:val="000000"/>
        </w:rPr>
      </w:pPr>
      <w:r>
        <w:rPr>
          <w:rFonts w:ascii="Arial" w:hAnsi="Arial" w:cs="Calibri"/>
          <w:bCs/>
          <w:color w:val="000000"/>
        </w:rPr>
        <w:t xml:space="preserve">In addition to the age related changes in bone cells and local regulation of bone remodelling, ageing also affects systemic regulation of bone. The role of sex steroids including oestrogens and androgens in age related bone loss has been widely studied in women and men </w:t>
      </w:r>
      <w:r w:rsidR="006961A1">
        <w:rPr>
          <w:rFonts w:ascii="Arial" w:hAnsi="Arial" w:cs="Calibri"/>
          <w:bCs/>
          <w:color w:val="000000"/>
        </w:rPr>
        <w:fldChar w:fldCharType="begin">
          <w:fldData xml:space="preserve">PEVuZE5vdGU+PENpdGU+PEF1dGhvcj5GdWppdGE8L0F1dGhvcj48WWVhcj4yMDAxPC9ZZWFyPjxS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PEVuZE5vdGU+PENpdGU+PEF1dGhvcj5GdWppdGE8L0F1dGhvcj48WWVhcj4yMDAxPC9ZZWFyPjxS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961A1">
        <w:rPr>
          <w:rFonts w:ascii="Arial" w:hAnsi="Arial" w:cs="Calibri"/>
          <w:bCs/>
          <w:noProof/>
          <w:color w:val="000000"/>
        </w:rPr>
        <w:t>(Fujita et al., 2001, Windahl et al., 2002, Nilsson and Gustafsson, 2010, Sinnesael et al., 2012)</w:t>
      </w:r>
      <w:r w:rsidR="006961A1">
        <w:rPr>
          <w:rFonts w:ascii="Arial" w:hAnsi="Arial" w:cs="Calibri"/>
          <w:bCs/>
          <w:color w:val="000000"/>
        </w:rPr>
        <w:fldChar w:fldCharType="end"/>
      </w:r>
      <w:r w:rsidR="00382877">
        <w:rPr>
          <w:rFonts w:ascii="Arial" w:hAnsi="Arial" w:cs="Calibri"/>
          <w:bCs/>
          <w:color w:val="000000"/>
        </w:rPr>
        <w:t xml:space="preserve">. </w:t>
      </w:r>
      <w:r>
        <w:rPr>
          <w:rFonts w:ascii="Arial" w:hAnsi="Arial" w:cs="Calibri"/>
          <w:bCs/>
          <w:color w:val="000000"/>
        </w:rPr>
        <w:t xml:space="preserve">During menopause, decline in circulating concentrations of oestrogen in women leads to the reduction of trabecular and cortical bone mass due to loss of suppressive effects of oestrogen on bone resorption </w:t>
      </w:r>
      <w:r w:rsidR="006961A1">
        <w:rPr>
          <w:rFonts w:ascii="Arial" w:hAnsi="Arial" w:cs="Calibri"/>
          <w:bCs/>
          <w:color w:val="000000"/>
        </w:rPr>
        <w:fldChar w:fldCharType="begin"/>
      </w:r>
      <w:r w:rsidR="00A108A1">
        <w:rPr>
          <w:rFonts w:ascii="Arial" w:hAnsi="Arial" w:cs="Calibri"/>
          <w:bCs/>
          <w:color w:val="000000"/>
        </w:rPr>
        <w:instrText xml:space="preserve"> ADDIN EN.CITE &lt;EndNote&gt;&lt;Cite&gt;&lt;Author&gt;Riggs&lt;/Author&gt;&lt;Year&gt;2002&lt;/Year&gt;&lt;RecNum&gt;82&lt;/RecNum&gt;&lt;DisplayText&gt;(Riggs et al., 2002, Manolagas, 2010)&lt;/DisplayText&gt;&lt;record&gt;&lt;rec-number&gt;82&lt;/rec-number&gt;&lt;foreign-keys&gt;&lt;key app="EN" db-id="ae9rewfrpdttrheppfxxv0p4950wpd25r09x" timestamp="1520657797"&gt;82&lt;/key&gt;&lt;/foreign-keys&gt;&lt;ref-type name="Journal Article"&gt;17&lt;/ref-type&gt;&lt;contributors&gt;&lt;authors&gt;&lt;author&gt;Riggs, B. Lawrence&lt;/author&gt;&lt;author&gt;Khosla, Sundeep&lt;/author&gt;&lt;author&gt;Melton Iii, L. Joseph&lt;/author&gt;&lt;/authors&gt;&lt;/contributors&gt;&lt;titles&gt;&lt;title&gt;Sex steroids and the construction and conservation of the adult skeleton&lt;/title&gt;&lt;secondary-title&gt;Endocrine Reviews&lt;/secondary-title&gt;&lt;/titles&gt;&lt;periodical&gt;&lt;full-title&gt;Endocrine Reviews&lt;/full-title&gt;&lt;/periodical&gt;&lt;pages&gt;279-302&lt;/pages&gt;&lt;volume&gt;23&lt;/volume&gt;&lt;number&gt;3&lt;/number&gt;&lt;dates&gt;&lt;year&gt;2002&lt;/year&gt;&lt;/dates&gt;&lt;isbn&gt;0163769X&lt;/isbn&gt;&lt;urls&gt;&lt;/urls&gt;&lt;electronic-resource-num&gt;10.1210/er.23.3.279&lt;/electronic-resource-num&gt;&lt;/record&gt;&lt;/Cite&gt;&lt;Cite&gt;&lt;Author&gt;Manolagas&lt;/Author&gt;&lt;Year&gt;2010&lt;/Year&gt;&lt;RecNum&gt;327&lt;/RecNum&gt;&lt;record&gt;&lt;rec-number&gt;327&lt;/rec-number&gt;&lt;foreign-keys&gt;&lt;key app="EN" db-id="ae9rewfrpdttrheppfxxv0p4950wpd25r09x" timestamp="1520658297"&gt;327&lt;/key&gt;&lt;/foreign-keys&gt;&lt;ref-type name="Journal Article"&gt;17&lt;/ref-type&gt;&lt;contributors&gt;&lt;authors&gt;&lt;author&gt;Manolagas, Stavros C.&lt;/author&gt;&lt;/authors&gt;&lt;/contributors&gt;&lt;titles&gt;&lt;title&gt;From Estrogen- Centric to Aging and Oxidative Stress: A Revised Perspective of the Pathogenesis of Osteoporosis&lt;/title&gt;&lt;secondary-title&gt;Endocrine Reviews&lt;/secondary-title&gt;&lt;/titles&gt;&lt;periodical&gt;&lt;full-title&gt;Endocrine Reviews&lt;/full-title&gt;&lt;/periodical&gt;&lt;pages&gt;266-300&lt;/pages&gt;&lt;volume&gt;31&lt;/volume&gt;&lt;number&gt;3&lt;/number&gt;&lt;keywords&gt;&lt;keyword&gt;Medicine&lt;/keyword&gt;&lt;keyword&gt;Anatomy &amp;amp;amp&lt;/keyword&gt;&lt;keyword&gt;Physiology&lt;/keyword&gt;&lt;/keywords&gt;&lt;dates&gt;&lt;year&gt;2010&lt;/year&gt;&lt;/dates&gt;&lt;isbn&gt;0163-769X&lt;/isbn&gt;&lt;urls&gt;&lt;/urls&gt;&lt;electronic-resource-num&gt;10.1210/er.2009-0024&lt;/electronic-resource-num&gt;&lt;/record&gt;&lt;/Cite&gt;&lt;/EndNote&gt;</w:instrText>
      </w:r>
      <w:r w:rsidR="006961A1">
        <w:rPr>
          <w:rFonts w:ascii="Arial" w:hAnsi="Arial" w:cs="Calibri"/>
          <w:bCs/>
          <w:color w:val="000000"/>
        </w:rPr>
        <w:fldChar w:fldCharType="separate"/>
      </w:r>
      <w:r w:rsidR="006961A1">
        <w:rPr>
          <w:rFonts w:ascii="Arial" w:hAnsi="Arial" w:cs="Calibri"/>
          <w:bCs/>
          <w:noProof/>
          <w:color w:val="000000"/>
        </w:rPr>
        <w:t>(Riggs et al., 2002, Manolagas, 2010)</w:t>
      </w:r>
      <w:r w:rsidR="006961A1">
        <w:rPr>
          <w:rFonts w:ascii="Arial" w:hAnsi="Arial" w:cs="Calibri"/>
          <w:bCs/>
          <w:color w:val="000000"/>
        </w:rPr>
        <w:fldChar w:fldCharType="end"/>
      </w:r>
      <w:r w:rsidR="00B624C4">
        <w:rPr>
          <w:rFonts w:ascii="Arial" w:hAnsi="Arial" w:cs="Calibri"/>
          <w:bCs/>
          <w:color w:val="000000"/>
        </w:rPr>
        <w:t xml:space="preserve">. </w:t>
      </w:r>
      <w:r>
        <w:rPr>
          <w:rFonts w:ascii="Arial" w:hAnsi="Arial" w:cs="Calibri"/>
          <w:bCs/>
          <w:color w:val="000000"/>
        </w:rPr>
        <w:t xml:space="preserve">The effect of testosterone on bone is similar to that of oestrogen. It reduces bone resorption and increases bone formation by stimulating osteoblast proliferation and supressing osteoclastogenesis and osteoblast apoptosis </w:t>
      </w:r>
      <w:r w:rsidR="006961A1">
        <w:rPr>
          <w:rFonts w:ascii="Arial" w:hAnsi="Arial" w:cs="Calibri"/>
          <w:bCs/>
          <w:color w:val="000000"/>
        </w:rPr>
        <w:fldChar w:fldCharType="begin">
          <w:fldData xml:space="preserve">PEVuZE5vdGU+PENpdGU+PEF1dGhvcj5GdWppdGE8L0F1dGhvcj48WWVhcj4yMDAxPC9ZZWFyPjxS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PEVuZE5vdGU+PENpdGU+PEF1dGhvcj5GdWppdGE8L0F1dGhvcj48WWVhcj4yMDAxPC9ZZWFyPjxS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961A1">
        <w:rPr>
          <w:rFonts w:ascii="Arial" w:hAnsi="Arial" w:cs="Calibri"/>
          <w:bCs/>
          <w:noProof/>
          <w:color w:val="000000"/>
        </w:rPr>
        <w:t>(Fujita et al., 2001, Khosla et al., 2001, Sinnesael et al., 2012)</w:t>
      </w:r>
      <w:r w:rsidR="006961A1">
        <w:rPr>
          <w:rFonts w:ascii="Arial" w:hAnsi="Arial" w:cs="Calibri"/>
          <w:bCs/>
          <w:color w:val="000000"/>
        </w:rPr>
        <w:fldChar w:fldCharType="end"/>
      </w:r>
      <w:r w:rsidR="00686BF9">
        <w:rPr>
          <w:rFonts w:ascii="Arial" w:hAnsi="Arial" w:cs="Calibri"/>
          <w:bCs/>
          <w:color w:val="000000"/>
        </w:rPr>
        <w:t>.</w:t>
      </w:r>
      <w:r w:rsidR="00D82DC3">
        <w:rPr>
          <w:rFonts w:ascii="Arial" w:hAnsi="Arial" w:cs="Calibri"/>
          <w:bCs/>
          <w:color w:val="000000"/>
        </w:rPr>
        <w:t xml:space="preserve"> </w:t>
      </w:r>
    </w:p>
    <w:p w14:paraId="68F2287B" w14:textId="77777777" w:rsidR="00686BF9" w:rsidRDefault="00686BF9" w:rsidP="00E56E65">
      <w:pPr>
        <w:spacing w:line="480" w:lineRule="auto"/>
        <w:jc w:val="both"/>
        <w:rPr>
          <w:rFonts w:ascii="Arial" w:hAnsi="Arial" w:cs="Calibri"/>
          <w:bCs/>
          <w:color w:val="000000"/>
        </w:rPr>
      </w:pPr>
    </w:p>
    <w:p w14:paraId="2D07D76B" w14:textId="77777777" w:rsidR="00E56E65" w:rsidRDefault="00E56E65" w:rsidP="00E56E65">
      <w:pPr>
        <w:spacing w:line="480" w:lineRule="auto"/>
        <w:jc w:val="both"/>
        <w:rPr>
          <w:rFonts w:ascii="Arial" w:hAnsi="Arial" w:cs="Calibri"/>
          <w:bCs/>
          <w:color w:val="000000"/>
        </w:rPr>
      </w:pPr>
      <w:r>
        <w:rPr>
          <w:rFonts w:ascii="Arial" w:hAnsi="Arial" w:cs="Calibri"/>
          <w:bCs/>
          <w:color w:val="000000"/>
        </w:rPr>
        <w:t xml:space="preserve">Parathyroid hormone (PTH) is one of the main and perhaps well-understood osteoregulatory hormones. The truncated version of </w:t>
      </w:r>
      <w:r w:rsidR="00686BF9">
        <w:rPr>
          <w:rFonts w:ascii="Arial" w:hAnsi="Arial" w:cs="Calibri"/>
          <w:bCs/>
          <w:color w:val="000000"/>
        </w:rPr>
        <w:t xml:space="preserve">PTH </w:t>
      </w:r>
      <w:r>
        <w:rPr>
          <w:rFonts w:ascii="Arial" w:hAnsi="Arial" w:cs="Calibri"/>
          <w:bCs/>
          <w:color w:val="000000"/>
        </w:rPr>
        <w:t xml:space="preserve">(teriparatide PTH (1-34)) is the only licenced anabolic treatment used intermittently for disorders </w:t>
      </w:r>
      <w:r w:rsidR="00790455">
        <w:rPr>
          <w:rFonts w:ascii="Arial" w:hAnsi="Arial" w:cs="Calibri"/>
          <w:bCs/>
          <w:color w:val="000000"/>
        </w:rPr>
        <w:t>of</w:t>
      </w:r>
      <w:r>
        <w:rPr>
          <w:rFonts w:ascii="Arial" w:hAnsi="Arial" w:cs="Calibri"/>
          <w:bCs/>
          <w:color w:val="000000"/>
        </w:rPr>
        <w:t xml:space="preserve"> low b</w:t>
      </w:r>
      <w:r w:rsidR="008F387D">
        <w:rPr>
          <w:rFonts w:ascii="Arial" w:hAnsi="Arial" w:cs="Calibri"/>
          <w:bCs/>
          <w:color w:val="000000"/>
        </w:rPr>
        <w:t>one mass including osteoporosis</w:t>
      </w:r>
      <w:r w:rsidR="00680050">
        <w:rPr>
          <w:rFonts w:ascii="Arial" w:hAnsi="Arial" w:cs="Calibri"/>
          <w:bCs/>
          <w:color w:val="000000"/>
        </w:rPr>
        <w:t xml:space="preserve"> </w:t>
      </w:r>
      <w:r w:rsidR="006961A1">
        <w:rPr>
          <w:rFonts w:ascii="Arial" w:hAnsi="Arial" w:cs="Calibri"/>
          <w:bCs/>
          <w:color w:val="000000"/>
        </w:rPr>
        <w:fldChar w:fldCharType="begin">
          <w:fldData xml:space="preserve">PEVuZE5vdGU+PENpdGU+PEF1dGhvcj5Qb3R0czwvQXV0aG9yPjxZZWFyPjIwMDU8L1llYXI+PFJl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PEVuZE5vdGU+PENpdGU+PEF1dGhvcj5Qb3R0czwvQXV0aG9yPjxZZWFyPjIwMDU8L1llYXI+PFJl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961A1">
        <w:rPr>
          <w:rFonts w:ascii="Arial" w:hAnsi="Arial" w:cs="Calibri"/>
          <w:bCs/>
          <w:noProof/>
          <w:color w:val="000000"/>
        </w:rPr>
        <w:t>(Potts, 2005, Cranney et al., 2006, Tashjian and Gagel, 2006, Greenspan et al., 2007, Vestergaard et al., 2007, Schwarz et al., 2012)</w:t>
      </w:r>
      <w:r w:rsidR="006961A1">
        <w:rPr>
          <w:rFonts w:ascii="Arial" w:hAnsi="Arial" w:cs="Calibri"/>
          <w:bCs/>
          <w:color w:val="000000"/>
        </w:rPr>
        <w:fldChar w:fldCharType="end"/>
      </w:r>
      <w:r w:rsidR="00680050">
        <w:rPr>
          <w:rFonts w:ascii="Arial" w:hAnsi="Arial" w:cs="Calibri"/>
          <w:bCs/>
          <w:color w:val="000000"/>
        </w:rPr>
        <w:t>.</w:t>
      </w:r>
      <w:r>
        <w:rPr>
          <w:rFonts w:ascii="Arial" w:hAnsi="Arial" w:cs="Calibri"/>
          <w:bCs/>
          <w:color w:val="000000"/>
        </w:rPr>
        <w:t xml:space="preserve"> Replacement </w:t>
      </w:r>
      <w:r>
        <w:rPr>
          <w:rFonts w:ascii="Arial" w:hAnsi="Arial" w:cs="Calibri"/>
          <w:bCs/>
          <w:color w:val="000000"/>
        </w:rPr>
        <w:lastRenderedPageBreak/>
        <w:t xml:space="preserve">therapies with PTH peptides (recombinant human rhPTH (1-84)) have recently become available for management of hypoparathyroidism, a rare disorder of unbalanced mineral homeostasis characterised with absent or low levels of endogenous PTH </w:t>
      </w:r>
      <w:r w:rsidR="006961A1">
        <w:rPr>
          <w:rFonts w:ascii="Arial" w:hAnsi="Arial" w:cs="Calibri"/>
          <w:bCs/>
          <w:color w:val="000000"/>
        </w:rPr>
        <w:fldChar w:fldCharType="begin">
          <w:fldData xml:space="preserve">PEVuZE5vdGU+PENpdGU+PEF1dGhvcj5CaWxlemlraWFuPC9BdXRob3I+PFllYXI+MjAxNjwvWWVh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==
</w:fldData>
        </w:fldChar>
      </w:r>
      <w:r w:rsidR="00B97465">
        <w:rPr>
          <w:rFonts w:ascii="Arial" w:hAnsi="Arial" w:cs="Calibri"/>
          <w:bCs/>
          <w:color w:val="000000"/>
        </w:rPr>
        <w:instrText xml:space="preserve"> ADDIN EN.CITE </w:instrText>
      </w:r>
      <w:r w:rsidR="00B97465">
        <w:rPr>
          <w:rFonts w:ascii="Arial" w:hAnsi="Arial" w:cs="Calibri"/>
          <w:bCs/>
          <w:color w:val="000000"/>
        </w:rPr>
        <w:fldChar w:fldCharType="begin">
          <w:fldData xml:space="preserve">PEVuZE5vdGU+PENpdGU+PEF1dGhvcj5CaWxlemlraWFuPC9BdXRob3I+PFllYXI+MjAxNjwvWWVh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==
</w:fldData>
        </w:fldChar>
      </w:r>
      <w:r w:rsidR="00B97465">
        <w:rPr>
          <w:rFonts w:ascii="Arial" w:hAnsi="Arial" w:cs="Calibri"/>
          <w:bCs/>
          <w:color w:val="000000"/>
        </w:rPr>
        <w:instrText xml:space="preserve"> ADDIN EN.CITE.DATA </w:instrText>
      </w:r>
      <w:r w:rsidR="00B97465">
        <w:rPr>
          <w:rFonts w:ascii="Arial" w:hAnsi="Arial" w:cs="Calibri"/>
          <w:bCs/>
          <w:color w:val="000000"/>
        </w:rPr>
      </w:r>
      <w:r w:rsidR="00B97465">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961A1">
        <w:rPr>
          <w:rFonts w:ascii="Arial" w:hAnsi="Arial" w:cs="Calibri"/>
          <w:bCs/>
          <w:noProof/>
          <w:color w:val="000000"/>
        </w:rPr>
        <w:t>(Bilezikian et al., 2016, Ruiye et al., 2016, Clarke et al., 2016)</w:t>
      </w:r>
      <w:r w:rsidR="006961A1">
        <w:rPr>
          <w:rFonts w:ascii="Arial" w:hAnsi="Arial" w:cs="Calibri"/>
          <w:bCs/>
          <w:color w:val="000000"/>
        </w:rPr>
        <w:fldChar w:fldCharType="end"/>
      </w:r>
      <w:r w:rsidR="00BA3821">
        <w:rPr>
          <w:rFonts w:ascii="Arial" w:hAnsi="Arial" w:cs="Calibri"/>
          <w:bCs/>
          <w:color w:val="000000"/>
        </w:rPr>
        <w:t xml:space="preserve">. </w:t>
      </w:r>
      <w:r w:rsidR="00EB1605">
        <w:rPr>
          <w:rFonts w:ascii="Arial" w:hAnsi="Arial" w:cs="Calibri"/>
          <w:bCs/>
          <w:color w:val="000000"/>
        </w:rPr>
        <w:t>PTH is secreted from</w:t>
      </w:r>
      <w:r>
        <w:rPr>
          <w:rFonts w:ascii="Arial" w:hAnsi="Arial" w:cs="Calibri"/>
          <w:bCs/>
          <w:color w:val="000000"/>
        </w:rPr>
        <w:t xml:space="preserve"> </w:t>
      </w:r>
      <w:r w:rsidR="00EB1605">
        <w:rPr>
          <w:rFonts w:ascii="Arial" w:hAnsi="Arial" w:cs="Calibri"/>
          <w:bCs/>
          <w:color w:val="000000"/>
        </w:rPr>
        <w:t xml:space="preserve">the </w:t>
      </w:r>
      <w:r>
        <w:rPr>
          <w:rFonts w:ascii="Arial" w:hAnsi="Arial" w:cs="Calibri"/>
          <w:bCs/>
          <w:color w:val="000000"/>
        </w:rPr>
        <w:t>chief ce</w:t>
      </w:r>
      <w:r w:rsidR="00EB1605">
        <w:rPr>
          <w:rFonts w:ascii="Arial" w:hAnsi="Arial" w:cs="Calibri"/>
          <w:bCs/>
          <w:color w:val="000000"/>
        </w:rPr>
        <w:t xml:space="preserve">lls of </w:t>
      </w:r>
      <w:r>
        <w:rPr>
          <w:rFonts w:ascii="Arial" w:hAnsi="Arial" w:cs="Calibri"/>
          <w:bCs/>
          <w:color w:val="000000"/>
        </w:rPr>
        <w:t xml:space="preserve">parathyroid glands in response to variations in extracellular calcium concentrations. Physiological role of PTH is to </w:t>
      </w:r>
      <w:r w:rsidR="00396BC0">
        <w:rPr>
          <w:rFonts w:ascii="Arial" w:hAnsi="Arial" w:cs="Calibri"/>
          <w:bCs/>
          <w:color w:val="000000"/>
        </w:rPr>
        <w:t>sustain</w:t>
      </w:r>
      <w:r>
        <w:rPr>
          <w:rFonts w:ascii="Arial" w:hAnsi="Arial" w:cs="Calibri"/>
          <w:bCs/>
          <w:color w:val="000000"/>
        </w:rPr>
        <w:t xml:space="preserve"> extracellular calcium concentrations within a narrow range and as stable as possible due to high sensitivity of variety cells and organ systems including CNS, muscle, endocrine glands to its small variations. PTH directly acts on bone to increase bone turnover promoting bone resorption and resulting in the release of skeletal calcium and phosphorus into the circulation. PTH also increases renal tubular calcium reabsorption and phosphate excretion in the urine. It enhances transepithelial absorption of dietary calcium and phosphate from the intestine through vitamin D-dependent transport system </w:t>
      </w:r>
      <w:r w:rsidR="006961A1">
        <w:rPr>
          <w:rFonts w:ascii="Arial" w:hAnsi="Arial" w:cs="Calibri"/>
          <w:bCs/>
          <w:color w:val="000000"/>
        </w:rPr>
        <w:fldChar w:fldCharType="begin">
          <w:fldData xml:space="preserve">PEVuZE5vdGU+PENpdGU+PEF1dGhvcj5TaG9iYWNrPC9BdXRob3I+PFllYXI+MjAwODwvWWVhcj48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PEVuZE5vdGU+PENpdGU+PEF1dGhvcj5TaG9iYWNrPC9BdXRob3I+PFllYXI+MjAwODwvWWVhcj48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961A1">
        <w:rPr>
          <w:rFonts w:ascii="Arial" w:hAnsi="Arial" w:cs="Calibri"/>
          <w:bCs/>
          <w:noProof/>
          <w:color w:val="000000"/>
        </w:rPr>
        <w:t>(Shoback, 2008, Bilezikian et al., 2011)</w:t>
      </w:r>
      <w:r w:rsidR="006961A1">
        <w:rPr>
          <w:rFonts w:ascii="Arial" w:hAnsi="Arial" w:cs="Calibri"/>
          <w:bCs/>
          <w:color w:val="000000"/>
        </w:rPr>
        <w:fldChar w:fldCharType="end"/>
      </w:r>
      <w:r w:rsidR="006961A1">
        <w:rPr>
          <w:rFonts w:ascii="Arial" w:hAnsi="Arial" w:cs="Calibri"/>
          <w:bCs/>
          <w:color w:val="000000"/>
        </w:rPr>
        <w:t>.</w:t>
      </w:r>
    </w:p>
    <w:p w14:paraId="20DFEA75" w14:textId="77777777" w:rsidR="00E56E65" w:rsidRDefault="00E56E65" w:rsidP="00E56E65">
      <w:pPr>
        <w:spacing w:line="480" w:lineRule="auto"/>
        <w:jc w:val="both"/>
        <w:rPr>
          <w:rFonts w:ascii="Arial" w:hAnsi="Arial" w:cs="Calibri"/>
          <w:bCs/>
          <w:color w:val="000000"/>
        </w:rPr>
      </w:pPr>
    </w:p>
    <w:p w14:paraId="49324207" w14:textId="77777777" w:rsidR="00E56E65" w:rsidRDefault="00E56E65" w:rsidP="00E56E65">
      <w:pPr>
        <w:spacing w:line="480" w:lineRule="auto"/>
        <w:jc w:val="both"/>
        <w:rPr>
          <w:rFonts w:ascii="Arial" w:hAnsi="Arial" w:cs="Calibri"/>
          <w:bCs/>
          <w:color w:val="000000"/>
        </w:rPr>
      </w:pPr>
      <w:r>
        <w:rPr>
          <w:rFonts w:ascii="Arial" w:hAnsi="Arial" w:cs="Calibri"/>
          <w:bCs/>
          <w:color w:val="000000"/>
        </w:rPr>
        <w:t xml:space="preserve">Although PTH released from the parathyroid gland increases bone resorption, intermittent administration of the hormone has anabolic skeletal effect due in part to provoking transient increase in the RANKL/OPG ratio </w:t>
      </w:r>
      <w:r w:rsidR="006961A1">
        <w:rPr>
          <w:rFonts w:ascii="Arial" w:hAnsi="Arial" w:cs="Calibri"/>
          <w:bCs/>
          <w:color w:val="000000"/>
        </w:rPr>
        <w:fldChar w:fldCharType="begin">
          <w:fldData xml:space="preserve">PEVuZE5vdGU+PENpdGU+PEF1dGhvcj5NYTwvQXV0aG9yPjxZZWFyPjIwMDE8L1llYXI+PFJlY051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PEVuZE5vdGU+PENpdGU+PEF1dGhvcj5NYTwvQXV0aG9yPjxZZWFyPjIwMDE8L1llYXI+PFJlY051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961A1">
        <w:rPr>
          <w:rFonts w:ascii="Arial" w:hAnsi="Arial" w:cs="Calibri"/>
          <w:bCs/>
          <w:noProof/>
          <w:color w:val="000000"/>
        </w:rPr>
        <w:t>(Ma et al., 2001, Onyia et al., 2005, Li et al., 2007)</w:t>
      </w:r>
      <w:r w:rsidR="006961A1">
        <w:rPr>
          <w:rFonts w:ascii="Arial" w:hAnsi="Arial" w:cs="Calibri"/>
          <w:bCs/>
          <w:color w:val="000000"/>
        </w:rPr>
        <w:fldChar w:fldCharType="end"/>
      </w:r>
      <w:r w:rsidR="001E227E">
        <w:rPr>
          <w:rFonts w:ascii="Arial" w:hAnsi="Arial" w:cs="Calibri"/>
          <w:bCs/>
          <w:color w:val="000000"/>
        </w:rPr>
        <w:t xml:space="preserve">. </w:t>
      </w:r>
      <w:r>
        <w:rPr>
          <w:rFonts w:ascii="Arial" w:hAnsi="Arial" w:cs="Calibri"/>
          <w:bCs/>
          <w:color w:val="000000"/>
        </w:rPr>
        <w:t xml:space="preserve">It has clinically proven that treatment with iPTH increased cortical bone thickness at specific skeletal sites. The site specificity was attributed to the differences in bones’ local mechanical microenvironment </w:t>
      </w:r>
      <w:r w:rsidR="006961A1">
        <w:rPr>
          <w:rFonts w:ascii="Arial" w:hAnsi="Arial" w:cs="Calibri"/>
          <w:bCs/>
          <w:color w:val="000000"/>
        </w:rPr>
        <w:fldChar w:fldCharType="begin">
          <w:fldData xml:space="preserve">PEVuZE5vdGU+PENpdGU+PEF1dGhvcj5Ta2Vycnk8L0F1dGhvcj48WWVhcj4yMDA2PC9ZZWFyPjxS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</w:fldData>
        </w:fldChar>
      </w:r>
      <w:r w:rsidR="00A108A1">
        <w:rPr>
          <w:rFonts w:ascii="Arial" w:hAnsi="Arial" w:cs="Calibri"/>
          <w:bCs/>
          <w:color w:val="000000"/>
        </w:rPr>
        <w:instrText xml:space="preserve"> ADDIN EN.CITE </w:instrText>
      </w:r>
      <w:r w:rsidR="00A108A1">
        <w:rPr>
          <w:rFonts w:ascii="Arial" w:hAnsi="Arial" w:cs="Calibri"/>
          <w:bCs/>
          <w:color w:val="000000"/>
        </w:rPr>
        <w:fldChar w:fldCharType="begin">
          <w:fldData xml:space="preserve">PEVuZE5vdGU+PENpdGU+PEF1dGhvcj5Ta2Vycnk8L0F1dGhvcj48WWVhcj4yMDA2PC9ZZWFyPjxS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</w:fldData>
        </w:fldChar>
      </w:r>
      <w:r w:rsidR="00A108A1">
        <w:rPr>
          <w:rFonts w:ascii="Arial" w:hAnsi="Arial" w:cs="Calibri"/>
          <w:bCs/>
          <w:color w:val="000000"/>
        </w:rPr>
        <w:instrText xml:space="preserve"> ADDIN EN.CITE.DATA </w:instrText>
      </w:r>
      <w:r w:rsidR="00A108A1">
        <w:rPr>
          <w:rFonts w:ascii="Arial" w:hAnsi="Arial" w:cs="Calibri"/>
          <w:bCs/>
          <w:color w:val="000000"/>
        </w:rPr>
      </w:r>
      <w:r w:rsidR="00A108A1">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961A1">
        <w:rPr>
          <w:rFonts w:ascii="Arial" w:hAnsi="Arial" w:cs="Calibri"/>
          <w:bCs/>
          <w:noProof/>
          <w:color w:val="000000"/>
        </w:rPr>
        <w:t>(Skerry, 2006b, Compston, 2007, Lindsay et al., 2007)</w:t>
      </w:r>
      <w:r w:rsidR="006961A1">
        <w:rPr>
          <w:rFonts w:ascii="Arial" w:hAnsi="Arial" w:cs="Calibri"/>
          <w:bCs/>
          <w:color w:val="000000"/>
        </w:rPr>
        <w:fldChar w:fldCharType="end"/>
      </w:r>
      <w:r w:rsidR="00F870D6">
        <w:rPr>
          <w:rFonts w:ascii="Arial" w:hAnsi="Arial" w:cs="Calibri"/>
          <w:bCs/>
          <w:color w:val="000000"/>
        </w:rPr>
        <w:t xml:space="preserve">. </w:t>
      </w:r>
      <w:r w:rsidRPr="004F2CC7">
        <w:rPr>
          <w:rFonts w:ascii="Arial" w:hAnsi="Arial" w:cs="Calibri"/>
          <w:bCs/>
          <w:color w:val="000000"/>
        </w:rPr>
        <w:t xml:space="preserve">Several previous studies reported that anabolic effects of iPTH are </w:t>
      </w:r>
      <w:r w:rsidR="00771823" w:rsidRPr="004F2CC7">
        <w:rPr>
          <w:rFonts w:ascii="Arial" w:hAnsi="Arial" w:cs="Calibri"/>
          <w:bCs/>
          <w:color w:val="000000"/>
        </w:rPr>
        <w:t>reduced</w:t>
      </w:r>
      <w:r w:rsidRPr="004F2CC7">
        <w:rPr>
          <w:rFonts w:ascii="Arial" w:hAnsi="Arial" w:cs="Calibri"/>
          <w:bCs/>
          <w:color w:val="000000"/>
        </w:rPr>
        <w:t xml:space="preserve"> under conditions of low physical activity </w:t>
      </w:r>
      <w:r w:rsidR="006961A1">
        <w:rPr>
          <w:rFonts w:ascii="Arial" w:hAnsi="Arial" w:cs="Calibri"/>
          <w:bCs/>
          <w:color w:val="000000"/>
        </w:rPr>
        <w:fldChar w:fldCharType="begin">
          <w:fldData xml:space="preserve">PEVuZE5vdGU+PENpdGU+PEF1dGhvcj5UYW5ha2E8L0F1dGhvcj48WWVhcj4yMDA0PC9ZZWFyPjxS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==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PEVuZE5vdGU+PENpdGU+PEF1dGhvcj5UYW5ha2E8L0F1dGhvcj48WWVhcj4yMDA0PC9ZZWFyPjxS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==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sidR="006961A1">
        <w:rPr>
          <w:rFonts w:ascii="Arial" w:hAnsi="Arial" w:cs="Calibri"/>
          <w:bCs/>
          <w:color w:val="000000"/>
        </w:rPr>
      </w:r>
      <w:r w:rsidR="006961A1">
        <w:rPr>
          <w:rFonts w:ascii="Arial" w:hAnsi="Arial" w:cs="Calibri"/>
          <w:bCs/>
          <w:color w:val="000000"/>
        </w:rPr>
        <w:fldChar w:fldCharType="separate"/>
      </w:r>
      <w:r w:rsidR="006961A1">
        <w:rPr>
          <w:rFonts w:ascii="Arial" w:hAnsi="Arial" w:cs="Calibri"/>
          <w:bCs/>
          <w:noProof/>
          <w:color w:val="000000"/>
        </w:rPr>
        <w:t>(Tanaka et al., 2004, Robbins et al., 2007)</w:t>
      </w:r>
      <w:r w:rsidR="006961A1">
        <w:rPr>
          <w:rFonts w:ascii="Arial" w:hAnsi="Arial" w:cs="Calibri"/>
          <w:bCs/>
          <w:color w:val="000000"/>
        </w:rPr>
        <w:fldChar w:fldCharType="end"/>
      </w:r>
      <w:r w:rsidR="00945D7D">
        <w:rPr>
          <w:rFonts w:ascii="Arial" w:hAnsi="Arial" w:cs="Calibri"/>
          <w:bCs/>
          <w:color w:val="000000"/>
        </w:rPr>
        <w:t>.</w:t>
      </w:r>
      <w:r>
        <w:rPr>
          <w:rFonts w:ascii="Arial" w:hAnsi="Arial" w:cs="Calibri"/>
          <w:bCs/>
          <w:color w:val="000000"/>
        </w:rPr>
        <w:t xml:space="preserve"> Therefore, neither endocrine influences nor central regulators provide ultimate control of bone mass but the mechanical factors that contribute critically to bone’s adaptive response. </w:t>
      </w:r>
    </w:p>
    <w:p w14:paraId="281BD0E0" w14:textId="77777777" w:rsidR="000D0BAE" w:rsidRDefault="000D0BAE" w:rsidP="00E56E65">
      <w:pPr>
        <w:spacing w:line="480" w:lineRule="auto"/>
        <w:jc w:val="both"/>
        <w:rPr>
          <w:rFonts w:ascii="Arial" w:hAnsi="Arial" w:cs="Calibri"/>
          <w:bCs/>
          <w:color w:val="000000"/>
        </w:rPr>
      </w:pPr>
    </w:p>
    <w:p w14:paraId="4E28DC0B" w14:textId="77777777" w:rsidR="00E56E65" w:rsidRPr="005A1089" w:rsidRDefault="00E56E65" w:rsidP="00E56E65">
      <w:pPr>
        <w:spacing w:line="480" w:lineRule="auto"/>
        <w:jc w:val="both"/>
        <w:rPr>
          <w:rFonts w:ascii="Arial" w:hAnsi="Arial"/>
          <w:bCs/>
          <w:lang w:val="en-US"/>
        </w:rPr>
      </w:pPr>
      <w:r>
        <w:rPr>
          <w:rFonts w:ascii="Arial" w:hAnsi="Arial" w:cs="Arial"/>
        </w:rPr>
        <w:lastRenderedPageBreak/>
        <w:t xml:space="preserve">In the previous chapter we showed that </w:t>
      </w:r>
      <w:r w:rsidRPr="00945BFB">
        <w:rPr>
          <w:rFonts w:ascii="Arial" w:hAnsi="Arial"/>
          <w:bCs/>
          <w:lang w:val="en-US"/>
        </w:rPr>
        <w:t xml:space="preserve">overnight </w:t>
      </w:r>
      <w:r>
        <w:rPr>
          <w:rFonts w:ascii="Arial" w:hAnsi="Arial"/>
          <w:bCs/>
          <w:lang w:val="en-US"/>
        </w:rPr>
        <w:t xml:space="preserve">prolonged </w:t>
      </w:r>
      <w:r w:rsidRPr="00945BFB">
        <w:rPr>
          <w:rFonts w:ascii="Arial" w:hAnsi="Arial"/>
          <w:bCs/>
          <w:lang w:val="en-US"/>
        </w:rPr>
        <w:t xml:space="preserve">fasting neither potentiated nor inhibited bone’s response to </w:t>
      </w:r>
      <w:r>
        <w:rPr>
          <w:rFonts w:ascii="Arial" w:hAnsi="Arial"/>
          <w:bCs/>
          <w:lang w:val="en-US"/>
        </w:rPr>
        <w:t xml:space="preserve">20 or </w:t>
      </w:r>
      <w:r w:rsidRPr="00945BFB">
        <w:rPr>
          <w:rFonts w:ascii="Arial" w:hAnsi="Arial"/>
          <w:bCs/>
          <w:lang w:val="en-US"/>
        </w:rPr>
        <w:t xml:space="preserve">40 cycles of </w:t>
      </w:r>
      <w:r>
        <w:rPr>
          <w:rFonts w:ascii="Arial" w:hAnsi="Arial"/>
          <w:bCs/>
          <w:lang w:val="en-US"/>
        </w:rPr>
        <w:t xml:space="preserve">maximal </w:t>
      </w:r>
      <w:r w:rsidRPr="00945BFB">
        <w:rPr>
          <w:rFonts w:ascii="Arial" w:hAnsi="Arial"/>
          <w:bCs/>
          <w:lang w:val="en-US"/>
        </w:rPr>
        <w:t xml:space="preserve">mechanical loading in </w:t>
      </w:r>
      <w:r>
        <w:rPr>
          <w:rFonts w:ascii="Arial" w:hAnsi="Arial"/>
          <w:bCs/>
          <w:lang w:val="en-US"/>
        </w:rPr>
        <w:t xml:space="preserve">young male mice. Our next aim was to determine the </w:t>
      </w:r>
      <w:r w:rsidRPr="00EE7AA1">
        <w:rPr>
          <w:rFonts w:ascii="Arial" w:eastAsiaTheme="minorHAnsi" w:hAnsi="Arial"/>
          <w:bCs/>
          <w:lang w:val="en-US"/>
        </w:rPr>
        <w:t xml:space="preserve">osteogenic effects of maximal </w:t>
      </w:r>
      <w:r>
        <w:rPr>
          <w:rFonts w:ascii="Arial" w:eastAsiaTheme="minorHAnsi" w:hAnsi="Arial"/>
          <w:bCs/>
          <w:lang w:val="en-US"/>
        </w:rPr>
        <w:t xml:space="preserve">mechanical </w:t>
      </w:r>
      <w:r w:rsidRPr="00EE7AA1">
        <w:rPr>
          <w:rFonts w:ascii="Arial" w:eastAsiaTheme="minorHAnsi" w:hAnsi="Arial"/>
          <w:bCs/>
          <w:lang w:val="en-US"/>
        </w:rPr>
        <w:t xml:space="preserve">loading </w:t>
      </w:r>
      <w:r>
        <w:rPr>
          <w:rFonts w:ascii="Arial" w:eastAsiaTheme="minorHAnsi" w:hAnsi="Arial"/>
          <w:bCs/>
          <w:lang w:val="en-US"/>
        </w:rPr>
        <w:t>on tibiae of young male mice</w:t>
      </w:r>
      <w:r w:rsidRPr="00EE7AA1">
        <w:rPr>
          <w:rFonts w:ascii="Arial" w:eastAsiaTheme="minorHAnsi" w:hAnsi="Arial"/>
          <w:bCs/>
          <w:lang w:val="en-US"/>
        </w:rPr>
        <w:t xml:space="preserve"> after different periods of withholding food or feeding, where we expect</w:t>
      </w:r>
      <w:r>
        <w:rPr>
          <w:rFonts w:ascii="Arial" w:eastAsiaTheme="minorHAnsi" w:hAnsi="Arial"/>
          <w:bCs/>
          <w:lang w:val="en-US"/>
        </w:rPr>
        <w:t>ed</w:t>
      </w:r>
      <w:r w:rsidRPr="00EE7AA1">
        <w:rPr>
          <w:rFonts w:ascii="Arial" w:eastAsiaTheme="minorHAnsi" w:hAnsi="Arial"/>
          <w:bCs/>
          <w:lang w:val="en-US"/>
        </w:rPr>
        <w:t xml:space="preserve"> altered concentrations of gastrointestinal hormones</w:t>
      </w:r>
      <w:r>
        <w:rPr>
          <w:rFonts w:ascii="Arial" w:eastAsiaTheme="minorHAnsi" w:hAnsi="Arial"/>
          <w:bCs/>
          <w:lang w:val="en-US"/>
        </w:rPr>
        <w:t xml:space="preserve">. </w:t>
      </w:r>
    </w:p>
    <w:p w14:paraId="108E7475" w14:textId="77777777" w:rsidR="00E56E65" w:rsidRDefault="00E56E65" w:rsidP="00E56E65">
      <w:pPr>
        <w:spacing w:line="480" w:lineRule="auto"/>
        <w:jc w:val="both"/>
        <w:rPr>
          <w:rFonts w:ascii="Arial" w:hAnsi="Arial"/>
          <w:color w:val="000000"/>
        </w:rPr>
      </w:pPr>
    </w:p>
    <w:p w14:paraId="4416538B" w14:textId="77777777" w:rsidR="00E56E65" w:rsidRDefault="00E56E65" w:rsidP="00E56E65">
      <w:pPr>
        <w:spacing w:line="480" w:lineRule="auto"/>
        <w:jc w:val="both"/>
        <w:rPr>
          <w:rFonts w:ascii="Arial" w:hAnsi="Arial" w:cs="Arial"/>
          <w:b/>
          <w:bCs/>
          <w:noProof/>
          <w:color w:val="000000" w:themeColor="text1"/>
        </w:rPr>
      </w:pPr>
    </w:p>
    <w:p w14:paraId="278FC753" w14:textId="77777777" w:rsidR="00E56E65" w:rsidRDefault="00E56E65" w:rsidP="00E56E65">
      <w:pPr>
        <w:spacing w:line="480" w:lineRule="auto"/>
        <w:jc w:val="both"/>
        <w:rPr>
          <w:rFonts w:ascii="Arial" w:hAnsi="Arial" w:cs="Arial"/>
          <w:b/>
          <w:bCs/>
          <w:noProof/>
          <w:color w:val="000000" w:themeColor="text1"/>
        </w:rPr>
      </w:pPr>
    </w:p>
    <w:p w14:paraId="51DE8E19" w14:textId="77777777" w:rsidR="00E56E65" w:rsidRDefault="00E56E65" w:rsidP="00E56E65">
      <w:pPr>
        <w:spacing w:line="480" w:lineRule="auto"/>
        <w:jc w:val="both"/>
        <w:rPr>
          <w:rFonts w:ascii="Arial" w:hAnsi="Arial" w:cs="Arial"/>
          <w:b/>
          <w:bCs/>
          <w:noProof/>
          <w:color w:val="000000" w:themeColor="text1"/>
        </w:rPr>
      </w:pPr>
    </w:p>
    <w:p w14:paraId="61FE31D7" w14:textId="77777777" w:rsidR="00E56E65" w:rsidRDefault="00E56E65" w:rsidP="00E56E65">
      <w:pPr>
        <w:spacing w:line="480" w:lineRule="auto"/>
        <w:jc w:val="both"/>
        <w:rPr>
          <w:rFonts w:ascii="Arial" w:hAnsi="Arial" w:cs="Arial"/>
          <w:b/>
          <w:bCs/>
          <w:noProof/>
          <w:color w:val="000000" w:themeColor="text1"/>
        </w:rPr>
      </w:pPr>
    </w:p>
    <w:p w14:paraId="6FCB005C" w14:textId="77777777" w:rsidR="00E56E65" w:rsidRDefault="00E56E65" w:rsidP="00E56E65">
      <w:pPr>
        <w:spacing w:line="480" w:lineRule="auto"/>
        <w:jc w:val="both"/>
        <w:rPr>
          <w:rFonts w:ascii="Arial" w:hAnsi="Arial" w:cs="Arial"/>
          <w:b/>
          <w:bCs/>
          <w:noProof/>
          <w:color w:val="000000" w:themeColor="text1"/>
        </w:rPr>
      </w:pPr>
    </w:p>
    <w:p w14:paraId="59D9C1E8" w14:textId="77777777" w:rsidR="00E56E65" w:rsidRDefault="00E56E65" w:rsidP="00E56E65">
      <w:pPr>
        <w:spacing w:line="480" w:lineRule="auto"/>
        <w:jc w:val="both"/>
        <w:rPr>
          <w:rFonts w:ascii="Arial" w:hAnsi="Arial" w:cs="Arial"/>
          <w:b/>
          <w:bCs/>
          <w:noProof/>
          <w:color w:val="000000" w:themeColor="text1"/>
        </w:rPr>
      </w:pPr>
    </w:p>
    <w:p w14:paraId="11F0BE1F" w14:textId="77777777" w:rsidR="00E56E65" w:rsidRDefault="00E56E65" w:rsidP="00E56E65">
      <w:pPr>
        <w:spacing w:line="480" w:lineRule="auto"/>
        <w:jc w:val="both"/>
        <w:rPr>
          <w:rFonts w:ascii="Arial" w:hAnsi="Arial" w:cs="Arial"/>
          <w:b/>
          <w:bCs/>
          <w:noProof/>
          <w:color w:val="000000" w:themeColor="text1"/>
        </w:rPr>
      </w:pPr>
    </w:p>
    <w:p w14:paraId="5BBA60C2" w14:textId="77777777" w:rsidR="00E56E65" w:rsidRDefault="00E56E65" w:rsidP="00E56E65">
      <w:pPr>
        <w:spacing w:line="480" w:lineRule="auto"/>
        <w:jc w:val="both"/>
        <w:rPr>
          <w:rFonts w:ascii="Arial" w:hAnsi="Arial" w:cs="Arial"/>
          <w:b/>
          <w:bCs/>
          <w:noProof/>
          <w:color w:val="000000" w:themeColor="text1"/>
        </w:rPr>
      </w:pPr>
    </w:p>
    <w:p w14:paraId="181EE6D8" w14:textId="77777777" w:rsidR="00E56E65" w:rsidRDefault="00E56E65" w:rsidP="00E56E65">
      <w:pPr>
        <w:spacing w:line="480" w:lineRule="auto"/>
        <w:jc w:val="both"/>
        <w:rPr>
          <w:rFonts w:ascii="Arial" w:hAnsi="Arial" w:cs="Arial"/>
          <w:b/>
          <w:bCs/>
          <w:noProof/>
          <w:color w:val="000000" w:themeColor="text1"/>
        </w:rPr>
      </w:pPr>
    </w:p>
    <w:p w14:paraId="748AA350" w14:textId="77777777" w:rsidR="00E56E65" w:rsidRDefault="00E56E65" w:rsidP="00E56E65">
      <w:pPr>
        <w:spacing w:line="480" w:lineRule="auto"/>
        <w:jc w:val="both"/>
        <w:rPr>
          <w:rFonts w:ascii="Arial" w:hAnsi="Arial" w:cs="Arial"/>
          <w:b/>
          <w:bCs/>
          <w:noProof/>
          <w:color w:val="000000" w:themeColor="text1"/>
        </w:rPr>
      </w:pPr>
    </w:p>
    <w:p w14:paraId="05A832C5" w14:textId="77777777" w:rsidR="00E56E65" w:rsidRDefault="00E56E65" w:rsidP="00E56E65">
      <w:pPr>
        <w:spacing w:line="480" w:lineRule="auto"/>
        <w:jc w:val="both"/>
        <w:rPr>
          <w:rFonts w:ascii="Arial" w:hAnsi="Arial" w:cs="Arial"/>
          <w:b/>
          <w:bCs/>
          <w:noProof/>
          <w:color w:val="000000" w:themeColor="text1"/>
        </w:rPr>
      </w:pPr>
    </w:p>
    <w:p w14:paraId="20B0690A" w14:textId="77777777" w:rsidR="00E56E65" w:rsidRDefault="00E56E65" w:rsidP="00E56E65">
      <w:pPr>
        <w:spacing w:line="480" w:lineRule="auto"/>
        <w:jc w:val="both"/>
        <w:rPr>
          <w:rFonts w:ascii="Arial" w:hAnsi="Arial" w:cs="Arial"/>
          <w:b/>
          <w:bCs/>
          <w:noProof/>
          <w:color w:val="000000" w:themeColor="text1"/>
        </w:rPr>
      </w:pPr>
    </w:p>
    <w:p w14:paraId="2ABA6453" w14:textId="77777777" w:rsidR="00E56E65" w:rsidRDefault="00E56E65" w:rsidP="00E56E65">
      <w:pPr>
        <w:spacing w:line="480" w:lineRule="auto"/>
        <w:jc w:val="both"/>
        <w:rPr>
          <w:rFonts w:ascii="Arial" w:hAnsi="Arial" w:cs="Arial"/>
          <w:b/>
          <w:bCs/>
          <w:noProof/>
          <w:color w:val="000000" w:themeColor="text1"/>
        </w:rPr>
      </w:pPr>
    </w:p>
    <w:p w14:paraId="4BA786C3" w14:textId="77777777" w:rsidR="00E56E65" w:rsidRDefault="00E56E65" w:rsidP="00E56E65">
      <w:pPr>
        <w:spacing w:line="480" w:lineRule="auto"/>
        <w:jc w:val="both"/>
        <w:rPr>
          <w:rFonts w:ascii="Arial" w:hAnsi="Arial" w:cs="Arial"/>
          <w:b/>
          <w:bCs/>
          <w:noProof/>
          <w:color w:val="000000" w:themeColor="text1"/>
        </w:rPr>
      </w:pPr>
    </w:p>
    <w:p w14:paraId="74E9D309" w14:textId="77777777" w:rsidR="00E56E65" w:rsidRDefault="00E56E65" w:rsidP="00E56E65">
      <w:pPr>
        <w:spacing w:line="480" w:lineRule="auto"/>
        <w:jc w:val="both"/>
        <w:rPr>
          <w:rFonts w:ascii="Arial" w:hAnsi="Arial" w:cs="Arial"/>
          <w:b/>
          <w:bCs/>
          <w:noProof/>
          <w:color w:val="000000" w:themeColor="text1"/>
        </w:rPr>
      </w:pPr>
    </w:p>
    <w:p w14:paraId="4951E533" w14:textId="77777777" w:rsidR="00E56E65" w:rsidRDefault="00E56E65" w:rsidP="00E56E65">
      <w:pPr>
        <w:spacing w:line="480" w:lineRule="auto"/>
        <w:jc w:val="both"/>
        <w:rPr>
          <w:rFonts w:ascii="Arial" w:hAnsi="Arial" w:cs="Arial"/>
          <w:b/>
          <w:bCs/>
          <w:noProof/>
          <w:color w:val="000000" w:themeColor="text1"/>
        </w:rPr>
      </w:pPr>
    </w:p>
    <w:p w14:paraId="65D2A2C7" w14:textId="77777777" w:rsidR="00E56E65" w:rsidRDefault="00E56E65" w:rsidP="00E56E65">
      <w:pPr>
        <w:spacing w:line="480" w:lineRule="auto"/>
        <w:jc w:val="both"/>
        <w:rPr>
          <w:rFonts w:ascii="Arial" w:hAnsi="Arial" w:cs="Arial"/>
          <w:b/>
          <w:bCs/>
          <w:noProof/>
          <w:color w:val="000000" w:themeColor="text1"/>
        </w:rPr>
      </w:pPr>
    </w:p>
    <w:p w14:paraId="5CBB908C" w14:textId="77777777" w:rsidR="00E56E65" w:rsidRDefault="00E56E65" w:rsidP="00E56E65">
      <w:pPr>
        <w:spacing w:line="480" w:lineRule="auto"/>
        <w:jc w:val="both"/>
        <w:rPr>
          <w:rFonts w:ascii="Arial" w:hAnsi="Arial" w:cs="Arial"/>
          <w:b/>
          <w:bCs/>
          <w:noProof/>
          <w:color w:val="000000" w:themeColor="text1"/>
        </w:rPr>
      </w:pPr>
    </w:p>
    <w:p w14:paraId="22A5260D" w14:textId="77777777" w:rsidR="00E56E65" w:rsidRDefault="00E56E65" w:rsidP="00E56E65">
      <w:pPr>
        <w:spacing w:line="480" w:lineRule="auto"/>
        <w:jc w:val="both"/>
        <w:rPr>
          <w:rFonts w:ascii="Arial" w:hAnsi="Arial" w:cs="Arial"/>
          <w:b/>
          <w:bCs/>
          <w:noProof/>
          <w:color w:val="000000" w:themeColor="text1"/>
        </w:rPr>
      </w:pPr>
    </w:p>
    <w:p w14:paraId="34B1765F" w14:textId="77777777" w:rsidR="00E56E65" w:rsidRDefault="00E56E65" w:rsidP="00E56E65">
      <w:pPr>
        <w:spacing w:line="480" w:lineRule="auto"/>
        <w:jc w:val="both"/>
        <w:rPr>
          <w:rFonts w:ascii="Arial" w:hAnsi="Arial" w:cs="Arial"/>
          <w:b/>
          <w:bCs/>
          <w:noProof/>
          <w:color w:val="000000" w:themeColor="text1"/>
        </w:rPr>
      </w:pPr>
    </w:p>
    <w:p w14:paraId="1716F674" w14:textId="77777777" w:rsidR="00E56E65" w:rsidRPr="00556B8D" w:rsidRDefault="00E56E65" w:rsidP="00D40E59">
      <w:pPr>
        <w:pStyle w:val="Heading2"/>
      </w:pPr>
      <w:bookmarkStart w:id="93" w:name="_Toc383723892"/>
      <w:r w:rsidRPr="00EE2179">
        <w:lastRenderedPageBreak/>
        <w:t>4.2 Results</w:t>
      </w:r>
      <w:bookmarkEnd w:id="93"/>
    </w:p>
    <w:p w14:paraId="66F96EBE" w14:textId="77777777" w:rsidR="00E56E65" w:rsidRPr="00556B8D" w:rsidRDefault="00E56E65" w:rsidP="00556B8D">
      <w:pPr>
        <w:pStyle w:val="Heading3"/>
        <w:spacing w:line="480" w:lineRule="auto"/>
        <w:jc w:val="both"/>
        <w:rPr>
          <w:rFonts w:ascii="Arial" w:hAnsi="Arial" w:cs="Arial"/>
          <w:noProof/>
          <w:color w:val="auto"/>
        </w:rPr>
      </w:pPr>
      <w:bookmarkStart w:id="94" w:name="_Toc383723893"/>
      <w:r w:rsidRPr="00556B8D">
        <w:rPr>
          <w:rFonts w:ascii="Arial" w:hAnsi="Arial" w:cs="Arial"/>
          <w:noProof/>
          <w:color w:val="auto"/>
        </w:rPr>
        <w:t xml:space="preserve">4.2.1 The effect of maximal mechanical loading on tibial cortical bone mass and architecture </w:t>
      </w:r>
      <w:r w:rsidR="004108CC">
        <w:rPr>
          <w:rFonts w:ascii="Arial" w:hAnsi="Arial" w:cs="Arial"/>
          <w:noProof/>
          <w:color w:val="auto"/>
        </w:rPr>
        <w:t xml:space="preserve">of fed or fasted 2-hour fed young </w:t>
      </w:r>
      <w:r w:rsidRPr="00556B8D">
        <w:rPr>
          <w:rFonts w:ascii="Arial" w:hAnsi="Arial" w:cs="Arial"/>
          <w:noProof/>
          <w:color w:val="auto"/>
        </w:rPr>
        <w:t>mice</w:t>
      </w:r>
      <w:bookmarkEnd w:id="94"/>
    </w:p>
    <w:p w14:paraId="0A1A6E7B" w14:textId="77777777" w:rsidR="00E56E65" w:rsidRDefault="00E56E65" w:rsidP="00E56E65">
      <w:pPr>
        <w:spacing w:line="480" w:lineRule="auto"/>
        <w:jc w:val="both"/>
      </w:pPr>
      <w:r>
        <w:rPr>
          <w:rFonts w:ascii="Arial" w:hAnsi="Arial"/>
          <w:bCs/>
          <w:lang w:val="en-US"/>
        </w:rPr>
        <w:t xml:space="preserve">In the previous study, </w:t>
      </w:r>
      <w:r w:rsidRPr="00D2426C">
        <w:rPr>
          <w:rFonts w:ascii="Arial" w:hAnsi="Arial" w:cs="Arial"/>
        </w:rPr>
        <w:t xml:space="preserve">during </w:t>
      </w:r>
      <w:r>
        <w:rPr>
          <w:rFonts w:ascii="Arial" w:hAnsi="Arial" w:cs="Arial"/>
        </w:rPr>
        <w:t xml:space="preserve">the </w:t>
      </w:r>
      <w:r w:rsidRPr="00D2426C">
        <w:rPr>
          <w:rFonts w:ascii="Arial" w:hAnsi="Arial" w:cs="Arial"/>
        </w:rPr>
        <w:t>re-feeding period</w:t>
      </w:r>
      <w:r>
        <w:rPr>
          <w:rFonts w:ascii="Arial" w:hAnsi="Arial" w:cs="Arial"/>
        </w:rPr>
        <w:t xml:space="preserve"> almost two-hour</w:t>
      </w:r>
      <w:r w:rsidRPr="00D2426C">
        <w:rPr>
          <w:rFonts w:ascii="Arial" w:hAnsi="Arial"/>
          <w:bCs/>
          <w:lang w:val="en-US"/>
        </w:rPr>
        <w:t xml:space="preserve"> </w:t>
      </w:r>
      <w:r w:rsidRPr="00D2426C">
        <w:rPr>
          <w:rFonts w:ascii="Arial" w:hAnsi="Arial" w:cs="Arial"/>
        </w:rPr>
        <w:t>hyperphagic response was observed in overnight</w:t>
      </w:r>
      <w:r w:rsidR="002C2C28">
        <w:rPr>
          <w:rFonts w:ascii="Arial" w:hAnsi="Arial" w:cs="Arial"/>
        </w:rPr>
        <w:t xml:space="preserve"> (16-hour)</w:t>
      </w:r>
      <w:r>
        <w:rPr>
          <w:rFonts w:ascii="Arial" w:hAnsi="Arial" w:cs="Arial"/>
        </w:rPr>
        <w:t xml:space="preserve"> </w:t>
      </w:r>
      <w:r w:rsidRPr="00D2426C">
        <w:rPr>
          <w:rFonts w:ascii="Arial" w:hAnsi="Arial" w:cs="Arial"/>
        </w:rPr>
        <w:t xml:space="preserve">fasted </w:t>
      </w:r>
      <w:r>
        <w:rPr>
          <w:rFonts w:ascii="Arial" w:hAnsi="Arial" w:cs="Arial"/>
        </w:rPr>
        <w:t xml:space="preserve">young </w:t>
      </w:r>
      <w:r w:rsidRPr="00D2426C">
        <w:rPr>
          <w:rFonts w:ascii="Arial" w:hAnsi="Arial" w:cs="Arial"/>
        </w:rPr>
        <w:t xml:space="preserve">mice.  </w:t>
      </w:r>
      <w:r w:rsidRPr="00D2426C">
        <w:rPr>
          <w:rFonts w:ascii="Arial" w:hAnsi="Arial"/>
          <w:bCs/>
          <w:lang w:val="en-US"/>
        </w:rPr>
        <w:t xml:space="preserve">Therefore, </w:t>
      </w:r>
      <w:r>
        <w:rPr>
          <w:rFonts w:ascii="Arial" w:hAnsi="Arial"/>
          <w:bCs/>
          <w:lang w:val="en-US"/>
        </w:rPr>
        <w:t>next we determined</w:t>
      </w:r>
      <w:r w:rsidRPr="00D2426C">
        <w:rPr>
          <w:rFonts w:ascii="Arial" w:hAnsi="Arial"/>
          <w:bCs/>
          <w:lang w:val="en-US"/>
        </w:rPr>
        <w:t xml:space="preserve"> </w:t>
      </w:r>
      <w:r>
        <w:rPr>
          <w:rFonts w:ascii="Arial" w:hAnsi="Arial"/>
          <w:bCs/>
          <w:lang w:val="en-US"/>
        </w:rPr>
        <w:t xml:space="preserve">the </w:t>
      </w:r>
      <w:r w:rsidRPr="00D2426C">
        <w:rPr>
          <w:rFonts w:ascii="Arial" w:hAnsi="Arial"/>
          <w:bCs/>
          <w:lang w:val="en-US"/>
        </w:rPr>
        <w:t>ability of food ingestion</w:t>
      </w:r>
      <w:r>
        <w:rPr>
          <w:rFonts w:ascii="Arial" w:hAnsi="Arial"/>
          <w:bCs/>
          <w:lang w:val="en-US"/>
        </w:rPr>
        <w:t xml:space="preserve"> following overnight fast</w:t>
      </w:r>
      <w:r w:rsidRPr="00D2426C">
        <w:rPr>
          <w:rFonts w:ascii="Arial" w:hAnsi="Arial"/>
          <w:bCs/>
          <w:lang w:val="en-US"/>
        </w:rPr>
        <w:t xml:space="preserve"> to potentiate osteogenic</w:t>
      </w:r>
      <w:r>
        <w:rPr>
          <w:rFonts w:ascii="Arial" w:hAnsi="Arial"/>
          <w:bCs/>
          <w:lang w:val="en-US"/>
        </w:rPr>
        <w:t xml:space="preserve"> effects of maximal</w:t>
      </w:r>
      <w:r w:rsidRPr="00D2426C">
        <w:rPr>
          <w:rFonts w:ascii="Arial" w:hAnsi="Arial"/>
          <w:bCs/>
          <w:lang w:val="en-US"/>
        </w:rPr>
        <w:t xml:space="preserve"> </w:t>
      </w:r>
      <w:r>
        <w:rPr>
          <w:rFonts w:ascii="Arial" w:hAnsi="Arial"/>
          <w:bCs/>
          <w:lang w:val="en-US"/>
        </w:rPr>
        <w:t xml:space="preserve">mechanical </w:t>
      </w:r>
      <w:r w:rsidRPr="00D2426C">
        <w:rPr>
          <w:rFonts w:ascii="Arial" w:hAnsi="Arial"/>
          <w:bCs/>
          <w:lang w:val="en-US"/>
        </w:rPr>
        <w:t xml:space="preserve">loading </w:t>
      </w:r>
      <w:r>
        <w:rPr>
          <w:rFonts w:ascii="Arial" w:hAnsi="Arial"/>
          <w:bCs/>
          <w:lang w:val="en-US"/>
        </w:rPr>
        <w:t>in the</w:t>
      </w:r>
      <w:r w:rsidRPr="00D2426C">
        <w:rPr>
          <w:rFonts w:ascii="Arial" w:hAnsi="Arial"/>
          <w:bCs/>
          <w:lang w:val="en-US"/>
        </w:rPr>
        <w:t xml:space="preserve"> tibiae of </w:t>
      </w:r>
      <w:r>
        <w:rPr>
          <w:rFonts w:ascii="Arial" w:eastAsiaTheme="minorHAnsi" w:hAnsi="Arial"/>
          <w:bCs/>
          <w:lang w:val="en-US"/>
        </w:rPr>
        <w:t xml:space="preserve">young </w:t>
      </w:r>
      <w:r w:rsidRPr="00D2426C">
        <w:rPr>
          <w:rFonts w:ascii="Arial" w:eastAsiaTheme="minorHAnsi" w:hAnsi="Arial"/>
          <w:bCs/>
          <w:lang w:val="en-US"/>
        </w:rPr>
        <w:t>male</w:t>
      </w:r>
      <w:r w:rsidRPr="00D2426C">
        <w:rPr>
          <w:rFonts w:ascii="Arial" w:hAnsi="Arial"/>
          <w:bCs/>
          <w:lang w:val="en-US"/>
        </w:rPr>
        <w:t xml:space="preserve"> mice</w:t>
      </w:r>
      <w:r>
        <w:rPr>
          <w:rFonts w:ascii="Arial" w:hAnsi="Arial"/>
          <w:bCs/>
          <w:lang w:val="en-US"/>
        </w:rPr>
        <w:t>.</w:t>
      </w:r>
    </w:p>
    <w:p w14:paraId="330D1709" w14:textId="77777777" w:rsidR="00E56E65" w:rsidRDefault="00E56E65" w:rsidP="00E56E65">
      <w:pPr>
        <w:spacing w:line="480" w:lineRule="auto"/>
        <w:contextualSpacing/>
        <w:jc w:val="both"/>
        <w:rPr>
          <w:rFonts w:ascii="Arial" w:hAnsi="Arial"/>
          <w:bCs/>
          <w:lang w:val="en-US"/>
        </w:rPr>
      </w:pPr>
    </w:p>
    <w:p w14:paraId="18399082" w14:textId="77777777" w:rsidR="00E56E65" w:rsidRPr="00B02BA7" w:rsidRDefault="00116C54" w:rsidP="00E56E65">
      <w:pPr>
        <w:spacing w:line="480" w:lineRule="auto"/>
        <w:contextualSpacing/>
        <w:jc w:val="both"/>
        <w:rPr>
          <w:rFonts w:ascii="Arial" w:hAnsi="Arial" w:cs="Arial"/>
          <w:color w:val="1A1A1A"/>
          <w:lang w:val="en-US"/>
        </w:rPr>
      </w:pPr>
      <w:r w:rsidRPr="000127EA">
        <w:rPr>
          <w:rFonts w:ascii="Arial" w:hAnsi="Arial"/>
          <w:b/>
          <w:bCs/>
          <w:i/>
          <w:lang w:val="en-US"/>
        </w:rPr>
        <w:t>Experimental details:</w:t>
      </w:r>
      <w:r>
        <w:rPr>
          <w:rFonts w:ascii="Arial" w:hAnsi="Arial"/>
          <w:bCs/>
          <w:lang w:val="en-US"/>
        </w:rPr>
        <w:t xml:space="preserve"> </w:t>
      </w:r>
      <w:r w:rsidR="00E56E65" w:rsidRPr="00B02BA7">
        <w:rPr>
          <w:rFonts w:ascii="Arial" w:hAnsi="Arial" w:cs="Arial"/>
          <w:color w:val="1A1A1A"/>
          <w:lang w:val="en-US"/>
        </w:rPr>
        <w:t>Groups of 17-week-old C57BL/6 male mice (n=7) were either</w:t>
      </w:r>
      <w:r w:rsidR="00E56E65">
        <w:rPr>
          <w:rFonts w:ascii="Arial" w:hAnsi="Arial" w:cs="Arial"/>
          <w:color w:val="1A1A1A"/>
          <w:lang w:val="en-US"/>
        </w:rPr>
        <w:t xml:space="preserve"> fasted overnight (16</w:t>
      </w:r>
      <w:r w:rsidR="005606B1">
        <w:rPr>
          <w:rFonts w:ascii="Arial" w:hAnsi="Arial" w:cs="Arial"/>
          <w:color w:val="1A1A1A"/>
          <w:lang w:val="en-US"/>
        </w:rPr>
        <w:t>-hour</w:t>
      </w:r>
      <w:r w:rsidR="00E56E65" w:rsidRPr="00B02BA7">
        <w:rPr>
          <w:rFonts w:ascii="Arial" w:hAnsi="Arial" w:cs="Arial"/>
          <w:color w:val="1A1A1A"/>
          <w:lang w:val="en-US"/>
        </w:rPr>
        <w:t>) or allowed free access to food</w:t>
      </w:r>
      <w:r w:rsidR="00E56E65">
        <w:rPr>
          <w:rFonts w:ascii="Arial" w:hAnsi="Arial" w:cs="Arial"/>
          <w:color w:val="1A1A1A"/>
          <w:lang w:val="en-US"/>
        </w:rPr>
        <w:t xml:space="preserve"> ad libitum</w:t>
      </w:r>
      <w:r w:rsidR="00E56E65" w:rsidRPr="00B02BA7">
        <w:rPr>
          <w:rFonts w:ascii="Arial" w:hAnsi="Arial" w:cs="Arial"/>
          <w:color w:val="1A1A1A"/>
          <w:lang w:val="en-US"/>
        </w:rPr>
        <w:t xml:space="preserve">. </w:t>
      </w:r>
      <w:r w:rsidR="00E56E65">
        <w:rPr>
          <w:rFonts w:ascii="Arial" w:hAnsi="Arial" w:cs="Arial"/>
          <w:color w:val="1A1A1A"/>
          <w:lang w:val="en-US"/>
        </w:rPr>
        <w:t xml:space="preserve">At the end of fasting, those </w:t>
      </w:r>
      <w:r w:rsidR="00E56E65" w:rsidRPr="00B02BA7">
        <w:rPr>
          <w:rFonts w:ascii="Arial" w:hAnsi="Arial" w:cs="Arial"/>
          <w:color w:val="1A1A1A"/>
          <w:lang w:val="en-US"/>
        </w:rPr>
        <w:t>mice were given access to food for 2</w:t>
      </w:r>
      <w:r w:rsidR="00E56E65">
        <w:rPr>
          <w:rFonts w:ascii="Arial" w:hAnsi="Arial" w:cs="Arial"/>
          <w:color w:val="1A1A1A"/>
          <w:lang w:val="en-US"/>
        </w:rPr>
        <w:t xml:space="preserve"> hours</w:t>
      </w:r>
      <w:r w:rsidR="00E56E65" w:rsidRPr="00B02BA7">
        <w:rPr>
          <w:rFonts w:ascii="Arial" w:hAnsi="Arial" w:cs="Arial"/>
          <w:color w:val="1A1A1A"/>
          <w:lang w:val="en-US"/>
        </w:rPr>
        <w:t xml:space="preserve">. All mice </w:t>
      </w:r>
      <w:r w:rsidR="00E56E65">
        <w:rPr>
          <w:rFonts w:ascii="Arial" w:hAnsi="Arial" w:cs="Arial"/>
          <w:color w:val="1A1A1A"/>
          <w:lang w:val="en-US"/>
        </w:rPr>
        <w:t xml:space="preserve">then </w:t>
      </w:r>
      <w:r w:rsidR="00E56E65" w:rsidRPr="00B02BA7">
        <w:rPr>
          <w:rFonts w:ascii="Arial" w:hAnsi="Arial" w:cs="Arial"/>
          <w:color w:val="1A1A1A"/>
          <w:lang w:val="en-US"/>
        </w:rPr>
        <w:t xml:space="preserve">underwent axial loading of the right tibiae with a peak force of 13N, 3 times weekly for 2 weeks </w:t>
      </w:r>
      <w:r w:rsidR="00E56E65">
        <w:rPr>
          <w:rFonts w:ascii="Arial" w:hAnsi="Arial" w:cs="Arial"/>
          <w:color w:val="1A1A1A"/>
          <w:lang w:val="en-US"/>
        </w:rPr>
        <w:t xml:space="preserve">using </w:t>
      </w:r>
      <w:r w:rsidR="00E56E65" w:rsidRPr="00B04945">
        <w:rPr>
          <w:rFonts w:ascii="Arial" w:hAnsi="Arial" w:cs="Arial"/>
        </w:rPr>
        <w:t>ElectroForce 5500</w:t>
      </w:r>
      <w:r w:rsidR="00E56E65">
        <w:rPr>
          <w:rFonts w:ascii="Arial" w:hAnsi="Arial" w:cs="Arial"/>
        </w:rPr>
        <w:t xml:space="preserve"> </w:t>
      </w:r>
      <w:r w:rsidR="00E56E65" w:rsidRPr="00B04945">
        <w:rPr>
          <w:rFonts w:ascii="Arial" w:hAnsi="Arial" w:cs="Arial"/>
        </w:rPr>
        <w:t xml:space="preserve">linear motor materials testing machine </w:t>
      </w:r>
      <w:r w:rsidR="00330FE5">
        <w:rPr>
          <w:rFonts w:ascii="Arial" w:hAnsi="Arial" w:cs="Arial"/>
          <w:color w:val="1A1A1A"/>
          <w:lang w:val="en-US"/>
        </w:rPr>
        <w:t>(40 cycles of loading with 9s</w:t>
      </w:r>
      <w:r w:rsidR="00E56E65" w:rsidRPr="00B02BA7">
        <w:rPr>
          <w:rFonts w:ascii="Arial" w:hAnsi="Arial" w:cs="Arial"/>
          <w:color w:val="1A1A1A"/>
          <w:lang w:val="en-US"/>
        </w:rPr>
        <w:t xml:space="preserve"> rest periods between each</w:t>
      </w:r>
      <w:r w:rsidR="00E56E65">
        <w:rPr>
          <w:rFonts w:ascii="Arial" w:hAnsi="Arial" w:cs="Arial"/>
          <w:color w:val="1A1A1A"/>
          <w:lang w:val="en-US"/>
        </w:rPr>
        <w:t>, see section 2.1.3</w:t>
      </w:r>
      <w:r w:rsidR="00E56E65" w:rsidRPr="00B02BA7">
        <w:rPr>
          <w:rFonts w:ascii="Arial" w:hAnsi="Arial" w:cs="Arial"/>
          <w:color w:val="1A1A1A"/>
          <w:lang w:val="en-US"/>
        </w:rPr>
        <w:t>). Left tibiae were non-loaded controls in e</w:t>
      </w:r>
      <w:r w:rsidR="00E56E65">
        <w:rPr>
          <w:rFonts w:ascii="Arial" w:hAnsi="Arial" w:cs="Arial"/>
          <w:color w:val="1A1A1A"/>
          <w:lang w:val="en-US"/>
        </w:rPr>
        <w:t>ach animal. Calcein was administrated</w:t>
      </w:r>
      <w:r w:rsidR="00E56E65" w:rsidRPr="00B02BA7">
        <w:rPr>
          <w:rFonts w:ascii="Arial" w:hAnsi="Arial" w:cs="Arial"/>
          <w:color w:val="1A1A1A"/>
          <w:lang w:val="en-US"/>
        </w:rPr>
        <w:t xml:space="preserve"> at the start and end of </w:t>
      </w:r>
      <w:r w:rsidR="00E56E65">
        <w:rPr>
          <w:rFonts w:ascii="Arial" w:hAnsi="Arial" w:cs="Arial"/>
          <w:color w:val="1A1A1A"/>
          <w:lang w:val="en-US"/>
        </w:rPr>
        <w:t>experiment as previously described</w:t>
      </w:r>
      <w:r w:rsidR="00E56E65" w:rsidRPr="00B02BA7">
        <w:rPr>
          <w:rFonts w:ascii="Arial" w:hAnsi="Arial" w:cs="Arial"/>
          <w:color w:val="1A1A1A"/>
          <w:lang w:val="en-US"/>
        </w:rPr>
        <w:t xml:space="preserve">.  Response of bones to loading </w:t>
      </w:r>
      <w:r w:rsidR="00E56E65">
        <w:rPr>
          <w:rFonts w:ascii="Arial" w:hAnsi="Arial" w:cs="Arial"/>
          <w:color w:val="1A1A1A"/>
          <w:lang w:val="en-US"/>
        </w:rPr>
        <w:t xml:space="preserve">under different conditions </w:t>
      </w:r>
      <w:r w:rsidR="00E56E65" w:rsidRPr="00B02BA7">
        <w:rPr>
          <w:rFonts w:ascii="Arial" w:hAnsi="Arial" w:cs="Arial"/>
          <w:color w:val="1A1A1A"/>
          <w:lang w:val="en-US"/>
        </w:rPr>
        <w:t xml:space="preserve">was determined by </w:t>
      </w:r>
      <w:r w:rsidR="00E56E65" w:rsidRPr="002E0001">
        <w:rPr>
          <w:rFonts w:ascii="Arial" w:hAnsi="Arial" w:cs="Arial"/>
          <w:color w:val="000000" w:themeColor="text1"/>
        </w:rPr>
        <w:sym w:font="Symbol" w:char="F06D"/>
      </w:r>
      <w:r w:rsidR="00E56E65" w:rsidRPr="002E0001">
        <w:rPr>
          <w:rFonts w:ascii="Arial" w:hAnsi="Arial" w:cs="Arial"/>
          <w:color w:val="000000" w:themeColor="text1"/>
        </w:rPr>
        <w:t>CT</w:t>
      </w:r>
      <w:r w:rsidR="00E56E65">
        <w:rPr>
          <w:rFonts w:ascii="Arial" w:eastAsiaTheme="minorHAnsi" w:hAnsi="Arial"/>
          <w:bCs/>
        </w:rPr>
        <w:t xml:space="preserve"> </w:t>
      </w:r>
      <w:r w:rsidR="00E56E65" w:rsidRPr="00B02BA7">
        <w:rPr>
          <w:rFonts w:ascii="Arial" w:hAnsi="Arial" w:cs="Arial"/>
          <w:color w:val="1A1A1A"/>
          <w:lang w:val="en-US"/>
        </w:rPr>
        <w:t>and dynamic histomorphometry.</w:t>
      </w:r>
      <w:r w:rsidR="00E56E65">
        <w:rPr>
          <w:rFonts w:ascii="Arial" w:hAnsi="Arial" w:cs="Arial"/>
          <w:color w:val="1A1A1A"/>
          <w:lang w:val="en-US"/>
        </w:rPr>
        <w:t xml:space="preserve"> </w:t>
      </w:r>
    </w:p>
    <w:p w14:paraId="736995B4" w14:textId="77777777" w:rsidR="00E56E65" w:rsidRDefault="00E56E65" w:rsidP="00E56E65">
      <w:pPr>
        <w:spacing w:line="480" w:lineRule="auto"/>
        <w:jc w:val="both"/>
        <w:rPr>
          <w:rFonts w:ascii="Arial" w:hAnsi="Arial" w:cs="Arial"/>
          <w:color w:val="1A1A1A"/>
          <w:lang w:val="en-US"/>
        </w:rPr>
      </w:pPr>
    </w:p>
    <w:p w14:paraId="34A1095C" w14:textId="77777777" w:rsidR="0060551E" w:rsidRDefault="00542090" w:rsidP="00542090">
      <w:pPr>
        <w:spacing w:line="480" w:lineRule="auto"/>
        <w:jc w:val="both"/>
        <w:rPr>
          <w:rFonts w:ascii="Arial" w:hAnsi="Arial" w:cs="Arial"/>
          <w:i/>
          <w:color w:val="000000" w:themeColor="text1"/>
        </w:rPr>
      </w:pPr>
      <w:r w:rsidRPr="004F3C99">
        <w:rPr>
          <w:rFonts w:ascii="Arial" w:hAnsi="Arial"/>
          <w:bCs/>
          <w:lang w:val="en-US"/>
        </w:rPr>
        <w:t>L</w:t>
      </w:r>
      <w:r>
        <w:rPr>
          <w:rFonts w:ascii="Arial" w:hAnsi="Arial"/>
          <w:bCs/>
          <w:lang w:val="en-US"/>
        </w:rPr>
        <w:t xml:space="preserve">oading caused </w:t>
      </w:r>
      <w:r w:rsidRPr="004F3C99">
        <w:rPr>
          <w:rFonts w:ascii="Arial" w:hAnsi="Arial"/>
          <w:bCs/>
          <w:lang w:val="en-US"/>
        </w:rPr>
        <w:t>significant adaptive response</w:t>
      </w:r>
      <w:r>
        <w:rPr>
          <w:rFonts w:ascii="Arial" w:hAnsi="Arial"/>
          <w:bCs/>
          <w:lang w:val="en-US"/>
        </w:rPr>
        <w:t>s</w:t>
      </w:r>
      <w:r w:rsidRPr="004F3C99">
        <w:rPr>
          <w:rFonts w:ascii="Arial" w:hAnsi="Arial"/>
          <w:bCs/>
          <w:lang w:val="en-US"/>
        </w:rPr>
        <w:t xml:space="preserve"> in </w:t>
      </w:r>
      <w:r>
        <w:rPr>
          <w:rFonts w:ascii="Arial" w:hAnsi="Arial"/>
          <w:bCs/>
          <w:lang w:val="en-US"/>
        </w:rPr>
        <w:t>cortical and trabecular bone of</w:t>
      </w:r>
      <w:r w:rsidRPr="004F3C99">
        <w:rPr>
          <w:rFonts w:ascii="Arial" w:hAnsi="Arial"/>
          <w:bCs/>
          <w:lang w:val="en-US"/>
        </w:rPr>
        <w:t xml:space="preserve"> the loaded right </w:t>
      </w:r>
      <w:r>
        <w:rPr>
          <w:rFonts w:ascii="Arial" w:hAnsi="Arial"/>
          <w:bCs/>
          <w:lang w:val="en-US"/>
        </w:rPr>
        <w:t xml:space="preserve">tibiae compared with unloaded left controls </w:t>
      </w:r>
      <w:r w:rsidRPr="004F3C99">
        <w:rPr>
          <w:rFonts w:ascii="Arial" w:hAnsi="Arial"/>
          <w:bCs/>
          <w:lang w:val="en-US"/>
        </w:rPr>
        <w:t xml:space="preserve">in both </w:t>
      </w:r>
      <w:r w:rsidR="005606B1">
        <w:rPr>
          <w:rFonts w:ascii="Arial" w:hAnsi="Arial"/>
          <w:bCs/>
          <w:lang w:val="en-US"/>
        </w:rPr>
        <w:t>fed or fed for 2</w:t>
      </w:r>
      <w:r w:rsidRPr="00D2426C">
        <w:rPr>
          <w:rFonts w:ascii="Arial" w:hAnsi="Arial"/>
          <w:bCs/>
          <w:lang w:val="en-US"/>
        </w:rPr>
        <w:t xml:space="preserve"> h</w:t>
      </w:r>
      <w:r w:rsidR="005606B1">
        <w:rPr>
          <w:rFonts w:ascii="Arial" w:hAnsi="Arial"/>
          <w:bCs/>
          <w:lang w:val="en-US"/>
        </w:rPr>
        <w:t>ours following overnight fast</w:t>
      </w:r>
      <w:r w:rsidRPr="00D2426C">
        <w:rPr>
          <w:rFonts w:ascii="Arial" w:hAnsi="Arial"/>
          <w:bCs/>
          <w:lang w:val="en-US"/>
        </w:rPr>
        <w:t xml:space="preserve"> </w:t>
      </w:r>
      <w:r>
        <w:rPr>
          <w:rFonts w:ascii="Arial" w:hAnsi="Arial"/>
          <w:bCs/>
          <w:lang w:val="en-US"/>
        </w:rPr>
        <w:t xml:space="preserve">experimental </w:t>
      </w:r>
      <w:r w:rsidRPr="004F3C99">
        <w:rPr>
          <w:rFonts w:ascii="Arial" w:hAnsi="Arial"/>
          <w:bCs/>
          <w:lang w:val="en-US"/>
        </w:rPr>
        <w:t xml:space="preserve">groups. </w:t>
      </w:r>
      <w:r w:rsidRPr="009901A7">
        <w:rPr>
          <w:rFonts w:ascii="Arial" w:hAnsi="Arial"/>
          <w:bCs/>
          <w:lang w:val="en-US"/>
        </w:rPr>
        <w:t xml:space="preserve">The morphological changes of the loaded and non-loaded tibiae of fed and fasted fed mice were compared using </w:t>
      </w:r>
      <w:r w:rsidRPr="009901A7">
        <w:rPr>
          <w:rFonts w:ascii="Arial" w:hAnsi="Arial" w:cs="Arial"/>
          <w:color w:val="000000" w:themeColor="text1"/>
        </w:rPr>
        <w:sym w:font="Symbol" w:char="F06D"/>
      </w:r>
      <w:r w:rsidRPr="009901A7">
        <w:rPr>
          <w:rFonts w:ascii="Arial" w:hAnsi="Arial" w:cs="Arial"/>
          <w:color w:val="000000" w:themeColor="text1"/>
        </w:rPr>
        <w:t>CT 3D models of the whole bone scanned at a resolutio</w:t>
      </w:r>
      <w:r w:rsidR="00D734CE">
        <w:rPr>
          <w:rFonts w:ascii="Arial" w:hAnsi="Arial" w:cs="Arial"/>
          <w:color w:val="000000" w:themeColor="text1"/>
        </w:rPr>
        <w:t>n of 17.2</w:t>
      </w:r>
      <w:r w:rsidRPr="009901A7">
        <w:rPr>
          <w:rFonts w:ascii="Arial" w:hAnsi="Arial" w:cs="Arial"/>
          <w:color w:val="000000" w:themeColor="text1"/>
        </w:rPr>
        <w:sym w:font="Symbol" w:char="F06D"/>
      </w:r>
      <w:r w:rsidR="00F52120">
        <w:rPr>
          <w:rFonts w:ascii="Arial" w:hAnsi="Arial" w:cs="Arial"/>
          <w:color w:val="000000" w:themeColor="text1"/>
        </w:rPr>
        <w:t>m (Figure 27</w:t>
      </w:r>
      <w:r w:rsidRPr="009901A7">
        <w:rPr>
          <w:rFonts w:ascii="Arial" w:hAnsi="Arial" w:cs="Arial"/>
          <w:color w:val="000000" w:themeColor="text1"/>
        </w:rPr>
        <w:t>).</w:t>
      </w:r>
      <w:r>
        <w:rPr>
          <w:rFonts w:ascii="Arial" w:hAnsi="Arial" w:cs="Arial"/>
          <w:i/>
          <w:color w:val="000000" w:themeColor="text1"/>
        </w:rPr>
        <w:t xml:space="preserve"> </w:t>
      </w:r>
      <w:r w:rsidR="00B83053">
        <w:rPr>
          <w:rFonts w:ascii="Arial" w:hAnsi="Arial" w:cs="Arial"/>
          <w:color w:val="000000" w:themeColor="text1"/>
        </w:rPr>
        <w:t>The quantitative data are summarised in the Table 2.</w:t>
      </w:r>
    </w:p>
    <w:p w14:paraId="20F0E8B6" w14:textId="77777777" w:rsidR="00277F33" w:rsidRDefault="00277F33" w:rsidP="00542090">
      <w:pPr>
        <w:spacing w:line="480" w:lineRule="auto"/>
        <w:jc w:val="both"/>
        <w:rPr>
          <w:rFonts w:ascii="Arial" w:hAnsi="Arial" w:cs="Arial"/>
          <w:i/>
          <w:color w:val="000000" w:themeColor="text1"/>
        </w:rPr>
      </w:pPr>
    </w:p>
    <w:p w14:paraId="551C633C" w14:textId="77777777" w:rsidR="00277F33" w:rsidRPr="00277F33" w:rsidRDefault="00277F33" w:rsidP="00277F33">
      <w:pPr>
        <w:rPr>
          <w:rFonts w:ascii="Arial" w:hAnsi="Arial" w:cs="Arial"/>
        </w:rPr>
      </w:pPr>
    </w:p>
    <w:p w14:paraId="3D17DBD3" w14:textId="77777777" w:rsidR="00277F33" w:rsidRDefault="00277F33" w:rsidP="007E0573">
      <w:pPr>
        <w:jc w:val="center"/>
        <w:rPr>
          <w:rFonts w:ascii="Arial" w:hAnsi="Arial" w:cs="Arial"/>
        </w:rPr>
      </w:pPr>
    </w:p>
    <w:p w14:paraId="5758FE20" w14:textId="77777777" w:rsidR="008D4D45" w:rsidRDefault="008D4D45" w:rsidP="00B83053">
      <w:pPr>
        <w:rPr>
          <w:rFonts w:ascii="Arial" w:hAnsi="Arial" w:cs="Arial"/>
        </w:rPr>
      </w:pPr>
    </w:p>
    <w:p w14:paraId="0C19EE9D" w14:textId="77777777" w:rsidR="008D4D45" w:rsidRDefault="008D4D45" w:rsidP="007E0573">
      <w:pPr>
        <w:jc w:val="center"/>
        <w:rPr>
          <w:rFonts w:ascii="Arial" w:hAnsi="Arial" w:cs="Arial"/>
        </w:rPr>
      </w:pPr>
    </w:p>
    <w:p w14:paraId="59E3C078" w14:textId="77777777" w:rsidR="008D4D45" w:rsidRPr="00277F33" w:rsidRDefault="008D4D45" w:rsidP="007E0573">
      <w:pPr>
        <w:jc w:val="center"/>
        <w:rPr>
          <w:rFonts w:ascii="Arial" w:hAnsi="Arial" w:cs="Arial"/>
        </w:rPr>
      </w:pPr>
    </w:p>
    <w:p w14:paraId="115BA7B8" w14:textId="77777777" w:rsidR="00277F33" w:rsidRPr="00277F33" w:rsidRDefault="009D1B79" w:rsidP="009D1B79">
      <w:pPr>
        <w:rPr>
          <w:rFonts w:ascii="Arial" w:hAnsi="Arial" w:cs="Arial"/>
        </w:rPr>
      </w:pPr>
      <w:r>
        <w:rPr>
          <w:rFonts w:ascii="Arial" w:hAnsi="Arial" w:cs="Arial"/>
        </w:rPr>
        <w:t xml:space="preserve">                                  </w:t>
      </w:r>
      <w:r w:rsidR="008B1321" w:rsidRPr="008B1321">
        <w:rPr>
          <w:rFonts w:ascii="Arial" w:hAnsi="Arial" w:cs="Arial"/>
          <w:noProof/>
          <w:lang w:val="en-US"/>
        </w:rPr>
        <w:drawing>
          <wp:inline distT="0" distB="0" distL="0" distR="0" wp14:anchorId="519D8CD0" wp14:editId="242FE5C0">
            <wp:extent cx="2931160" cy="6104890"/>
            <wp:effectExtent l="0" t="0" r="0" b="0"/>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lum bright="5000"/>
                      <a:extLst>
                        <a:ext uri="{28A0092B-C50C-407E-A947-70E740481C1C}">
                          <a14:useLocalDpi xmlns:a14="http://schemas.microsoft.com/office/drawing/2010/main" val="0"/>
                        </a:ext>
                      </a:extLst>
                    </a:blip>
                    <a:srcRect/>
                    <a:stretch>
                      <a:fillRect/>
                    </a:stretch>
                  </pic:blipFill>
                  <pic:spPr bwMode="auto">
                    <a:xfrm>
                      <a:off x="0" y="0"/>
                      <a:ext cx="2931160" cy="6104890"/>
                    </a:xfrm>
                    <a:prstGeom prst="rect">
                      <a:avLst/>
                    </a:prstGeom>
                    <a:noFill/>
                    <a:ln>
                      <a:noFill/>
                    </a:ln>
                  </pic:spPr>
                </pic:pic>
              </a:graphicData>
            </a:graphic>
          </wp:inline>
        </w:drawing>
      </w:r>
    </w:p>
    <w:p w14:paraId="043DF572" w14:textId="77777777" w:rsidR="00277F33" w:rsidRDefault="00277F33" w:rsidP="00277F33">
      <w:pPr>
        <w:rPr>
          <w:rFonts w:ascii="Arial" w:hAnsi="Arial" w:cs="Arial"/>
        </w:rPr>
      </w:pPr>
    </w:p>
    <w:p w14:paraId="57FDC159" w14:textId="77777777" w:rsidR="0060551E" w:rsidRDefault="00277F33" w:rsidP="00277F33">
      <w:pPr>
        <w:tabs>
          <w:tab w:val="left" w:pos="1800"/>
        </w:tabs>
        <w:rPr>
          <w:rFonts w:ascii="Arial" w:hAnsi="Arial" w:cs="Arial"/>
        </w:rPr>
      </w:pPr>
      <w:r>
        <w:rPr>
          <w:rFonts w:ascii="Arial" w:hAnsi="Arial" w:cs="Arial"/>
        </w:rPr>
        <w:tab/>
      </w:r>
    </w:p>
    <w:p w14:paraId="3CEF503E" w14:textId="77777777" w:rsidR="00F52120" w:rsidRPr="00CA645A" w:rsidRDefault="00F52120" w:rsidP="00CA645A">
      <w:pPr>
        <w:pStyle w:val="Caption"/>
        <w:spacing w:line="360" w:lineRule="auto"/>
        <w:jc w:val="both"/>
        <w:rPr>
          <w:rFonts w:ascii="Arial" w:hAnsi="Arial" w:cs="Arial"/>
          <w:color w:val="244061" w:themeColor="accent1" w:themeShade="80"/>
          <w:sz w:val="24"/>
          <w:szCs w:val="24"/>
        </w:rPr>
      </w:pPr>
      <w:bookmarkStart w:id="95" w:name="_Toc383544618"/>
      <w:r w:rsidRPr="00CA645A">
        <w:rPr>
          <w:rFonts w:ascii="Arial" w:hAnsi="Arial" w:cs="Arial"/>
          <w:color w:val="244061" w:themeColor="accent1" w:themeShade="80"/>
          <w:sz w:val="24"/>
          <w:szCs w:val="24"/>
        </w:rPr>
        <w:t xml:space="preserve">Figure </w:t>
      </w:r>
      <w:r w:rsidRPr="00CA645A">
        <w:rPr>
          <w:rFonts w:ascii="Arial" w:hAnsi="Arial" w:cs="Arial"/>
          <w:color w:val="244061" w:themeColor="accent1" w:themeShade="80"/>
          <w:sz w:val="24"/>
          <w:szCs w:val="24"/>
        </w:rPr>
        <w:fldChar w:fldCharType="begin"/>
      </w:r>
      <w:r w:rsidRPr="00CA645A">
        <w:rPr>
          <w:rFonts w:ascii="Arial" w:hAnsi="Arial" w:cs="Arial"/>
          <w:color w:val="244061" w:themeColor="accent1" w:themeShade="80"/>
          <w:sz w:val="24"/>
          <w:szCs w:val="24"/>
        </w:rPr>
        <w:instrText xml:space="preserve"> SEQ Figure \* ARABIC </w:instrText>
      </w:r>
      <w:r w:rsidRPr="00CA645A">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27</w:t>
      </w:r>
      <w:r w:rsidRPr="00CA645A">
        <w:rPr>
          <w:rFonts w:ascii="Arial" w:hAnsi="Arial" w:cs="Arial"/>
          <w:color w:val="244061" w:themeColor="accent1" w:themeShade="80"/>
          <w:sz w:val="24"/>
          <w:szCs w:val="24"/>
        </w:rPr>
        <w:fldChar w:fldCharType="end"/>
      </w:r>
      <w:r w:rsidRPr="00CA645A">
        <w:rPr>
          <w:rFonts w:ascii="Arial" w:hAnsi="Arial" w:cs="Arial"/>
          <w:color w:val="244061" w:themeColor="accent1" w:themeShade="80"/>
          <w:sz w:val="24"/>
          <w:szCs w:val="24"/>
        </w:rPr>
        <w:t xml:space="preserve"> The whole bone response to mechanical loading</w:t>
      </w:r>
      <w:bookmarkEnd w:id="95"/>
    </w:p>
    <w:p w14:paraId="43E63D5B" w14:textId="77777777" w:rsidR="00F52120" w:rsidRPr="00987C5A" w:rsidRDefault="00074F0E" w:rsidP="00F52120">
      <w:pPr>
        <w:spacing w:line="360" w:lineRule="auto"/>
        <w:jc w:val="both"/>
        <w:rPr>
          <w:rFonts w:ascii="Arial" w:hAnsi="Arial" w:cs="Arial"/>
          <w:color w:val="000000" w:themeColor="text1"/>
        </w:rPr>
      </w:pPr>
      <w:r>
        <w:rPr>
          <w:rFonts w:ascii="Arial" w:hAnsi="Arial" w:cs="Arial"/>
          <w:sz w:val="22"/>
          <w:szCs w:val="22"/>
        </w:rPr>
        <w:t>R</w:t>
      </w:r>
      <w:r w:rsidR="00205311">
        <w:rPr>
          <w:rFonts w:ascii="Arial" w:hAnsi="Arial" w:cs="Arial"/>
          <w:sz w:val="22"/>
          <w:szCs w:val="22"/>
        </w:rPr>
        <w:t xml:space="preserve">epresentative </w:t>
      </w:r>
      <w:r w:rsidR="00F52120">
        <w:rPr>
          <w:rFonts w:ascii="Arial" w:hAnsi="Arial" w:cs="Arial"/>
          <w:sz w:val="22"/>
          <w:szCs w:val="22"/>
        </w:rPr>
        <w:t xml:space="preserve">3D models of </w:t>
      </w:r>
      <w:r w:rsidR="00492C75">
        <w:rPr>
          <w:rFonts w:ascii="Arial" w:hAnsi="Arial" w:cs="Arial"/>
          <w:sz w:val="22"/>
          <w:szCs w:val="22"/>
        </w:rPr>
        <w:t xml:space="preserve">loaded and non-loaded </w:t>
      </w:r>
      <w:r w:rsidR="00F52120">
        <w:rPr>
          <w:rFonts w:ascii="Arial" w:hAnsi="Arial" w:cs="Arial"/>
          <w:sz w:val="22"/>
          <w:szCs w:val="22"/>
        </w:rPr>
        <w:t>whole</w:t>
      </w:r>
      <w:r w:rsidR="00957D75" w:rsidRPr="00957D75">
        <w:rPr>
          <w:rFonts w:ascii="Arial" w:hAnsi="Arial" w:cs="Arial"/>
          <w:sz w:val="22"/>
          <w:szCs w:val="22"/>
        </w:rPr>
        <w:t xml:space="preserve"> </w:t>
      </w:r>
      <w:r w:rsidR="00F52120">
        <w:rPr>
          <w:rFonts w:ascii="Arial" w:hAnsi="Arial" w:cs="Arial"/>
          <w:sz w:val="22"/>
          <w:szCs w:val="22"/>
        </w:rPr>
        <w:t xml:space="preserve">tibiae </w:t>
      </w:r>
      <w:r w:rsidR="00957D75">
        <w:rPr>
          <w:rFonts w:ascii="Arial" w:hAnsi="Arial" w:cs="Arial"/>
          <w:sz w:val="22"/>
          <w:szCs w:val="22"/>
        </w:rPr>
        <w:t>of</w:t>
      </w:r>
      <w:r w:rsidR="00F52120">
        <w:rPr>
          <w:rFonts w:ascii="Arial" w:hAnsi="Arial" w:cs="Arial"/>
          <w:sz w:val="22"/>
          <w:szCs w:val="22"/>
        </w:rPr>
        <w:t xml:space="preserve"> ad-lib fed and fasted 2-hour fed </w:t>
      </w:r>
      <w:r w:rsidR="00957D75">
        <w:rPr>
          <w:rFonts w:ascii="Arial" w:hAnsi="Arial" w:cs="Arial"/>
          <w:sz w:val="22"/>
          <w:szCs w:val="22"/>
        </w:rPr>
        <w:t>mice</w:t>
      </w:r>
      <w:r w:rsidR="00F52120">
        <w:rPr>
          <w:rFonts w:ascii="Arial" w:hAnsi="Arial" w:cs="Arial"/>
          <w:sz w:val="22"/>
          <w:szCs w:val="22"/>
        </w:rPr>
        <w:t xml:space="preserve"> reconstructed </w:t>
      </w:r>
      <w:r w:rsidR="00F52120" w:rsidRPr="00883196">
        <w:rPr>
          <w:rFonts w:ascii="Arial" w:hAnsi="Arial" w:cs="Arial"/>
          <w:sz w:val="22"/>
          <w:szCs w:val="22"/>
        </w:rPr>
        <w:t xml:space="preserve">from </w:t>
      </w:r>
      <w:r w:rsidR="00F52120" w:rsidRPr="00883196">
        <w:rPr>
          <w:rFonts w:ascii="Arial" w:hAnsi="Arial" w:cs="Arial"/>
          <w:color w:val="000000" w:themeColor="text1"/>
          <w:sz w:val="22"/>
          <w:szCs w:val="22"/>
        </w:rPr>
        <w:sym w:font="Symbol" w:char="F06D"/>
      </w:r>
      <w:r w:rsidR="00F52120" w:rsidRPr="00883196">
        <w:rPr>
          <w:rFonts w:ascii="Arial" w:hAnsi="Arial" w:cs="Arial"/>
          <w:color w:val="000000" w:themeColor="text1"/>
          <w:sz w:val="22"/>
          <w:szCs w:val="22"/>
        </w:rPr>
        <w:t>CT images</w:t>
      </w:r>
      <w:r w:rsidR="00492C75">
        <w:rPr>
          <w:rFonts w:ascii="Arial" w:hAnsi="Arial" w:cs="Arial"/>
          <w:color w:val="000000" w:themeColor="text1"/>
        </w:rPr>
        <w:t>.</w:t>
      </w:r>
      <w:r w:rsidR="00F52120">
        <w:rPr>
          <w:rFonts w:ascii="Arial" w:hAnsi="Arial" w:cs="Arial"/>
          <w:color w:val="000000" w:themeColor="text1"/>
        </w:rPr>
        <w:t xml:space="preserve"> </w:t>
      </w:r>
      <w:r w:rsidR="00492C75">
        <w:rPr>
          <w:rFonts w:ascii="Arial" w:hAnsi="Arial" w:cs="Arial"/>
          <w:color w:val="000000" w:themeColor="text1"/>
          <w:sz w:val="22"/>
          <w:szCs w:val="22"/>
        </w:rPr>
        <w:t>S</w:t>
      </w:r>
      <w:r w:rsidR="00F52120" w:rsidRPr="00177064">
        <w:rPr>
          <w:rFonts w:ascii="Arial" w:hAnsi="Arial" w:cs="Arial"/>
          <w:color w:val="000000" w:themeColor="text1"/>
          <w:sz w:val="22"/>
          <w:szCs w:val="22"/>
        </w:rPr>
        <w:t xml:space="preserve">cale bar </w:t>
      </w:r>
      <w:r w:rsidR="00F52120" w:rsidRPr="00D05A1A">
        <w:rPr>
          <w:rFonts w:ascii="Arial" w:hAnsi="Arial" w:cs="Arial"/>
          <w:i/>
          <w:color w:val="000000" w:themeColor="text1"/>
          <w:sz w:val="22"/>
          <w:szCs w:val="22"/>
        </w:rPr>
        <w:t>=</w:t>
      </w:r>
      <w:r w:rsidR="00F52120" w:rsidRPr="003E15D6">
        <w:rPr>
          <w:rFonts w:ascii="Arial" w:hAnsi="Arial" w:cs="Arial"/>
          <w:color w:val="000000" w:themeColor="text1"/>
          <w:sz w:val="22"/>
          <w:szCs w:val="22"/>
        </w:rPr>
        <w:t xml:space="preserve"> </w:t>
      </w:r>
      <w:r w:rsidR="003E15D6" w:rsidRPr="003E15D6">
        <w:rPr>
          <w:rFonts w:ascii="Arial" w:hAnsi="Arial" w:cs="Arial"/>
          <w:color w:val="000000" w:themeColor="text1"/>
          <w:sz w:val="22"/>
          <w:szCs w:val="22"/>
        </w:rPr>
        <w:t>2</w:t>
      </w:r>
      <w:r w:rsidR="0030749E">
        <w:rPr>
          <w:rFonts w:ascii="Arial" w:hAnsi="Arial" w:cs="Arial"/>
          <w:color w:val="000000" w:themeColor="text1"/>
          <w:sz w:val="22"/>
          <w:szCs w:val="22"/>
        </w:rPr>
        <w:t>.0</w:t>
      </w:r>
      <w:r w:rsidR="003E15D6" w:rsidRPr="003E15D6">
        <w:rPr>
          <w:rFonts w:ascii="Arial" w:hAnsi="Arial" w:cs="Arial"/>
          <w:color w:val="000000" w:themeColor="text1"/>
          <w:sz w:val="22"/>
          <w:szCs w:val="22"/>
        </w:rPr>
        <w:t>mm</w:t>
      </w:r>
    </w:p>
    <w:p w14:paraId="72CC95EF" w14:textId="77777777" w:rsidR="00F52120" w:rsidRDefault="00F52120" w:rsidP="00F52120">
      <w:pPr>
        <w:spacing w:line="480" w:lineRule="auto"/>
        <w:jc w:val="both"/>
        <w:rPr>
          <w:rFonts w:ascii="Arial" w:hAnsi="Arial"/>
          <w:bCs/>
          <w:lang w:val="en-US"/>
        </w:rPr>
      </w:pPr>
    </w:p>
    <w:p w14:paraId="2DA0F5C6" w14:textId="77777777" w:rsidR="00F52120" w:rsidRDefault="00F52120" w:rsidP="00F52120">
      <w:pPr>
        <w:spacing w:line="480" w:lineRule="auto"/>
        <w:jc w:val="both"/>
        <w:rPr>
          <w:rFonts w:ascii="Arial" w:hAnsi="Arial"/>
          <w:bCs/>
          <w:lang w:val="en-US"/>
        </w:rPr>
      </w:pPr>
    </w:p>
    <w:p w14:paraId="130181D4" w14:textId="77777777" w:rsidR="0060551E" w:rsidRDefault="0060551E" w:rsidP="00F52120">
      <w:pPr>
        <w:spacing w:line="480" w:lineRule="auto"/>
        <w:jc w:val="center"/>
        <w:rPr>
          <w:rFonts w:ascii="Arial" w:hAnsi="Arial" w:cs="Arial"/>
          <w:i/>
          <w:color w:val="000000" w:themeColor="text1"/>
        </w:rPr>
      </w:pPr>
    </w:p>
    <w:p w14:paraId="3BDE4DC6" w14:textId="77777777" w:rsidR="00E56E65" w:rsidRPr="00F033D9" w:rsidRDefault="00E56E65" w:rsidP="00E56E65">
      <w:pPr>
        <w:spacing w:line="480" w:lineRule="auto"/>
        <w:jc w:val="both"/>
        <w:rPr>
          <w:rFonts w:ascii="Arial" w:hAnsi="Arial" w:cs="Arial"/>
          <w:color w:val="1A1A1A"/>
          <w:lang w:val="en-US"/>
        </w:rPr>
      </w:pPr>
      <w:r>
        <w:rPr>
          <w:rFonts w:ascii="Arial" w:hAnsi="Arial"/>
          <w:bCs/>
          <w:lang w:val="en-US"/>
        </w:rPr>
        <w:lastRenderedPageBreak/>
        <w:t>Cortical bone area</w:t>
      </w:r>
      <w:r>
        <w:rPr>
          <w:rFonts w:ascii="Arial" w:hAnsi="Arial" w:cs="Arial"/>
          <w:noProof/>
          <w:color w:val="000000" w:themeColor="text1"/>
        </w:rPr>
        <w:t xml:space="preserve"> </w:t>
      </w:r>
      <w:r w:rsidRPr="001C349E">
        <w:rPr>
          <w:rFonts w:ascii="Arial" w:hAnsi="Arial"/>
          <w:bCs/>
          <w:lang w:val="en-US"/>
        </w:rPr>
        <w:t>s</w:t>
      </w:r>
      <w:r>
        <w:rPr>
          <w:rFonts w:ascii="Arial" w:hAnsi="Arial"/>
          <w:bCs/>
          <w:lang w:val="en-US"/>
        </w:rPr>
        <w:t>ignificantly</w:t>
      </w:r>
      <w:r w:rsidRPr="001C349E">
        <w:rPr>
          <w:rFonts w:ascii="Arial" w:hAnsi="Arial"/>
          <w:bCs/>
          <w:lang w:val="en-US"/>
        </w:rPr>
        <w:t xml:space="preserve"> increased </w:t>
      </w:r>
      <w:r>
        <w:rPr>
          <w:rFonts w:ascii="Arial" w:hAnsi="Arial"/>
          <w:bCs/>
          <w:lang w:val="en-US"/>
        </w:rPr>
        <w:t>by 10</w:t>
      </w:r>
      <w:r w:rsidRPr="001C349E">
        <w:rPr>
          <w:rFonts w:ascii="Arial" w:hAnsi="Arial"/>
          <w:bCs/>
          <w:lang w:val="en-US"/>
        </w:rPr>
        <w:t xml:space="preserve">% </w:t>
      </w:r>
      <w:r w:rsidR="00D734CE">
        <w:rPr>
          <w:rFonts w:ascii="Arial" w:hAnsi="Arial"/>
          <w:bCs/>
          <w:lang w:val="en-US"/>
        </w:rPr>
        <w:t>in fed and 17</w:t>
      </w:r>
      <w:r w:rsidRPr="001C349E">
        <w:rPr>
          <w:rFonts w:ascii="Arial" w:hAnsi="Arial"/>
          <w:bCs/>
          <w:lang w:val="en-US"/>
        </w:rPr>
        <w:t xml:space="preserve">% </w:t>
      </w:r>
      <w:r>
        <w:rPr>
          <w:rFonts w:ascii="Arial" w:hAnsi="Arial"/>
          <w:bCs/>
          <w:lang w:val="en-US"/>
        </w:rPr>
        <w:t xml:space="preserve">in fasted fed mice compared to the non-loaded left controls. </w:t>
      </w:r>
      <w:r>
        <w:rPr>
          <w:rFonts w:ascii="Arial" w:hAnsi="Arial" w:cs="Arial"/>
          <w:color w:val="1A1A1A"/>
          <w:lang w:val="en-US"/>
        </w:rPr>
        <w:t>C</w:t>
      </w:r>
      <w:r w:rsidRPr="008B7AA7">
        <w:rPr>
          <w:rFonts w:ascii="Arial" w:hAnsi="Arial" w:cs="Arial"/>
          <w:color w:val="1A1A1A"/>
          <w:lang w:val="en-US"/>
        </w:rPr>
        <w:t xml:space="preserve">ortical thickness </w:t>
      </w:r>
      <w:r>
        <w:rPr>
          <w:rFonts w:ascii="Arial" w:hAnsi="Arial" w:cs="Arial"/>
          <w:color w:val="1A1A1A"/>
          <w:lang w:val="en-US"/>
        </w:rPr>
        <w:t xml:space="preserve">of </w:t>
      </w:r>
      <w:r w:rsidRPr="001C349E">
        <w:rPr>
          <w:rFonts w:ascii="Arial" w:hAnsi="Arial"/>
          <w:bCs/>
          <w:lang w:val="en-US"/>
        </w:rPr>
        <w:t>the loaded right tib</w:t>
      </w:r>
      <w:r w:rsidR="00D734CE">
        <w:rPr>
          <w:rFonts w:ascii="Arial" w:hAnsi="Arial"/>
          <w:bCs/>
          <w:lang w:val="en-US"/>
        </w:rPr>
        <w:t>iae increased by 14</w:t>
      </w:r>
      <w:r w:rsidRPr="001C349E">
        <w:rPr>
          <w:rFonts w:ascii="Arial" w:hAnsi="Arial"/>
          <w:bCs/>
          <w:lang w:val="en-US"/>
        </w:rPr>
        <w:t xml:space="preserve">% in </w:t>
      </w:r>
      <w:r w:rsidR="00D734CE">
        <w:rPr>
          <w:rFonts w:ascii="Arial" w:hAnsi="Arial"/>
          <w:bCs/>
          <w:lang w:val="en-US"/>
        </w:rPr>
        <w:t>fed mice and 23</w:t>
      </w:r>
      <w:r>
        <w:rPr>
          <w:rFonts w:ascii="Arial" w:hAnsi="Arial"/>
          <w:bCs/>
          <w:lang w:val="en-US"/>
        </w:rPr>
        <w:t>%</w:t>
      </w:r>
      <w:r w:rsidRPr="001C349E">
        <w:rPr>
          <w:rFonts w:ascii="Arial" w:hAnsi="Arial"/>
          <w:bCs/>
          <w:lang w:val="en-US"/>
        </w:rPr>
        <w:t xml:space="preserve"> in </w:t>
      </w:r>
      <w:r w:rsidR="00343B88">
        <w:rPr>
          <w:rFonts w:ascii="Arial" w:hAnsi="Arial"/>
          <w:bCs/>
          <w:lang w:val="en-US"/>
        </w:rPr>
        <w:t>fasted 2-hour</w:t>
      </w:r>
      <w:r>
        <w:rPr>
          <w:rFonts w:ascii="Arial" w:hAnsi="Arial"/>
          <w:bCs/>
          <w:lang w:val="en-US"/>
        </w:rPr>
        <w:t xml:space="preserve"> </w:t>
      </w:r>
      <w:r w:rsidRPr="001C349E">
        <w:rPr>
          <w:rFonts w:ascii="Arial" w:hAnsi="Arial"/>
          <w:bCs/>
          <w:lang w:val="en-US"/>
        </w:rPr>
        <w:t>fed mice</w:t>
      </w:r>
      <w:r>
        <w:rPr>
          <w:rFonts w:ascii="Arial" w:hAnsi="Arial"/>
          <w:bCs/>
          <w:lang w:val="en-US"/>
        </w:rPr>
        <w:t xml:space="preserve"> compared to the non-loaded left tibiae</w:t>
      </w:r>
      <w:r w:rsidRPr="001C349E">
        <w:rPr>
          <w:rFonts w:ascii="Arial" w:hAnsi="Arial"/>
          <w:bCs/>
          <w:lang w:val="en-US"/>
        </w:rPr>
        <w:t>.</w:t>
      </w:r>
      <w:r>
        <w:rPr>
          <w:rFonts w:ascii="Arial" w:hAnsi="Arial"/>
          <w:bCs/>
          <w:lang w:val="en-US"/>
        </w:rPr>
        <w:t xml:space="preserve"> More importantly, </w:t>
      </w:r>
      <w:r>
        <w:rPr>
          <w:rFonts w:ascii="Arial" w:hAnsi="Arial" w:cs="Arial"/>
          <w:color w:val="1A1A1A"/>
          <w:lang w:val="en-US"/>
        </w:rPr>
        <w:t>t</w:t>
      </w:r>
      <w:r w:rsidRPr="008B7AA7">
        <w:rPr>
          <w:rFonts w:ascii="Arial" w:hAnsi="Arial" w:cs="Arial"/>
          <w:color w:val="1A1A1A"/>
          <w:lang w:val="en-US"/>
        </w:rPr>
        <w:t xml:space="preserve">he change in </w:t>
      </w:r>
      <w:r>
        <w:rPr>
          <w:rFonts w:ascii="Arial" w:hAnsi="Arial" w:cs="Arial"/>
          <w:color w:val="1A1A1A"/>
          <w:lang w:val="en-US"/>
        </w:rPr>
        <w:t>c</w:t>
      </w:r>
      <w:r w:rsidRPr="008B7AA7">
        <w:rPr>
          <w:rFonts w:ascii="Arial" w:hAnsi="Arial" w:cs="Arial"/>
          <w:color w:val="1A1A1A"/>
          <w:lang w:val="en-US"/>
        </w:rPr>
        <w:t xml:space="preserve">ortical thickness induced by </w:t>
      </w:r>
      <w:r>
        <w:rPr>
          <w:rFonts w:ascii="Arial" w:hAnsi="Arial" w:cs="Arial"/>
          <w:color w:val="1A1A1A"/>
          <w:lang w:val="en-US"/>
        </w:rPr>
        <w:t>maximal loading was 67</w:t>
      </w:r>
      <w:r w:rsidRPr="008B7AA7">
        <w:rPr>
          <w:rFonts w:ascii="Arial" w:hAnsi="Arial" w:cs="Arial"/>
          <w:color w:val="1A1A1A"/>
          <w:lang w:val="en-US"/>
        </w:rPr>
        <w:t>% greater in animals that were fas</w:t>
      </w:r>
      <w:r w:rsidR="00E77BDE">
        <w:rPr>
          <w:rFonts w:ascii="Arial" w:hAnsi="Arial" w:cs="Arial"/>
          <w:color w:val="1A1A1A"/>
          <w:lang w:val="en-US"/>
        </w:rPr>
        <w:t>ted then fed for 2 hours</w:t>
      </w:r>
      <w:r w:rsidRPr="008B7AA7">
        <w:rPr>
          <w:rFonts w:ascii="Arial" w:hAnsi="Arial" w:cs="Arial"/>
          <w:color w:val="1A1A1A"/>
          <w:lang w:val="en-US"/>
        </w:rPr>
        <w:t xml:space="preserve"> than in </w:t>
      </w:r>
      <w:r>
        <w:rPr>
          <w:rFonts w:ascii="Arial" w:hAnsi="Arial" w:cs="Arial"/>
          <w:color w:val="1A1A1A"/>
          <w:lang w:val="en-US"/>
        </w:rPr>
        <w:t xml:space="preserve">the </w:t>
      </w:r>
      <w:r w:rsidRPr="008B7AA7">
        <w:rPr>
          <w:rFonts w:ascii="Arial" w:hAnsi="Arial" w:cs="Arial"/>
          <w:color w:val="1A1A1A"/>
          <w:lang w:val="en-US"/>
        </w:rPr>
        <w:t>loaded bones of animals fed ad-lib before loading</w:t>
      </w:r>
      <w:r w:rsidR="00D12571">
        <w:rPr>
          <w:rFonts w:ascii="Arial" w:hAnsi="Arial" w:cs="Arial"/>
          <w:color w:val="1A1A1A"/>
          <w:lang w:val="en-US"/>
        </w:rPr>
        <w:t xml:space="preserve"> (Figure 28</w:t>
      </w:r>
      <w:r>
        <w:rPr>
          <w:rFonts w:ascii="Arial" w:hAnsi="Arial" w:cs="Arial"/>
          <w:color w:val="1A1A1A"/>
          <w:lang w:val="en-US"/>
        </w:rPr>
        <w:t xml:space="preserve">). </w:t>
      </w:r>
    </w:p>
    <w:p w14:paraId="5A5A81C4" w14:textId="77777777" w:rsidR="00E56E65" w:rsidRPr="007F2ED1" w:rsidRDefault="00E56E65" w:rsidP="00E56E65">
      <w:pPr>
        <w:spacing w:line="480" w:lineRule="auto"/>
        <w:jc w:val="both"/>
        <w:rPr>
          <w:rFonts w:ascii="Arial" w:eastAsiaTheme="minorHAnsi" w:hAnsi="Arial" w:cs="Arial"/>
          <w:b/>
          <w:bCs/>
          <w:color w:val="000000" w:themeColor="text1"/>
          <w:lang w:val="en-US"/>
        </w:rPr>
      </w:pPr>
      <w:r>
        <w:rPr>
          <w:rFonts w:ascii="Arial" w:hAnsi="Arial" w:cs="Arial"/>
          <w:b/>
          <w:color w:val="1F497D" w:themeColor="text2"/>
        </w:rPr>
        <w:t xml:space="preserve"> </w:t>
      </w:r>
    </w:p>
    <w:p w14:paraId="5D311810" w14:textId="77777777" w:rsidR="008D4D45" w:rsidRDefault="00E56E65" w:rsidP="00E56E65">
      <w:pPr>
        <w:spacing w:line="480" w:lineRule="auto"/>
        <w:jc w:val="both"/>
        <w:rPr>
          <w:rFonts w:ascii="Arial" w:hAnsi="Arial"/>
          <w:bCs/>
          <w:lang w:val="en-US"/>
        </w:rPr>
      </w:pPr>
      <w:r w:rsidRPr="001C349E">
        <w:rPr>
          <w:rFonts w:ascii="Arial" w:hAnsi="Arial"/>
          <w:bCs/>
          <w:lang w:val="en-US"/>
        </w:rPr>
        <w:t>Loading induced signifi</w:t>
      </w:r>
      <w:r>
        <w:rPr>
          <w:rFonts w:ascii="Arial" w:hAnsi="Arial"/>
          <w:bCs/>
          <w:lang w:val="en-US"/>
        </w:rPr>
        <w:t xml:space="preserve">cant increase in </w:t>
      </w:r>
      <w:r w:rsidRPr="001C349E">
        <w:rPr>
          <w:rFonts w:ascii="Arial" w:hAnsi="Arial"/>
          <w:bCs/>
          <w:lang w:val="en-US"/>
        </w:rPr>
        <w:t>Ct.Ar</w:t>
      </w:r>
      <w:r>
        <w:rPr>
          <w:rFonts w:ascii="Arial" w:hAnsi="Arial"/>
          <w:bCs/>
          <w:lang w:val="en-US"/>
        </w:rPr>
        <w:t xml:space="preserve"> of </w:t>
      </w:r>
      <w:r w:rsidRPr="001C349E">
        <w:rPr>
          <w:rFonts w:ascii="Arial" w:hAnsi="Arial"/>
          <w:bCs/>
          <w:lang w:val="en-US"/>
        </w:rPr>
        <w:t>the right loaded tibiae compared with the contralateral non-loaded tibiae in</w:t>
      </w:r>
      <w:r>
        <w:rPr>
          <w:rFonts w:ascii="Arial" w:hAnsi="Arial"/>
          <w:bCs/>
          <w:lang w:val="en-US"/>
        </w:rPr>
        <w:t xml:space="preserve"> fed</w:t>
      </w:r>
      <w:r w:rsidRPr="001C349E">
        <w:rPr>
          <w:rFonts w:ascii="Arial" w:hAnsi="Arial"/>
          <w:bCs/>
          <w:lang w:val="en-US"/>
        </w:rPr>
        <w:t xml:space="preserve"> </w:t>
      </w:r>
      <w:r>
        <w:rPr>
          <w:rFonts w:ascii="Arial" w:hAnsi="Arial"/>
          <w:bCs/>
          <w:lang w:val="en-US"/>
        </w:rPr>
        <w:t xml:space="preserve">for 2 hours following long fast </w:t>
      </w:r>
      <w:r w:rsidRPr="001C349E">
        <w:rPr>
          <w:rFonts w:ascii="Arial" w:hAnsi="Arial"/>
          <w:bCs/>
          <w:lang w:val="en-US"/>
        </w:rPr>
        <w:t>(0.7</w:t>
      </w:r>
      <w:r>
        <w:rPr>
          <w:rFonts w:ascii="Arial" w:hAnsi="Arial"/>
          <w:bCs/>
          <w:lang w:val="en-US"/>
        </w:rPr>
        <w:t>5</w:t>
      </w:r>
      <w:r>
        <w:rPr>
          <w:rFonts w:ascii="Arial" w:eastAsia="MS Gothic" w:hAnsi="Arial" w:cs="Arial"/>
          <w:color w:val="000000"/>
        </w:rPr>
        <w:t>±</w:t>
      </w:r>
      <w:r w:rsidRPr="001C349E">
        <w:rPr>
          <w:rFonts w:ascii="Arial" w:eastAsia="MS Gothic" w:hAnsi="Arial" w:cs="Arial"/>
          <w:color w:val="000000"/>
        </w:rPr>
        <w:t>0.01mm</w:t>
      </w:r>
      <w:r>
        <w:rPr>
          <w:rFonts w:ascii="Arial" w:eastAsia="MS Gothic" w:hAnsi="Arial" w:cs="Arial"/>
          <w:color w:val="000000"/>
          <w:vertAlign w:val="superscript"/>
        </w:rPr>
        <w:t>2</w:t>
      </w:r>
      <w:r>
        <w:rPr>
          <w:rFonts w:ascii="Arial" w:eastAsia="MS Gothic" w:hAnsi="Arial" w:cs="Arial"/>
          <w:color w:val="000000"/>
        </w:rPr>
        <w:t xml:space="preserve"> versus 0.64±0.02</w:t>
      </w:r>
      <w:r w:rsidRPr="001C349E">
        <w:rPr>
          <w:rFonts w:ascii="Arial" w:eastAsia="MS Gothic" w:hAnsi="Arial" w:cs="Arial"/>
          <w:color w:val="000000"/>
        </w:rPr>
        <w:t>mm</w:t>
      </w:r>
      <w:r>
        <w:rPr>
          <w:rFonts w:ascii="Arial" w:eastAsia="MS Gothic" w:hAnsi="Arial" w:cs="Arial"/>
          <w:color w:val="000000"/>
          <w:vertAlign w:val="superscript"/>
        </w:rPr>
        <w:t>2</w:t>
      </w:r>
      <w:r w:rsidRPr="001C349E">
        <w:rPr>
          <w:rFonts w:ascii="Arial" w:eastAsia="MS Gothic" w:hAnsi="Arial" w:cs="Arial"/>
          <w:color w:val="000000"/>
        </w:rPr>
        <w:t xml:space="preserve">, </w:t>
      </w:r>
      <w:r w:rsidRPr="001C349E">
        <w:rPr>
          <w:rFonts w:ascii="Arial" w:hAnsi="Arial"/>
          <w:bCs/>
          <w:lang w:val="en-US"/>
        </w:rPr>
        <w:t>p&lt;0.0</w:t>
      </w:r>
      <w:r>
        <w:rPr>
          <w:rFonts w:ascii="Arial" w:hAnsi="Arial"/>
          <w:bCs/>
          <w:lang w:val="en-US"/>
        </w:rPr>
        <w:t>0</w:t>
      </w:r>
      <w:r w:rsidRPr="001C349E">
        <w:rPr>
          <w:rFonts w:ascii="Arial" w:hAnsi="Arial"/>
          <w:bCs/>
          <w:lang w:val="en-US"/>
        </w:rPr>
        <w:t>1</w:t>
      </w:r>
      <w:r>
        <w:rPr>
          <w:rFonts w:ascii="Arial" w:eastAsia="MS Gothic" w:hAnsi="Arial" w:cs="Arial"/>
          <w:color w:val="000000"/>
        </w:rPr>
        <w:t>) and ad-lib fed mice (0.71±0.01</w:t>
      </w:r>
      <w:r w:rsidRPr="001C349E">
        <w:rPr>
          <w:rFonts w:ascii="Arial" w:eastAsia="MS Gothic" w:hAnsi="Arial" w:cs="Arial"/>
          <w:color w:val="000000"/>
        </w:rPr>
        <w:t>mm</w:t>
      </w:r>
      <w:r>
        <w:rPr>
          <w:rFonts w:ascii="Arial" w:eastAsia="MS Gothic" w:hAnsi="Arial" w:cs="Arial"/>
          <w:color w:val="000000"/>
          <w:vertAlign w:val="superscript"/>
        </w:rPr>
        <w:t>2</w:t>
      </w:r>
      <w:r>
        <w:rPr>
          <w:rFonts w:ascii="Arial" w:eastAsia="MS Gothic" w:hAnsi="Arial" w:cs="Arial"/>
          <w:color w:val="000000"/>
        </w:rPr>
        <w:t xml:space="preserve"> versus 0.64±0.01</w:t>
      </w:r>
      <w:r w:rsidRPr="001C349E">
        <w:rPr>
          <w:rFonts w:ascii="Arial" w:eastAsia="MS Gothic" w:hAnsi="Arial" w:cs="Arial"/>
          <w:color w:val="000000"/>
        </w:rPr>
        <w:t>mm</w:t>
      </w:r>
      <w:r>
        <w:rPr>
          <w:rFonts w:ascii="Arial" w:eastAsia="MS Gothic" w:hAnsi="Arial" w:cs="Arial"/>
          <w:color w:val="000000"/>
          <w:vertAlign w:val="superscript"/>
        </w:rPr>
        <w:t>2</w:t>
      </w:r>
      <w:r w:rsidRPr="001C349E">
        <w:rPr>
          <w:rFonts w:ascii="Arial" w:eastAsia="MS Gothic" w:hAnsi="Arial" w:cs="Arial"/>
          <w:color w:val="000000"/>
        </w:rPr>
        <w:t>,</w:t>
      </w:r>
      <w:r>
        <w:rPr>
          <w:rFonts w:ascii="Arial" w:eastAsia="MS Gothic" w:hAnsi="Arial" w:cs="Arial"/>
          <w:color w:val="000000"/>
        </w:rPr>
        <w:t xml:space="preserve"> </w:t>
      </w:r>
      <w:r w:rsidRPr="001C349E">
        <w:rPr>
          <w:rFonts w:ascii="Arial" w:hAnsi="Arial"/>
          <w:bCs/>
          <w:lang w:val="en-US"/>
        </w:rPr>
        <w:t>p&lt;0.01</w:t>
      </w:r>
      <w:r w:rsidRPr="001C349E">
        <w:rPr>
          <w:rFonts w:ascii="Arial" w:eastAsia="MS Gothic" w:hAnsi="Arial" w:cs="Arial"/>
          <w:color w:val="000000"/>
        </w:rPr>
        <w:t xml:space="preserve">), </w:t>
      </w:r>
      <w:r w:rsidRPr="001C349E">
        <w:rPr>
          <w:rFonts w:ascii="Arial" w:hAnsi="Arial"/>
          <w:bCs/>
          <w:lang w:val="en-US"/>
        </w:rPr>
        <w:t>but there were no differences between the two</w:t>
      </w:r>
      <w:r w:rsidR="00B005C1">
        <w:rPr>
          <w:rFonts w:ascii="Arial" w:hAnsi="Arial"/>
          <w:bCs/>
          <w:lang w:val="en-US"/>
        </w:rPr>
        <w:t xml:space="preserve"> groups (Figure 30</w:t>
      </w:r>
      <w:r>
        <w:rPr>
          <w:rFonts w:ascii="Arial" w:hAnsi="Arial"/>
          <w:bCs/>
          <w:lang w:val="en-US"/>
        </w:rPr>
        <w:t xml:space="preserve">A). Ct.Th </w:t>
      </w:r>
      <w:r>
        <w:rPr>
          <w:rFonts w:ascii="Arial" w:hAnsi="Arial" w:cs="Arial"/>
          <w:noProof/>
          <w:color w:val="000000" w:themeColor="text1"/>
        </w:rPr>
        <w:t xml:space="preserve">measured by </w:t>
      </w:r>
      <w:r w:rsidRPr="006635E8">
        <w:rPr>
          <w:rFonts w:ascii="Arial" w:hAnsi="Arial" w:cs="Arial"/>
          <w:color w:val="000000" w:themeColor="text1"/>
        </w:rPr>
        <w:sym w:font="Symbol" w:char="F06D"/>
      </w:r>
      <w:r w:rsidRPr="006635E8">
        <w:rPr>
          <w:rFonts w:ascii="Arial" w:hAnsi="Arial" w:cs="Arial"/>
          <w:color w:val="000000" w:themeColor="text1"/>
        </w:rPr>
        <w:t>CT</w:t>
      </w:r>
      <w:r>
        <w:rPr>
          <w:rFonts w:ascii="Arial" w:eastAsiaTheme="minorHAnsi" w:hAnsi="Arial"/>
          <w:bCs/>
          <w:color w:val="000000" w:themeColor="text1"/>
          <w:lang w:val="en-US"/>
        </w:rPr>
        <w:t xml:space="preserve"> </w:t>
      </w:r>
      <w:r>
        <w:rPr>
          <w:rFonts w:ascii="Arial" w:hAnsi="Arial" w:cs="Arial"/>
          <w:noProof/>
          <w:color w:val="000000" w:themeColor="text1"/>
        </w:rPr>
        <w:t xml:space="preserve">at the mid-shaft of the tibiae revealed that both fed and fasted fed mice had significantly increased cortical bone thickness in the loaded right tibiae compared with the left non-loaded controls (fasted fed: </w:t>
      </w:r>
      <w:r w:rsidRPr="001C349E">
        <w:rPr>
          <w:rFonts w:ascii="Arial" w:hAnsi="Arial"/>
          <w:bCs/>
          <w:lang w:val="en-US"/>
        </w:rPr>
        <w:t>0.27</w:t>
      </w:r>
      <w:r w:rsidRPr="001C349E">
        <w:rPr>
          <w:rFonts w:ascii="Arial" w:eastAsia="MS Gothic" w:hAnsi="Arial" w:cs="Arial"/>
          <w:color w:val="000000"/>
        </w:rPr>
        <w:t>±</w:t>
      </w:r>
      <w:r>
        <w:rPr>
          <w:rFonts w:ascii="Arial" w:hAnsi="Arial"/>
          <w:bCs/>
          <w:lang w:val="en-US"/>
        </w:rPr>
        <w:t>0.007</w:t>
      </w:r>
      <w:r w:rsidRPr="001C349E">
        <w:rPr>
          <w:rFonts w:ascii="Arial" w:hAnsi="Arial"/>
          <w:bCs/>
          <w:lang w:val="en-US"/>
        </w:rPr>
        <w:t>mm v</w:t>
      </w:r>
      <w:r>
        <w:rPr>
          <w:rFonts w:ascii="Arial" w:hAnsi="Arial"/>
          <w:bCs/>
          <w:lang w:val="en-US"/>
        </w:rPr>
        <w:t>ersu</w:t>
      </w:r>
      <w:r w:rsidRPr="001C349E">
        <w:rPr>
          <w:rFonts w:ascii="Arial" w:hAnsi="Arial"/>
          <w:bCs/>
          <w:lang w:val="en-US"/>
        </w:rPr>
        <w:t>s 0.22</w:t>
      </w:r>
      <w:r w:rsidRPr="001C349E">
        <w:rPr>
          <w:rFonts w:ascii="Arial" w:eastAsia="MS Gothic" w:hAnsi="Arial" w:cs="Arial"/>
          <w:color w:val="000000"/>
        </w:rPr>
        <w:t>±</w:t>
      </w:r>
      <w:r>
        <w:rPr>
          <w:rFonts w:ascii="Arial" w:hAnsi="Arial"/>
          <w:bCs/>
          <w:lang w:val="en-US"/>
        </w:rPr>
        <w:t xml:space="preserve">0.003mm, </w:t>
      </w:r>
      <w:r w:rsidRPr="001C349E">
        <w:rPr>
          <w:rFonts w:ascii="Arial" w:hAnsi="Arial"/>
          <w:bCs/>
          <w:lang w:val="en-US"/>
        </w:rPr>
        <w:t>p&lt;0.0001</w:t>
      </w:r>
      <w:r>
        <w:rPr>
          <w:rFonts w:ascii="Arial" w:hAnsi="Arial"/>
          <w:bCs/>
          <w:lang w:val="en-US"/>
        </w:rPr>
        <w:t xml:space="preserve">; ad-lib fed: </w:t>
      </w:r>
      <w:r w:rsidRPr="001C349E">
        <w:rPr>
          <w:rFonts w:ascii="Arial" w:hAnsi="Arial"/>
          <w:bCs/>
          <w:lang w:val="en-US"/>
        </w:rPr>
        <w:t>0.25</w:t>
      </w:r>
      <w:r w:rsidRPr="001C349E">
        <w:rPr>
          <w:rFonts w:ascii="Arial" w:eastAsia="MS Gothic" w:hAnsi="Arial" w:cs="Arial"/>
          <w:color w:val="000000"/>
        </w:rPr>
        <w:t>±</w:t>
      </w:r>
      <w:r w:rsidRPr="001C349E">
        <w:rPr>
          <w:rFonts w:ascii="Arial" w:hAnsi="Arial"/>
          <w:bCs/>
          <w:lang w:val="en-US"/>
        </w:rPr>
        <w:t>0.002mm v</w:t>
      </w:r>
      <w:r>
        <w:rPr>
          <w:rFonts w:ascii="Arial" w:hAnsi="Arial"/>
          <w:bCs/>
          <w:lang w:val="en-US"/>
        </w:rPr>
        <w:t>ersu</w:t>
      </w:r>
      <w:r w:rsidRPr="001C349E">
        <w:rPr>
          <w:rFonts w:ascii="Arial" w:hAnsi="Arial"/>
          <w:bCs/>
          <w:lang w:val="en-US"/>
        </w:rPr>
        <w:t>s 0.22</w:t>
      </w:r>
      <w:r w:rsidRPr="001C349E">
        <w:rPr>
          <w:rFonts w:ascii="Arial" w:eastAsia="MS Gothic" w:hAnsi="Arial" w:cs="Arial"/>
          <w:color w:val="000000"/>
        </w:rPr>
        <w:t>±</w:t>
      </w:r>
      <w:r>
        <w:rPr>
          <w:rFonts w:ascii="Arial" w:hAnsi="Arial"/>
          <w:bCs/>
          <w:lang w:val="en-US"/>
        </w:rPr>
        <w:t>0.004mm, p&lt;0.00</w:t>
      </w:r>
      <w:r w:rsidRPr="001C349E">
        <w:rPr>
          <w:rFonts w:ascii="Arial" w:hAnsi="Arial"/>
          <w:bCs/>
          <w:lang w:val="en-US"/>
        </w:rPr>
        <w:t>1)</w:t>
      </w:r>
      <w:r>
        <w:rPr>
          <w:rFonts w:ascii="Arial" w:hAnsi="Arial"/>
          <w:bCs/>
          <w:lang w:val="en-US"/>
        </w:rPr>
        <w:t xml:space="preserve">. Compared with the osteogenic response of the right loaded tibiae of the fed mice, fasted fed mice had significantly greater response in </w:t>
      </w:r>
      <w:r w:rsidRPr="001C349E">
        <w:rPr>
          <w:rFonts w:ascii="Arial" w:hAnsi="Arial"/>
          <w:bCs/>
          <w:lang w:val="en-US"/>
        </w:rPr>
        <w:t>Ct.Th</w:t>
      </w:r>
      <w:r>
        <w:rPr>
          <w:rFonts w:ascii="Arial" w:hAnsi="Arial"/>
          <w:bCs/>
          <w:lang w:val="en-US"/>
        </w:rPr>
        <w:t xml:space="preserve"> of the right tibiae </w:t>
      </w:r>
      <w:r w:rsidRPr="001C349E">
        <w:rPr>
          <w:rFonts w:ascii="Arial" w:hAnsi="Arial"/>
          <w:bCs/>
          <w:lang w:val="en-US"/>
        </w:rPr>
        <w:t>(p&lt;0.05)</w:t>
      </w:r>
      <w:r w:rsidR="00B005C1">
        <w:rPr>
          <w:rFonts w:ascii="Arial" w:hAnsi="Arial"/>
          <w:bCs/>
          <w:lang w:val="en-US"/>
        </w:rPr>
        <w:t xml:space="preserve"> (Figure 30</w:t>
      </w:r>
      <w:r>
        <w:rPr>
          <w:rFonts w:ascii="Arial" w:hAnsi="Arial"/>
          <w:bCs/>
          <w:lang w:val="en-US"/>
        </w:rPr>
        <w:t>D)</w:t>
      </w:r>
      <w:r w:rsidRPr="001C349E">
        <w:rPr>
          <w:rFonts w:ascii="Arial" w:hAnsi="Arial"/>
          <w:bCs/>
          <w:lang w:val="en-US"/>
        </w:rPr>
        <w:t>.</w:t>
      </w:r>
      <w:r>
        <w:rPr>
          <w:rFonts w:ascii="Arial" w:hAnsi="Arial"/>
          <w:bCs/>
          <w:lang w:val="en-US"/>
        </w:rPr>
        <w:t xml:space="preserve"> </w:t>
      </w:r>
      <w:r w:rsidRPr="001C349E">
        <w:rPr>
          <w:rFonts w:ascii="Arial" w:hAnsi="Arial"/>
          <w:bCs/>
          <w:lang w:val="en-US"/>
        </w:rPr>
        <w:t xml:space="preserve">There were no significant differences in </w:t>
      </w:r>
      <w:r w:rsidRPr="001C349E">
        <w:rPr>
          <w:rFonts w:ascii="Arial" w:hAnsi="Arial" w:cs="Arial"/>
          <w:color w:val="000000" w:themeColor="text1"/>
        </w:rPr>
        <w:t xml:space="preserve">Tt.Ar </w:t>
      </w:r>
      <w:r>
        <w:rPr>
          <w:rFonts w:ascii="Arial" w:hAnsi="Arial" w:cs="Arial"/>
          <w:color w:val="000000" w:themeColor="text1"/>
        </w:rPr>
        <w:t>(</w:t>
      </w:r>
      <w:r>
        <w:rPr>
          <w:rFonts w:ascii="Arial" w:hAnsi="Arial" w:cs="Arial"/>
          <w:noProof/>
          <w:color w:val="000000" w:themeColor="text1"/>
        </w:rPr>
        <w:t>fasted fed: 1.19</w:t>
      </w:r>
      <w:r w:rsidRPr="001C349E">
        <w:rPr>
          <w:rFonts w:ascii="Arial" w:eastAsia="MS Gothic" w:hAnsi="Arial" w:cs="Arial"/>
          <w:color w:val="000000"/>
        </w:rPr>
        <w:t>±</w:t>
      </w:r>
      <w:r>
        <w:rPr>
          <w:rFonts w:ascii="Arial" w:eastAsia="MS Gothic" w:hAnsi="Arial" w:cs="Arial"/>
          <w:color w:val="000000"/>
        </w:rPr>
        <w:t>0.03</w:t>
      </w:r>
      <w:r w:rsidRPr="0041509A">
        <w:rPr>
          <w:rFonts w:ascii="Arial" w:eastAsia="MS Gothic" w:hAnsi="Arial" w:cs="Arial"/>
          <w:color w:val="000000"/>
        </w:rPr>
        <w:t>mm</w:t>
      </w:r>
      <w:r w:rsidRPr="0041509A">
        <w:rPr>
          <w:rFonts w:ascii="Arial" w:eastAsia="MS Gothic" w:hAnsi="Arial" w:cs="Arial"/>
          <w:color w:val="000000"/>
          <w:vertAlign w:val="superscript"/>
        </w:rPr>
        <w:t>2</w:t>
      </w:r>
      <w:r w:rsidRPr="0041509A">
        <w:rPr>
          <w:rFonts w:ascii="Arial" w:eastAsia="MS Gothic" w:hAnsi="Arial" w:cs="Arial"/>
          <w:color w:val="000000"/>
        </w:rPr>
        <w:t xml:space="preserve"> </w:t>
      </w:r>
      <w:r>
        <w:rPr>
          <w:rFonts w:ascii="Arial" w:eastAsia="MS Gothic" w:hAnsi="Arial" w:cs="Arial"/>
          <w:color w:val="000000"/>
        </w:rPr>
        <w:t>versus 1.13</w:t>
      </w:r>
      <w:r w:rsidRPr="001C349E">
        <w:rPr>
          <w:rFonts w:ascii="Arial" w:eastAsia="MS Gothic" w:hAnsi="Arial" w:cs="Arial"/>
          <w:color w:val="000000"/>
        </w:rPr>
        <w:t>±</w:t>
      </w:r>
      <w:r>
        <w:rPr>
          <w:rFonts w:ascii="Arial" w:eastAsia="MS Gothic" w:hAnsi="Arial" w:cs="Arial"/>
          <w:color w:val="000000"/>
        </w:rPr>
        <w:t>0.05</w:t>
      </w:r>
      <w:r w:rsidRPr="0041509A">
        <w:rPr>
          <w:rFonts w:ascii="Arial" w:eastAsia="MS Gothic" w:hAnsi="Arial" w:cs="Arial"/>
          <w:color w:val="000000"/>
        </w:rPr>
        <w:t>mm</w:t>
      </w:r>
      <w:r w:rsidRPr="0041509A">
        <w:rPr>
          <w:rFonts w:ascii="Arial" w:eastAsia="MS Gothic" w:hAnsi="Arial" w:cs="Arial"/>
          <w:color w:val="000000"/>
          <w:vertAlign w:val="superscript"/>
        </w:rPr>
        <w:t>2</w:t>
      </w:r>
      <w:r>
        <w:rPr>
          <w:rFonts w:ascii="Arial" w:eastAsia="MS Gothic" w:hAnsi="Arial" w:cs="Arial"/>
          <w:color w:val="000000"/>
        </w:rPr>
        <w:t>; ad-lib fed: 1.18</w:t>
      </w:r>
      <w:r w:rsidRPr="001C349E">
        <w:rPr>
          <w:rFonts w:ascii="Arial" w:eastAsia="MS Gothic" w:hAnsi="Arial" w:cs="Arial"/>
          <w:color w:val="000000"/>
        </w:rPr>
        <w:t>±</w:t>
      </w:r>
      <w:r>
        <w:rPr>
          <w:rFonts w:ascii="Arial" w:eastAsia="MS Gothic" w:hAnsi="Arial" w:cs="Arial"/>
          <w:color w:val="000000"/>
        </w:rPr>
        <w:t>0.02</w:t>
      </w:r>
      <w:r w:rsidRPr="0041509A">
        <w:rPr>
          <w:rFonts w:ascii="Arial" w:eastAsia="MS Gothic" w:hAnsi="Arial" w:cs="Arial"/>
          <w:color w:val="000000"/>
        </w:rPr>
        <w:t>mm</w:t>
      </w:r>
      <w:r w:rsidRPr="0041509A">
        <w:rPr>
          <w:rFonts w:ascii="Arial" w:eastAsia="MS Gothic" w:hAnsi="Arial" w:cs="Arial"/>
          <w:color w:val="000000"/>
          <w:vertAlign w:val="superscript"/>
        </w:rPr>
        <w:t>2</w:t>
      </w:r>
      <w:r>
        <w:rPr>
          <w:rFonts w:ascii="Arial" w:eastAsia="MS Gothic" w:hAnsi="Arial" w:cs="Arial"/>
          <w:color w:val="000000"/>
          <w:vertAlign w:val="superscript"/>
        </w:rPr>
        <w:t xml:space="preserve"> </w:t>
      </w:r>
      <w:r>
        <w:rPr>
          <w:rFonts w:ascii="Arial" w:eastAsia="MS Gothic" w:hAnsi="Arial" w:cs="Arial"/>
          <w:color w:val="000000"/>
        </w:rPr>
        <w:t>versus 1.13</w:t>
      </w:r>
      <w:r w:rsidRPr="001C349E">
        <w:rPr>
          <w:rFonts w:ascii="Arial" w:eastAsia="MS Gothic" w:hAnsi="Arial" w:cs="Arial"/>
          <w:color w:val="000000"/>
        </w:rPr>
        <w:t>±</w:t>
      </w:r>
      <w:r>
        <w:rPr>
          <w:rFonts w:ascii="Arial" w:eastAsia="MS Gothic" w:hAnsi="Arial" w:cs="Arial"/>
          <w:color w:val="000000"/>
        </w:rPr>
        <w:t>0.02</w:t>
      </w:r>
      <w:r w:rsidRPr="0041509A">
        <w:rPr>
          <w:rFonts w:ascii="Arial" w:eastAsia="MS Gothic" w:hAnsi="Arial" w:cs="Arial"/>
          <w:color w:val="000000"/>
        </w:rPr>
        <w:t>mm</w:t>
      </w:r>
      <w:r w:rsidRPr="0041509A">
        <w:rPr>
          <w:rFonts w:ascii="Arial" w:eastAsia="MS Gothic" w:hAnsi="Arial" w:cs="Arial"/>
          <w:color w:val="000000"/>
          <w:vertAlign w:val="superscript"/>
        </w:rPr>
        <w:t>2</w:t>
      </w:r>
      <w:r>
        <w:rPr>
          <w:rFonts w:ascii="Arial" w:eastAsia="MS Gothic" w:hAnsi="Arial" w:cs="Arial"/>
          <w:color w:val="000000"/>
        </w:rPr>
        <w:t>,</w:t>
      </w:r>
      <w:r>
        <w:rPr>
          <w:rFonts w:ascii="Arial" w:eastAsia="MS Gothic" w:hAnsi="Arial" w:cs="Arial"/>
          <w:color w:val="000000"/>
          <w:vertAlign w:val="superscript"/>
        </w:rPr>
        <w:t xml:space="preserve"> </w:t>
      </w:r>
      <w:r>
        <w:rPr>
          <w:rFonts w:ascii="Arial" w:hAnsi="Arial"/>
          <w:bCs/>
          <w:lang w:val="en-US"/>
        </w:rPr>
        <w:t>p&gt;0.05</w:t>
      </w:r>
      <w:r>
        <w:rPr>
          <w:rFonts w:ascii="Arial" w:hAnsi="Arial" w:cs="Arial"/>
          <w:color w:val="000000" w:themeColor="text1"/>
        </w:rPr>
        <w:t xml:space="preserve">) </w:t>
      </w:r>
      <w:r w:rsidRPr="001C349E">
        <w:rPr>
          <w:rFonts w:ascii="Arial" w:hAnsi="Arial" w:cs="Arial"/>
          <w:color w:val="000000" w:themeColor="text1"/>
        </w:rPr>
        <w:t xml:space="preserve">and Ma.Ar </w:t>
      </w:r>
      <w:r>
        <w:rPr>
          <w:rFonts w:ascii="Arial" w:hAnsi="Arial" w:cs="Arial"/>
          <w:color w:val="000000" w:themeColor="text1"/>
        </w:rPr>
        <w:t>(fasted fed: 0.45</w:t>
      </w:r>
      <w:r w:rsidRPr="001C349E">
        <w:rPr>
          <w:rFonts w:ascii="Arial" w:eastAsia="MS Gothic" w:hAnsi="Arial" w:cs="Arial"/>
          <w:color w:val="000000"/>
        </w:rPr>
        <w:t>±</w:t>
      </w:r>
      <w:r>
        <w:rPr>
          <w:rFonts w:ascii="Arial" w:eastAsia="MS Gothic" w:hAnsi="Arial" w:cs="Arial"/>
          <w:color w:val="000000"/>
        </w:rPr>
        <w:t>0.02</w:t>
      </w:r>
      <w:r w:rsidRPr="0041509A">
        <w:rPr>
          <w:rFonts w:ascii="Arial" w:eastAsia="MS Gothic" w:hAnsi="Arial" w:cs="Arial"/>
          <w:color w:val="000000"/>
        </w:rPr>
        <w:t>mm</w:t>
      </w:r>
      <w:r w:rsidRPr="0041509A">
        <w:rPr>
          <w:rFonts w:ascii="Arial" w:eastAsia="MS Gothic" w:hAnsi="Arial" w:cs="Arial"/>
          <w:color w:val="000000"/>
          <w:vertAlign w:val="superscript"/>
        </w:rPr>
        <w:t>2</w:t>
      </w:r>
      <w:r>
        <w:rPr>
          <w:rFonts w:ascii="Arial" w:eastAsia="MS Gothic" w:hAnsi="Arial" w:cs="Arial"/>
          <w:color w:val="000000"/>
        </w:rPr>
        <w:t xml:space="preserve"> versus 0.48</w:t>
      </w:r>
      <w:r w:rsidRPr="001C349E">
        <w:rPr>
          <w:rFonts w:ascii="Arial" w:eastAsia="MS Gothic" w:hAnsi="Arial" w:cs="Arial"/>
          <w:color w:val="000000"/>
        </w:rPr>
        <w:t>±</w:t>
      </w:r>
      <w:r>
        <w:rPr>
          <w:rFonts w:ascii="Arial" w:eastAsia="MS Gothic" w:hAnsi="Arial" w:cs="Arial"/>
          <w:color w:val="000000"/>
        </w:rPr>
        <w:t>0.03</w:t>
      </w:r>
      <w:r w:rsidRPr="0041509A">
        <w:rPr>
          <w:rFonts w:ascii="Arial" w:eastAsia="MS Gothic" w:hAnsi="Arial" w:cs="Arial"/>
          <w:color w:val="000000"/>
        </w:rPr>
        <w:t>mm</w:t>
      </w:r>
      <w:r w:rsidRPr="0041509A">
        <w:rPr>
          <w:rFonts w:ascii="Arial" w:eastAsia="MS Gothic" w:hAnsi="Arial" w:cs="Arial"/>
          <w:color w:val="000000"/>
          <w:vertAlign w:val="superscript"/>
        </w:rPr>
        <w:t>2</w:t>
      </w:r>
      <w:r>
        <w:rPr>
          <w:rFonts w:ascii="Arial" w:eastAsia="MS Gothic" w:hAnsi="Arial" w:cs="Arial"/>
          <w:color w:val="000000"/>
        </w:rPr>
        <w:t>; ad-lib fed: 0.46</w:t>
      </w:r>
      <w:r w:rsidRPr="001C349E">
        <w:rPr>
          <w:rFonts w:ascii="Arial" w:eastAsia="MS Gothic" w:hAnsi="Arial" w:cs="Arial"/>
          <w:color w:val="000000"/>
        </w:rPr>
        <w:t>±</w:t>
      </w:r>
      <w:r>
        <w:rPr>
          <w:rFonts w:ascii="Arial" w:eastAsia="MS Gothic" w:hAnsi="Arial" w:cs="Arial"/>
          <w:color w:val="000000"/>
        </w:rPr>
        <w:t>0.01</w:t>
      </w:r>
      <w:r w:rsidRPr="0041509A">
        <w:rPr>
          <w:rFonts w:ascii="Arial" w:eastAsia="MS Gothic" w:hAnsi="Arial" w:cs="Arial"/>
          <w:color w:val="000000"/>
        </w:rPr>
        <w:t>mm</w:t>
      </w:r>
      <w:r w:rsidRPr="0041509A">
        <w:rPr>
          <w:rFonts w:ascii="Arial" w:eastAsia="MS Gothic" w:hAnsi="Arial" w:cs="Arial"/>
          <w:color w:val="000000"/>
          <w:vertAlign w:val="superscript"/>
        </w:rPr>
        <w:t>2</w:t>
      </w:r>
      <w:r w:rsidRPr="00F46E60">
        <w:rPr>
          <w:rFonts w:ascii="Arial" w:eastAsia="MS Gothic" w:hAnsi="Arial" w:cs="Arial"/>
          <w:color w:val="000000"/>
        </w:rPr>
        <w:t xml:space="preserve"> </w:t>
      </w:r>
      <w:r>
        <w:rPr>
          <w:rFonts w:ascii="Arial" w:eastAsia="MS Gothic" w:hAnsi="Arial" w:cs="Arial"/>
          <w:color w:val="000000"/>
        </w:rPr>
        <w:t>versus 0.49</w:t>
      </w:r>
      <w:r w:rsidRPr="001C349E">
        <w:rPr>
          <w:rFonts w:ascii="Arial" w:eastAsia="MS Gothic" w:hAnsi="Arial" w:cs="Arial"/>
          <w:color w:val="000000"/>
        </w:rPr>
        <w:t>±</w:t>
      </w:r>
      <w:r>
        <w:rPr>
          <w:rFonts w:ascii="Arial" w:eastAsia="MS Gothic" w:hAnsi="Arial" w:cs="Arial"/>
          <w:color w:val="000000"/>
        </w:rPr>
        <w:t>0.</w:t>
      </w:r>
      <w:r w:rsidRPr="009229D1">
        <w:rPr>
          <w:rFonts w:ascii="Arial" w:eastAsia="MS Gothic" w:hAnsi="Arial" w:cs="Arial"/>
          <w:color w:val="000000"/>
        </w:rPr>
        <w:t>02mm</w:t>
      </w:r>
      <w:r w:rsidRPr="00470A0F">
        <w:rPr>
          <w:rFonts w:ascii="Arial" w:eastAsia="MS Gothic" w:hAnsi="Arial" w:cs="Arial"/>
          <w:color w:val="000000"/>
          <w:vertAlign w:val="superscript"/>
        </w:rPr>
        <w:t>2</w:t>
      </w:r>
      <w:r>
        <w:rPr>
          <w:rFonts w:ascii="Arial" w:eastAsia="MS Gothic" w:hAnsi="Arial" w:cs="Arial"/>
          <w:color w:val="000000"/>
        </w:rPr>
        <w:t xml:space="preserve">, </w:t>
      </w:r>
      <w:r w:rsidRPr="009229D1">
        <w:rPr>
          <w:rFonts w:ascii="Arial" w:hAnsi="Arial"/>
          <w:bCs/>
          <w:lang w:val="en-US"/>
        </w:rPr>
        <w:t>p</w:t>
      </w:r>
      <w:r>
        <w:rPr>
          <w:rFonts w:ascii="Arial" w:hAnsi="Arial"/>
          <w:bCs/>
          <w:lang w:val="en-US"/>
        </w:rPr>
        <w:t>&gt;0.05</w:t>
      </w:r>
      <w:r>
        <w:rPr>
          <w:rFonts w:ascii="Arial" w:hAnsi="Arial" w:cs="Arial"/>
          <w:color w:val="000000" w:themeColor="text1"/>
        </w:rPr>
        <w:t xml:space="preserve">) </w:t>
      </w:r>
      <w:r w:rsidRPr="001C349E">
        <w:rPr>
          <w:rFonts w:ascii="Arial" w:hAnsi="Arial"/>
          <w:bCs/>
          <w:lang w:val="en-US"/>
        </w:rPr>
        <w:t>within and between the experimental gr</w:t>
      </w:r>
      <w:r w:rsidR="00B005C1">
        <w:rPr>
          <w:rFonts w:ascii="Arial" w:hAnsi="Arial"/>
          <w:bCs/>
          <w:lang w:val="en-US"/>
        </w:rPr>
        <w:t>oups, Figures 30B and 30</w:t>
      </w:r>
      <w:r>
        <w:rPr>
          <w:rFonts w:ascii="Arial" w:hAnsi="Arial"/>
          <w:bCs/>
          <w:lang w:val="en-US"/>
        </w:rPr>
        <w:t xml:space="preserve">C. </w:t>
      </w:r>
    </w:p>
    <w:p w14:paraId="3F75122D" w14:textId="77777777" w:rsidR="008D4D45" w:rsidRDefault="008D4D45" w:rsidP="00E56E65">
      <w:pPr>
        <w:spacing w:line="480" w:lineRule="auto"/>
        <w:jc w:val="both"/>
        <w:rPr>
          <w:rFonts w:ascii="Arial" w:hAnsi="Arial"/>
          <w:bCs/>
          <w:lang w:val="en-US"/>
        </w:rPr>
      </w:pPr>
    </w:p>
    <w:p w14:paraId="09472590" w14:textId="77777777" w:rsidR="00E56E65" w:rsidRDefault="00E56E65" w:rsidP="00E56E65">
      <w:pPr>
        <w:spacing w:line="480" w:lineRule="auto"/>
        <w:jc w:val="both"/>
        <w:rPr>
          <w:rFonts w:ascii="Arial" w:hAnsi="Arial"/>
          <w:bCs/>
          <w:lang w:val="en-US"/>
        </w:rPr>
      </w:pPr>
      <w:r>
        <w:rPr>
          <w:rFonts w:ascii="Arial" w:hAnsi="Arial"/>
          <w:bCs/>
          <w:lang w:val="en-US"/>
        </w:rPr>
        <w:t>The structural changes of the cortical bone of loaded tibiae, the thicker cortical bone and areas of woven bone are visible in the 3D model images from both f</w:t>
      </w:r>
      <w:r w:rsidR="00542090">
        <w:rPr>
          <w:rFonts w:ascii="Arial" w:hAnsi="Arial"/>
          <w:bCs/>
          <w:lang w:val="en-US"/>
        </w:rPr>
        <w:t xml:space="preserve">ed and fasted fed </w:t>
      </w:r>
      <w:r w:rsidR="00D12571">
        <w:rPr>
          <w:rFonts w:ascii="Arial" w:hAnsi="Arial"/>
          <w:bCs/>
          <w:lang w:val="en-US"/>
        </w:rPr>
        <w:t>mice, Figure 29</w:t>
      </w:r>
      <w:r>
        <w:rPr>
          <w:rFonts w:ascii="Arial" w:hAnsi="Arial"/>
          <w:bCs/>
          <w:lang w:val="en-US"/>
        </w:rPr>
        <w:t>.</w:t>
      </w:r>
    </w:p>
    <w:p w14:paraId="0978B74B" w14:textId="77777777" w:rsidR="00E77BDE" w:rsidRDefault="00E77BDE" w:rsidP="00E56E65">
      <w:pPr>
        <w:spacing w:line="480" w:lineRule="auto"/>
        <w:jc w:val="both"/>
        <w:rPr>
          <w:rFonts w:ascii="Arial" w:hAnsi="Arial"/>
          <w:bCs/>
          <w:lang w:val="en-US"/>
        </w:rPr>
      </w:pPr>
    </w:p>
    <w:p w14:paraId="771C71A3" w14:textId="77777777" w:rsidR="00201683" w:rsidRDefault="00201683" w:rsidP="00E56E65">
      <w:pPr>
        <w:spacing w:line="480" w:lineRule="auto"/>
        <w:jc w:val="both"/>
        <w:rPr>
          <w:rFonts w:ascii="Arial" w:hAnsi="Arial"/>
          <w:bCs/>
          <w:lang w:val="en-US"/>
        </w:rPr>
      </w:pPr>
    </w:p>
    <w:p w14:paraId="19407FAA" w14:textId="77777777" w:rsidR="00CA645A" w:rsidRDefault="00201683" w:rsidP="00E56E65">
      <w:pPr>
        <w:spacing w:line="480" w:lineRule="auto"/>
        <w:jc w:val="both"/>
        <w:rPr>
          <w:rFonts w:ascii="Arial" w:hAnsi="Arial"/>
          <w:bCs/>
          <w:lang w:val="en-US"/>
        </w:rPr>
      </w:pPr>
      <w:r w:rsidRPr="00201683">
        <w:rPr>
          <w:rFonts w:ascii="Arial" w:hAnsi="Arial"/>
          <w:bCs/>
          <w:noProof/>
          <w:lang w:val="en-US"/>
        </w:rPr>
        <w:drawing>
          <wp:inline distT="0" distB="0" distL="0" distR="0" wp14:anchorId="5C8DB696" wp14:editId="43A28F67">
            <wp:extent cx="6115376" cy="3945467"/>
            <wp:effectExtent l="0" t="0" r="6350" b="0"/>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lum bright="5000"/>
                      <a:extLst>
                        <a:ext uri="{28A0092B-C50C-407E-A947-70E740481C1C}">
                          <a14:useLocalDpi xmlns:a14="http://schemas.microsoft.com/office/drawing/2010/main" val="0"/>
                        </a:ext>
                      </a:extLst>
                    </a:blip>
                    <a:srcRect/>
                    <a:stretch>
                      <a:fillRect/>
                    </a:stretch>
                  </pic:blipFill>
                  <pic:spPr bwMode="auto">
                    <a:xfrm>
                      <a:off x="0" y="0"/>
                      <a:ext cx="6115746" cy="3945706"/>
                    </a:xfrm>
                    <a:prstGeom prst="rect">
                      <a:avLst/>
                    </a:prstGeom>
                    <a:noFill/>
                    <a:ln>
                      <a:noFill/>
                    </a:ln>
                  </pic:spPr>
                </pic:pic>
              </a:graphicData>
            </a:graphic>
          </wp:inline>
        </w:drawing>
      </w:r>
    </w:p>
    <w:p w14:paraId="5A6E6390" w14:textId="77777777" w:rsidR="00D12571" w:rsidRDefault="00D12571" w:rsidP="00D12571">
      <w:pPr>
        <w:rPr>
          <w:rFonts w:ascii="Arial" w:eastAsiaTheme="minorHAnsi" w:hAnsi="Arial" w:cs="Arial"/>
          <w:sz w:val="22"/>
          <w:szCs w:val="22"/>
          <w:lang w:val="en-US"/>
        </w:rPr>
      </w:pPr>
    </w:p>
    <w:p w14:paraId="57EE7E1A" w14:textId="77777777" w:rsidR="00D12571" w:rsidRDefault="00D12571" w:rsidP="00D12571">
      <w:pPr>
        <w:pStyle w:val="Caption"/>
      </w:pPr>
    </w:p>
    <w:p w14:paraId="73688FC5" w14:textId="77777777" w:rsidR="00D12571" w:rsidRPr="00D12571" w:rsidRDefault="00D12571" w:rsidP="00D12571">
      <w:pPr>
        <w:pStyle w:val="Caption"/>
        <w:spacing w:line="360" w:lineRule="auto"/>
        <w:jc w:val="both"/>
        <w:rPr>
          <w:rFonts w:ascii="Arial" w:eastAsiaTheme="minorHAnsi" w:hAnsi="Arial" w:cs="Arial"/>
          <w:color w:val="244061" w:themeColor="accent1" w:themeShade="80"/>
          <w:sz w:val="24"/>
          <w:szCs w:val="24"/>
          <w:lang w:val="en-US"/>
        </w:rPr>
      </w:pPr>
      <w:bookmarkStart w:id="96" w:name="_Toc383544619"/>
      <w:r w:rsidRPr="00D12571">
        <w:rPr>
          <w:rFonts w:ascii="Arial" w:hAnsi="Arial" w:cs="Arial"/>
          <w:color w:val="244061" w:themeColor="accent1" w:themeShade="80"/>
          <w:sz w:val="24"/>
          <w:szCs w:val="24"/>
        </w:rPr>
        <w:t xml:space="preserve">Figure </w:t>
      </w:r>
      <w:r w:rsidRPr="00D12571">
        <w:rPr>
          <w:rFonts w:ascii="Arial" w:hAnsi="Arial" w:cs="Arial"/>
          <w:color w:val="244061" w:themeColor="accent1" w:themeShade="80"/>
          <w:sz w:val="24"/>
          <w:szCs w:val="24"/>
        </w:rPr>
        <w:fldChar w:fldCharType="begin"/>
      </w:r>
      <w:r w:rsidRPr="00D12571">
        <w:rPr>
          <w:rFonts w:ascii="Arial" w:hAnsi="Arial" w:cs="Arial"/>
          <w:color w:val="244061" w:themeColor="accent1" w:themeShade="80"/>
          <w:sz w:val="24"/>
          <w:szCs w:val="24"/>
        </w:rPr>
        <w:instrText xml:space="preserve"> SEQ Figure \* ARABIC </w:instrText>
      </w:r>
      <w:r w:rsidRPr="00D12571">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28</w:t>
      </w:r>
      <w:r w:rsidRPr="00D12571">
        <w:rPr>
          <w:rFonts w:ascii="Arial" w:hAnsi="Arial" w:cs="Arial"/>
          <w:color w:val="244061" w:themeColor="accent1" w:themeShade="80"/>
          <w:sz w:val="24"/>
          <w:szCs w:val="24"/>
        </w:rPr>
        <w:fldChar w:fldCharType="end"/>
      </w:r>
      <w:r w:rsidRPr="00D12571">
        <w:rPr>
          <w:rFonts w:ascii="Arial" w:hAnsi="Arial" w:cs="Arial"/>
          <w:color w:val="244061" w:themeColor="accent1" w:themeShade="80"/>
          <w:sz w:val="24"/>
          <w:szCs w:val="24"/>
        </w:rPr>
        <w:t xml:space="preserve"> </w:t>
      </w:r>
      <w:r w:rsidRPr="00D12571">
        <w:rPr>
          <w:rFonts w:ascii="Arial" w:hAnsi="Arial" w:cs="Arial"/>
          <w:noProof/>
          <w:color w:val="244061" w:themeColor="accent1" w:themeShade="80"/>
          <w:sz w:val="24"/>
          <w:szCs w:val="24"/>
        </w:rPr>
        <w:t>Cortical bone respose to mechancal loading at the mid-shaft of the tibia</w:t>
      </w:r>
      <w:bookmarkEnd w:id="96"/>
    </w:p>
    <w:p w14:paraId="0D608117" w14:textId="77777777" w:rsidR="00B4294E" w:rsidRPr="00B439AB" w:rsidRDefault="00D12571" w:rsidP="00B4294E">
      <w:pPr>
        <w:spacing w:line="360" w:lineRule="auto"/>
        <w:jc w:val="both"/>
        <w:rPr>
          <w:rFonts w:ascii="Arial" w:hAnsi="Arial" w:cs="Arial"/>
          <w:color w:val="000000" w:themeColor="text1"/>
          <w:sz w:val="22"/>
          <w:szCs w:val="22"/>
        </w:rPr>
      </w:pPr>
      <w:r>
        <w:rPr>
          <w:rFonts w:ascii="Arial" w:hAnsi="Arial" w:cs="Arial"/>
          <w:noProof/>
          <w:sz w:val="22"/>
          <w:szCs w:val="22"/>
        </w:rPr>
        <w:t>3D model of m</w:t>
      </w:r>
      <w:r w:rsidRPr="000B5C7C">
        <w:rPr>
          <w:rFonts w:ascii="Arial" w:hAnsi="Arial" w:cs="Arial"/>
          <w:noProof/>
          <w:sz w:val="22"/>
          <w:szCs w:val="22"/>
        </w:rPr>
        <w:t xml:space="preserve">ouse </w:t>
      </w:r>
      <w:r>
        <w:rPr>
          <w:rFonts w:ascii="Arial" w:hAnsi="Arial" w:cs="Arial"/>
          <w:noProof/>
          <w:sz w:val="22"/>
          <w:szCs w:val="22"/>
        </w:rPr>
        <w:t xml:space="preserve">tibia indicating the region analysed for the cortical bone parameters (1mm in thickness, mid-shaft 9.0mm below the growth plate) (A). The cross sections of </w:t>
      </w:r>
      <w:r w:rsidRPr="00883196">
        <w:rPr>
          <w:rFonts w:ascii="Arial" w:hAnsi="Arial" w:cs="Arial"/>
          <w:color w:val="000000" w:themeColor="text1"/>
          <w:sz w:val="22"/>
          <w:szCs w:val="22"/>
        </w:rPr>
        <w:sym w:font="Symbol" w:char="F06D"/>
      </w:r>
      <w:r w:rsidRPr="00883196">
        <w:rPr>
          <w:rFonts w:ascii="Arial" w:hAnsi="Arial" w:cs="Arial"/>
          <w:color w:val="000000" w:themeColor="text1"/>
          <w:sz w:val="22"/>
          <w:szCs w:val="22"/>
        </w:rPr>
        <w:t>CT images</w:t>
      </w:r>
      <w:r>
        <w:rPr>
          <w:rFonts w:ascii="Arial" w:hAnsi="Arial" w:cs="Arial"/>
          <w:color w:val="000000" w:themeColor="text1"/>
          <w:sz w:val="22"/>
          <w:szCs w:val="22"/>
        </w:rPr>
        <w:t xml:space="preserve"> of loaded and non-load</w:t>
      </w:r>
      <w:r w:rsidR="00E77BDE">
        <w:rPr>
          <w:rFonts w:ascii="Arial" w:hAnsi="Arial" w:cs="Arial"/>
          <w:color w:val="000000" w:themeColor="text1"/>
          <w:sz w:val="22"/>
          <w:szCs w:val="22"/>
        </w:rPr>
        <w:t xml:space="preserve">ed tibiae of fed and fasted 2-hour fed </w:t>
      </w:r>
      <w:r>
        <w:rPr>
          <w:rFonts w:ascii="Arial" w:hAnsi="Arial" w:cs="Arial"/>
          <w:color w:val="000000" w:themeColor="text1"/>
          <w:sz w:val="22"/>
          <w:szCs w:val="22"/>
        </w:rPr>
        <w:t xml:space="preserve">mice at the mid-shaft (B). </w:t>
      </w:r>
      <w:r w:rsidR="00987C5A">
        <w:rPr>
          <w:rFonts w:ascii="Arial" w:hAnsi="Arial" w:cs="Arial"/>
          <w:color w:val="000000" w:themeColor="text1"/>
          <w:sz w:val="22"/>
          <w:szCs w:val="22"/>
        </w:rPr>
        <w:t xml:space="preserve">The newly deposited bone </w:t>
      </w:r>
      <w:r w:rsidR="0026081F">
        <w:rPr>
          <w:rFonts w:ascii="Arial" w:hAnsi="Arial" w:cs="Arial"/>
          <w:color w:val="000000" w:themeColor="text1"/>
          <w:sz w:val="22"/>
          <w:szCs w:val="22"/>
        </w:rPr>
        <w:t xml:space="preserve">is </w:t>
      </w:r>
      <w:r w:rsidR="00906807">
        <w:rPr>
          <w:rFonts w:ascii="Arial" w:hAnsi="Arial" w:cs="Arial"/>
          <w:color w:val="000000" w:themeColor="text1"/>
          <w:sz w:val="22"/>
          <w:szCs w:val="22"/>
        </w:rPr>
        <w:t>seen</w:t>
      </w:r>
      <w:r w:rsidR="0026081F">
        <w:rPr>
          <w:rFonts w:ascii="Arial" w:hAnsi="Arial" w:cs="Arial"/>
          <w:color w:val="000000" w:themeColor="text1"/>
          <w:sz w:val="22"/>
          <w:szCs w:val="22"/>
        </w:rPr>
        <w:t xml:space="preserve"> </w:t>
      </w:r>
      <w:r w:rsidR="000B4241">
        <w:rPr>
          <w:rFonts w:ascii="Arial" w:hAnsi="Arial" w:cs="Arial"/>
          <w:color w:val="000000" w:themeColor="text1"/>
          <w:sz w:val="22"/>
          <w:szCs w:val="22"/>
        </w:rPr>
        <w:t xml:space="preserve">in endocortical and predominantly in </w:t>
      </w:r>
      <w:r w:rsidR="00793393">
        <w:rPr>
          <w:rFonts w:ascii="Arial" w:hAnsi="Arial" w:cs="Arial"/>
          <w:color w:val="000000" w:themeColor="text1"/>
          <w:sz w:val="22"/>
          <w:szCs w:val="22"/>
        </w:rPr>
        <w:t xml:space="preserve">posterior </w:t>
      </w:r>
      <w:r w:rsidR="000B4241">
        <w:rPr>
          <w:rFonts w:ascii="Arial" w:hAnsi="Arial" w:cs="Arial"/>
          <w:color w:val="000000" w:themeColor="text1"/>
          <w:sz w:val="22"/>
          <w:szCs w:val="22"/>
        </w:rPr>
        <w:t>periosteal surfaces of the loaded tibiae in fasted 2-hour fed mice.</w:t>
      </w:r>
      <w:r w:rsidR="00B439AB">
        <w:rPr>
          <w:rFonts w:ascii="Arial" w:hAnsi="Arial" w:cs="Arial"/>
          <w:color w:val="000000" w:themeColor="text1"/>
          <w:sz w:val="22"/>
          <w:szCs w:val="22"/>
        </w:rPr>
        <w:t xml:space="preserve"> Some periosteal new bone formation is also </w:t>
      </w:r>
      <w:r w:rsidR="00C64251">
        <w:rPr>
          <w:rFonts w:ascii="Arial" w:hAnsi="Arial" w:cs="Arial"/>
          <w:color w:val="000000" w:themeColor="text1"/>
          <w:sz w:val="22"/>
          <w:szCs w:val="22"/>
        </w:rPr>
        <w:t>seen</w:t>
      </w:r>
      <w:r w:rsidR="00B439AB">
        <w:rPr>
          <w:rFonts w:ascii="Arial" w:hAnsi="Arial" w:cs="Arial"/>
          <w:color w:val="000000" w:themeColor="text1"/>
          <w:sz w:val="22"/>
          <w:szCs w:val="22"/>
        </w:rPr>
        <w:t xml:space="preserve"> in the loaded tibiae of fed mice. </w:t>
      </w:r>
      <w:r>
        <w:rPr>
          <w:rFonts w:ascii="Arial" w:hAnsi="Arial" w:cs="Arial"/>
          <w:sz w:val="22"/>
          <w:szCs w:val="22"/>
        </w:rPr>
        <w:t xml:space="preserve">Scale bar = </w:t>
      </w:r>
      <w:r w:rsidR="00B4294E">
        <w:rPr>
          <w:rFonts w:ascii="Arial" w:hAnsi="Arial" w:cs="Arial"/>
          <w:sz w:val="22"/>
          <w:szCs w:val="22"/>
        </w:rPr>
        <w:t>200μm</w:t>
      </w:r>
    </w:p>
    <w:p w14:paraId="4A450108" w14:textId="77777777" w:rsidR="00D12571" w:rsidRPr="000B5C7C" w:rsidRDefault="00D12571" w:rsidP="00D12571">
      <w:pPr>
        <w:spacing w:line="360" w:lineRule="auto"/>
        <w:jc w:val="both"/>
        <w:rPr>
          <w:rFonts w:ascii="Arial" w:hAnsi="Arial" w:cs="Arial"/>
          <w:noProof/>
          <w:sz w:val="22"/>
          <w:szCs w:val="22"/>
        </w:rPr>
      </w:pPr>
    </w:p>
    <w:p w14:paraId="54457A27" w14:textId="77777777" w:rsidR="00D12571" w:rsidRPr="00462BDB" w:rsidRDefault="00D12571" w:rsidP="00D12571">
      <w:pPr>
        <w:rPr>
          <w:b/>
        </w:rPr>
      </w:pPr>
    </w:p>
    <w:p w14:paraId="086C19BD" w14:textId="77777777" w:rsidR="00D12571" w:rsidRDefault="00D12571" w:rsidP="00D12571">
      <w:pPr>
        <w:rPr>
          <w:rFonts w:ascii="Arial" w:eastAsiaTheme="minorHAnsi" w:hAnsi="Arial" w:cs="Arial"/>
          <w:sz w:val="22"/>
          <w:szCs w:val="22"/>
          <w:lang w:val="en-US"/>
        </w:rPr>
      </w:pPr>
    </w:p>
    <w:p w14:paraId="36242CE5" w14:textId="77777777" w:rsidR="00D12571" w:rsidRDefault="00D12571" w:rsidP="00D12571">
      <w:pPr>
        <w:rPr>
          <w:rFonts w:ascii="Arial" w:eastAsiaTheme="minorHAnsi" w:hAnsi="Arial" w:cs="Arial"/>
          <w:sz w:val="22"/>
          <w:szCs w:val="22"/>
          <w:lang w:val="en-US"/>
        </w:rPr>
      </w:pPr>
    </w:p>
    <w:p w14:paraId="24DB20BD" w14:textId="77777777" w:rsidR="00D12571" w:rsidRDefault="00D12571" w:rsidP="00D12571">
      <w:pPr>
        <w:rPr>
          <w:rFonts w:ascii="Arial" w:eastAsiaTheme="minorHAnsi" w:hAnsi="Arial" w:cs="Arial"/>
          <w:sz w:val="22"/>
          <w:szCs w:val="22"/>
          <w:lang w:val="en-US"/>
        </w:rPr>
      </w:pPr>
    </w:p>
    <w:p w14:paraId="0583BA72" w14:textId="77777777" w:rsidR="00D12571" w:rsidRDefault="00D12571" w:rsidP="00D12571">
      <w:pPr>
        <w:rPr>
          <w:rFonts w:ascii="Arial" w:eastAsiaTheme="minorHAnsi" w:hAnsi="Arial" w:cs="Arial"/>
          <w:sz w:val="22"/>
          <w:szCs w:val="22"/>
          <w:lang w:val="en-US"/>
        </w:rPr>
      </w:pPr>
    </w:p>
    <w:p w14:paraId="29945B57" w14:textId="77777777" w:rsidR="00D12571" w:rsidRDefault="00D12571" w:rsidP="00E56E65">
      <w:pPr>
        <w:spacing w:line="480" w:lineRule="auto"/>
        <w:jc w:val="both"/>
        <w:rPr>
          <w:rFonts w:ascii="Arial" w:hAnsi="Arial"/>
          <w:bCs/>
          <w:lang w:val="en-US"/>
        </w:rPr>
      </w:pPr>
    </w:p>
    <w:p w14:paraId="3B80EDB9" w14:textId="77777777" w:rsidR="00E56E65" w:rsidRDefault="00E56E65" w:rsidP="00E56E65">
      <w:pPr>
        <w:spacing w:line="480" w:lineRule="auto"/>
        <w:jc w:val="both"/>
        <w:rPr>
          <w:rFonts w:ascii="Arial" w:hAnsi="Arial"/>
          <w:bCs/>
          <w:lang w:val="en-US"/>
        </w:rPr>
      </w:pPr>
    </w:p>
    <w:p w14:paraId="5C2CB93B" w14:textId="77777777" w:rsidR="00E56E65" w:rsidRDefault="008D4D45" w:rsidP="00D12571">
      <w:pPr>
        <w:keepNext/>
        <w:spacing w:line="480" w:lineRule="auto"/>
        <w:jc w:val="both"/>
      </w:pPr>
      <w:r>
        <w:t xml:space="preserve">              </w:t>
      </w:r>
    </w:p>
    <w:p w14:paraId="3ACB0345" w14:textId="77777777" w:rsidR="00E56E65" w:rsidRDefault="00E56E65" w:rsidP="00E56E65"/>
    <w:p w14:paraId="19494B0E" w14:textId="77777777" w:rsidR="00C133FE" w:rsidRPr="00C133FE" w:rsidRDefault="00C133FE" w:rsidP="00C133FE">
      <w:pPr>
        <w:pStyle w:val="Caption"/>
        <w:keepNext/>
        <w:spacing w:line="360" w:lineRule="auto"/>
        <w:jc w:val="both"/>
        <w:rPr>
          <w:rFonts w:ascii="Arial" w:hAnsi="Arial" w:cs="Arial"/>
          <w:color w:val="244061" w:themeColor="accent1" w:themeShade="80"/>
          <w:sz w:val="24"/>
          <w:szCs w:val="24"/>
        </w:rPr>
      </w:pPr>
      <w:bookmarkStart w:id="97" w:name="_Toc383545828"/>
      <w:r w:rsidRPr="00C133FE">
        <w:rPr>
          <w:rFonts w:ascii="Arial" w:hAnsi="Arial" w:cs="Arial"/>
          <w:color w:val="244061" w:themeColor="accent1" w:themeShade="80"/>
          <w:sz w:val="24"/>
          <w:szCs w:val="24"/>
        </w:rPr>
        <w:lastRenderedPageBreak/>
        <w:t xml:space="preserve">Table </w:t>
      </w:r>
      <w:r w:rsidRPr="00C133FE">
        <w:rPr>
          <w:rFonts w:ascii="Arial" w:hAnsi="Arial" w:cs="Arial"/>
          <w:color w:val="244061" w:themeColor="accent1" w:themeShade="80"/>
          <w:sz w:val="24"/>
          <w:szCs w:val="24"/>
        </w:rPr>
        <w:fldChar w:fldCharType="begin"/>
      </w:r>
      <w:r w:rsidRPr="00C133FE">
        <w:rPr>
          <w:rFonts w:ascii="Arial" w:hAnsi="Arial" w:cs="Arial"/>
          <w:color w:val="244061" w:themeColor="accent1" w:themeShade="80"/>
          <w:sz w:val="24"/>
          <w:szCs w:val="24"/>
        </w:rPr>
        <w:instrText xml:space="preserve"> SEQ Table \* ARABIC </w:instrText>
      </w:r>
      <w:r w:rsidRPr="00C133FE">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w:t>
      </w:r>
      <w:r w:rsidRPr="00C133FE">
        <w:rPr>
          <w:rFonts w:ascii="Arial" w:hAnsi="Arial" w:cs="Arial"/>
          <w:color w:val="244061" w:themeColor="accent1" w:themeShade="80"/>
          <w:sz w:val="24"/>
          <w:szCs w:val="24"/>
        </w:rPr>
        <w:fldChar w:fldCharType="end"/>
      </w:r>
      <w:r w:rsidRPr="00C133FE">
        <w:rPr>
          <w:rFonts w:ascii="Arial" w:hAnsi="Arial" w:cs="Arial"/>
          <w:color w:val="244061" w:themeColor="accent1" w:themeShade="80"/>
          <w:sz w:val="24"/>
          <w:szCs w:val="24"/>
        </w:rPr>
        <w:t xml:space="preserve"> Quantitative results of </w:t>
      </w:r>
      <w:r w:rsidRPr="00C133FE">
        <w:rPr>
          <w:rFonts w:ascii="Arial" w:hAnsi="Arial" w:cs="Arial"/>
          <w:color w:val="244061" w:themeColor="accent1" w:themeShade="80"/>
          <w:sz w:val="24"/>
          <w:szCs w:val="24"/>
        </w:rPr>
        <w:sym w:font="Symbol" w:char="F06D"/>
      </w:r>
      <w:r w:rsidRPr="00C133FE">
        <w:rPr>
          <w:rFonts w:ascii="Arial" w:hAnsi="Arial" w:cs="Arial"/>
          <w:color w:val="244061" w:themeColor="accent1" w:themeShade="80"/>
          <w:sz w:val="24"/>
          <w:szCs w:val="24"/>
        </w:rPr>
        <w:t xml:space="preserve">CT analysis of tibial cortical </w:t>
      </w:r>
      <w:r w:rsidR="000032B1">
        <w:rPr>
          <w:rFonts w:ascii="Arial" w:hAnsi="Arial" w:cs="Arial"/>
          <w:color w:val="244061" w:themeColor="accent1" w:themeShade="80"/>
          <w:sz w:val="24"/>
          <w:szCs w:val="24"/>
        </w:rPr>
        <w:t xml:space="preserve">and trabecular </w:t>
      </w:r>
      <w:r w:rsidRPr="00C133FE">
        <w:rPr>
          <w:rFonts w:ascii="Arial" w:hAnsi="Arial" w:cs="Arial"/>
          <w:color w:val="244061" w:themeColor="accent1" w:themeShade="80"/>
          <w:sz w:val="24"/>
          <w:szCs w:val="24"/>
        </w:rPr>
        <w:t>bone parameters after maximal mechanical loading of fed or fed for 2 ho</w:t>
      </w:r>
      <w:r w:rsidR="00F97D67">
        <w:rPr>
          <w:rFonts w:ascii="Arial" w:hAnsi="Arial" w:cs="Arial"/>
          <w:color w:val="244061" w:themeColor="accent1" w:themeShade="80"/>
          <w:sz w:val="24"/>
          <w:szCs w:val="24"/>
        </w:rPr>
        <w:t xml:space="preserve">urs following overnight fast </w:t>
      </w:r>
      <w:r w:rsidRPr="00C133FE">
        <w:rPr>
          <w:rFonts w:ascii="Arial" w:hAnsi="Arial" w:cs="Arial"/>
          <w:color w:val="244061" w:themeColor="accent1" w:themeShade="80"/>
          <w:sz w:val="24"/>
          <w:szCs w:val="24"/>
        </w:rPr>
        <w:t>young male mice</w:t>
      </w:r>
      <w:bookmarkEnd w:id="97"/>
    </w:p>
    <w:tbl>
      <w:tblPr>
        <w:tblW w:w="9889" w:type="dxa"/>
        <w:tblBorders>
          <w:top w:val="single" w:sz="4" w:space="0" w:color="auto"/>
        </w:tblBorders>
        <w:tblLayout w:type="fixed"/>
        <w:tblLook w:val="04A0" w:firstRow="1" w:lastRow="0" w:firstColumn="1" w:lastColumn="0" w:noHBand="0" w:noVBand="1"/>
      </w:tblPr>
      <w:tblGrid>
        <w:gridCol w:w="1951"/>
        <w:gridCol w:w="1418"/>
        <w:gridCol w:w="1559"/>
        <w:gridCol w:w="992"/>
        <w:gridCol w:w="1418"/>
        <w:gridCol w:w="1559"/>
        <w:gridCol w:w="992"/>
      </w:tblGrid>
      <w:tr w:rsidR="00E56E65" w14:paraId="0879B09B" w14:textId="77777777" w:rsidTr="00E56E65">
        <w:tc>
          <w:tcPr>
            <w:tcW w:w="1951" w:type="dxa"/>
          </w:tcPr>
          <w:p w14:paraId="2BD11B86" w14:textId="77777777" w:rsidR="00E56E65" w:rsidRPr="00946100" w:rsidRDefault="00E56E65" w:rsidP="00E56E65">
            <w:pPr>
              <w:spacing w:line="480" w:lineRule="auto"/>
              <w:jc w:val="center"/>
              <w:rPr>
                <w:rFonts w:ascii="Arial" w:hAnsi="Arial" w:cs="Arial"/>
                <w:sz w:val="22"/>
                <w:szCs w:val="22"/>
              </w:rPr>
            </w:pPr>
          </w:p>
        </w:tc>
        <w:tc>
          <w:tcPr>
            <w:tcW w:w="3969" w:type="dxa"/>
            <w:gridSpan w:val="3"/>
            <w:tcBorders>
              <w:bottom w:val="single" w:sz="4" w:space="0" w:color="auto"/>
              <w:right w:val="single" w:sz="4" w:space="0" w:color="auto"/>
            </w:tcBorders>
          </w:tcPr>
          <w:p w14:paraId="1019A971"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Fed</w:t>
            </w:r>
          </w:p>
        </w:tc>
        <w:tc>
          <w:tcPr>
            <w:tcW w:w="3969" w:type="dxa"/>
            <w:gridSpan w:val="3"/>
            <w:tcBorders>
              <w:top w:val="single" w:sz="4" w:space="0" w:color="auto"/>
              <w:left w:val="single" w:sz="4" w:space="0" w:color="auto"/>
              <w:bottom w:val="nil"/>
            </w:tcBorders>
          </w:tcPr>
          <w:p w14:paraId="43860BA6" w14:textId="77777777" w:rsidR="00E56E65" w:rsidRPr="00946100" w:rsidRDefault="00E56E65" w:rsidP="00E56E65">
            <w:pPr>
              <w:tabs>
                <w:tab w:val="left" w:pos="1328"/>
              </w:tabs>
              <w:spacing w:line="480" w:lineRule="auto"/>
              <w:jc w:val="center"/>
              <w:rPr>
                <w:rFonts w:ascii="Arial" w:hAnsi="Arial" w:cs="Arial"/>
                <w:sz w:val="22"/>
                <w:szCs w:val="22"/>
              </w:rPr>
            </w:pPr>
            <w:r w:rsidRPr="00946100">
              <w:rPr>
                <w:rFonts w:ascii="Arial" w:hAnsi="Arial" w:cs="Arial"/>
                <w:b/>
                <w:color w:val="000000"/>
                <w:sz w:val="22"/>
                <w:szCs w:val="22"/>
              </w:rPr>
              <w:t>Fasted Fed 2hrs</w:t>
            </w:r>
          </w:p>
        </w:tc>
      </w:tr>
      <w:tr w:rsidR="00E56E65" w14:paraId="799A67F1" w14:textId="77777777" w:rsidTr="00E56E65">
        <w:tc>
          <w:tcPr>
            <w:tcW w:w="1951" w:type="dxa"/>
            <w:tcBorders>
              <w:bottom w:val="single" w:sz="4" w:space="0" w:color="auto"/>
            </w:tcBorders>
          </w:tcPr>
          <w:p w14:paraId="3F78E0DB" w14:textId="77777777" w:rsidR="00E56E65" w:rsidRPr="00946100" w:rsidRDefault="00E56E65" w:rsidP="00E56E65">
            <w:pPr>
              <w:spacing w:line="480" w:lineRule="auto"/>
              <w:jc w:val="center"/>
              <w:rPr>
                <w:rFonts w:ascii="Arial" w:hAnsi="Arial" w:cs="Arial"/>
                <w:sz w:val="22"/>
                <w:szCs w:val="22"/>
              </w:rPr>
            </w:pPr>
          </w:p>
        </w:tc>
        <w:tc>
          <w:tcPr>
            <w:tcW w:w="1418" w:type="dxa"/>
            <w:tcBorders>
              <w:top w:val="single" w:sz="4" w:space="0" w:color="auto"/>
              <w:bottom w:val="single" w:sz="4" w:space="0" w:color="auto"/>
            </w:tcBorders>
          </w:tcPr>
          <w:p w14:paraId="1B571464" w14:textId="77777777" w:rsidR="00E56E65" w:rsidRPr="00946100" w:rsidRDefault="00E56E65" w:rsidP="00E56E65">
            <w:pPr>
              <w:tabs>
                <w:tab w:val="left" w:pos="704"/>
              </w:tabs>
              <w:spacing w:line="480" w:lineRule="auto"/>
              <w:jc w:val="center"/>
              <w:rPr>
                <w:rFonts w:ascii="Arial" w:hAnsi="Arial" w:cs="Arial"/>
                <w:sz w:val="22"/>
                <w:szCs w:val="22"/>
              </w:rPr>
            </w:pPr>
            <w:r w:rsidRPr="00946100">
              <w:rPr>
                <w:rFonts w:ascii="Arial" w:hAnsi="Arial" w:cs="Arial"/>
                <w:b/>
                <w:color w:val="000000"/>
                <w:sz w:val="22"/>
                <w:szCs w:val="22"/>
              </w:rPr>
              <w:t>Loaded</w:t>
            </w:r>
          </w:p>
        </w:tc>
        <w:tc>
          <w:tcPr>
            <w:tcW w:w="1559" w:type="dxa"/>
            <w:tcBorders>
              <w:top w:val="single" w:sz="4" w:space="0" w:color="auto"/>
              <w:bottom w:val="single" w:sz="4" w:space="0" w:color="auto"/>
            </w:tcBorders>
          </w:tcPr>
          <w:p w14:paraId="76B60A34"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Non-loaded</w:t>
            </w:r>
          </w:p>
        </w:tc>
        <w:tc>
          <w:tcPr>
            <w:tcW w:w="992" w:type="dxa"/>
            <w:tcBorders>
              <w:top w:val="nil"/>
              <w:bottom w:val="single" w:sz="4" w:space="0" w:color="auto"/>
              <w:right w:val="single" w:sz="4" w:space="0" w:color="auto"/>
            </w:tcBorders>
          </w:tcPr>
          <w:p w14:paraId="40B270D7" w14:textId="77777777" w:rsidR="00E56E65" w:rsidRPr="00946100" w:rsidRDefault="00E56E65" w:rsidP="00E56E65">
            <w:pPr>
              <w:spacing w:line="480" w:lineRule="auto"/>
              <w:jc w:val="center"/>
              <w:rPr>
                <w:rFonts w:ascii="Arial" w:hAnsi="Arial" w:cs="Arial"/>
                <w:sz w:val="22"/>
                <w:szCs w:val="22"/>
              </w:rPr>
            </w:pPr>
            <w:proofErr w:type="gramStart"/>
            <w:r w:rsidRPr="00946100">
              <w:rPr>
                <w:rFonts w:ascii="Arial" w:hAnsi="Arial" w:cs="Arial"/>
                <w:b/>
                <w:color w:val="000000"/>
                <w:sz w:val="22"/>
                <w:szCs w:val="22"/>
              </w:rPr>
              <w:t>p</w:t>
            </w:r>
            <w:proofErr w:type="gramEnd"/>
            <w:r w:rsidRPr="00946100">
              <w:rPr>
                <w:rFonts w:ascii="Arial" w:hAnsi="Arial" w:cs="Arial"/>
                <w:b/>
                <w:color w:val="000000"/>
                <w:sz w:val="22"/>
                <w:szCs w:val="22"/>
              </w:rPr>
              <w:t xml:space="preserve"> value</w:t>
            </w:r>
          </w:p>
        </w:tc>
        <w:tc>
          <w:tcPr>
            <w:tcW w:w="1418" w:type="dxa"/>
            <w:tcBorders>
              <w:top w:val="single" w:sz="4" w:space="0" w:color="auto"/>
              <w:left w:val="single" w:sz="4" w:space="0" w:color="auto"/>
              <w:bottom w:val="single" w:sz="4" w:space="0" w:color="auto"/>
            </w:tcBorders>
          </w:tcPr>
          <w:p w14:paraId="189FBD01"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Loaded</w:t>
            </w:r>
          </w:p>
        </w:tc>
        <w:tc>
          <w:tcPr>
            <w:tcW w:w="1559" w:type="dxa"/>
            <w:tcBorders>
              <w:top w:val="single" w:sz="4" w:space="0" w:color="auto"/>
              <w:bottom w:val="single" w:sz="4" w:space="0" w:color="auto"/>
            </w:tcBorders>
          </w:tcPr>
          <w:p w14:paraId="43227B1F"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Non-loaded</w:t>
            </w:r>
          </w:p>
        </w:tc>
        <w:tc>
          <w:tcPr>
            <w:tcW w:w="992" w:type="dxa"/>
            <w:tcBorders>
              <w:top w:val="single" w:sz="4" w:space="0" w:color="auto"/>
              <w:bottom w:val="single" w:sz="4" w:space="0" w:color="auto"/>
            </w:tcBorders>
          </w:tcPr>
          <w:p w14:paraId="1CDA311A" w14:textId="77777777" w:rsidR="00E56E65" w:rsidRPr="00946100" w:rsidRDefault="00E56E65" w:rsidP="00E56E65">
            <w:pPr>
              <w:spacing w:line="480" w:lineRule="auto"/>
              <w:jc w:val="center"/>
              <w:rPr>
                <w:rFonts w:ascii="Arial" w:hAnsi="Arial" w:cs="Arial"/>
                <w:sz w:val="22"/>
                <w:szCs w:val="22"/>
              </w:rPr>
            </w:pPr>
            <w:proofErr w:type="gramStart"/>
            <w:r>
              <w:rPr>
                <w:rFonts w:ascii="Arial" w:hAnsi="Arial" w:cs="Arial"/>
                <w:b/>
                <w:color w:val="000000"/>
                <w:sz w:val="22"/>
                <w:szCs w:val="22"/>
              </w:rPr>
              <w:t>p</w:t>
            </w:r>
            <w:proofErr w:type="gramEnd"/>
            <w:r>
              <w:rPr>
                <w:rFonts w:ascii="Arial" w:hAnsi="Arial" w:cs="Arial"/>
                <w:b/>
                <w:color w:val="000000"/>
                <w:sz w:val="22"/>
                <w:szCs w:val="22"/>
              </w:rPr>
              <w:t>-</w:t>
            </w:r>
            <w:r w:rsidRPr="00946100">
              <w:rPr>
                <w:rFonts w:ascii="Arial" w:hAnsi="Arial" w:cs="Arial"/>
                <w:b/>
                <w:color w:val="000000"/>
                <w:sz w:val="22"/>
                <w:szCs w:val="22"/>
              </w:rPr>
              <w:t>value</w:t>
            </w:r>
          </w:p>
        </w:tc>
      </w:tr>
      <w:tr w:rsidR="00E56E65" w14:paraId="1A9DCE53" w14:textId="77777777" w:rsidTr="00E56E65">
        <w:tc>
          <w:tcPr>
            <w:tcW w:w="1951" w:type="dxa"/>
            <w:tcBorders>
              <w:top w:val="single" w:sz="4" w:space="0" w:color="auto"/>
            </w:tcBorders>
          </w:tcPr>
          <w:p w14:paraId="33927CEA" w14:textId="77777777" w:rsidR="00E56E65" w:rsidRPr="00946100" w:rsidRDefault="000032B1" w:rsidP="00E56E65">
            <w:pPr>
              <w:tabs>
                <w:tab w:val="left" w:pos="720"/>
              </w:tabs>
              <w:spacing w:line="480" w:lineRule="auto"/>
              <w:jc w:val="center"/>
              <w:rPr>
                <w:rFonts w:ascii="Arial" w:hAnsi="Arial" w:cs="Arial"/>
                <w:sz w:val="22"/>
                <w:szCs w:val="22"/>
              </w:rPr>
            </w:pPr>
            <w:r w:rsidRPr="00196387">
              <w:rPr>
                <w:rFonts w:ascii="Arial" w:hAnsi="Arial" w:cs="Arial"/>
                <w:b/>
                <w:color w:val="000000"/>
                <w:sz w:val="22"/>
                <w:szCs w:val="22"/>
              </w:rPr>
              <w:t>Cortical bone</w:t>
            </w:r>
          </w:p>
        </w:tc>
        <w:tc>
          <w:tcPr>
            <w:tcW w:w="1418" w:type="dxa"/>
            <w:tcBorders>
              <w:top w:val="single" w:sz="4" w:space="0" w:color="auto"/>
            </w:tcBorders>
          </w:tcPr>
          <w:p w14:paraId="15CEFA4C" w14:textId="77777777" w:rsidR="00E56E65" w:rsidRPr="00946100" w:rsidRDefault="00E56E65" w:rsidP="00E56E65">
            <w:pPr>
              <w:spacing w:line="480" w:lineRule="auto"/>
              <w:jc w:val="center"/>
              <w:rPr>
                <w:rFonts w:ascii="Arial" w:hAnsi="Arial" w:cs="Arial"/>
                <w:sz w:val="22"/>
                <w:szCs w:val="22"/>
              </w:rPr>
            </w:pPr>
          </w:p>
        </w:tc>
        <w:tc>
          <w:tcPr>
            <w:tcW w:w="1559" w:type="dxa"/>
            <w:tcBorders>
              <w:top w:val="single" w:sz="4" w:space="0" w:color="auto"/>
            </w:tcBorders>
          </w:tcPr>
          <w:p w14:paraId="4064EE8E" w14:textId="77777777" w:rsidR="00E56E65" w:rsidRPr="00946100" w:rsidRDefault="00E56E65" w:rsidP="00E56E65">
            <w:pPr>
              <w:spacing w:line="480" w:lineRule="auto"/>
              <w:jc w:val="center"/>
              <w:rPr>
                <w:rFonts w:ascii="Arial" w:hAnsi="Arial" w:cs="Arial"/>
                <w:sz w:val="22"/>
                <w:szCs w:val="22"/>
              </w:rPr>
            </w:pPr>
          </w:p>
        </w:tc>
        <w:tc>
          <w:tcPr>
            <w:tcW w:w="992" w:type="dxa"/>
            <w:tcBorders>
              <w:top w:val="single" w:sz="4" w:space="0" w:color="auto"/>
            </w:tcBorders>
          </w:tcPr>
          <w:p w14:paraId="7B209938" w14:textId="77777777" w:rsidR="00E56E65" w:rsidRPr="00946100" w:rsidRDefault="00E56E65" w:rsidP="00E56E65">
            <w:pPr>
              <w:spacing w:line="480" w:lineRule="auto"/>
              <w:jc w:val="center"/>
              <w:rPr>
                <w:rFonts w:ascii="Arial" w:hAnsi="Arial" w:cs="Arial"/>
                <w:sz w:val="22"/>
                <w:szCs w:val="22"/>
              </w:rPr>
            </w:pPr>
          </w:p>
        </w:tc>
        <w:tc>
          <w:tcPr>
            <w:tcW w:w="1418" w:type="dxa"/>
            <w:tcBorders>
              <w:top w:val="single" w:sz="4" w:space="0" w:color="auto"/>
            </w:tcBorders>
          </w:tcPr>
          <w:p w14:paraId="2CA2FF2B" w14:textId="77777777" w:rsidR="00E56E65" w:rsidRPr="00946100" w:rsidRDefault="00E56E65" w:rsidP="00E56E65">
            <w:pPr>
              <w:spacing w:line="480" w:lineRule="auto"/>
              <w:jc w:val="center"/>
              <w:rPr>
                <w:rFonts w:ascii="Arial" w:hAnsi="Arial" w:cs="Arial"/>
                <w:sz w:val="22"/>
                <w:szCs w:val="22"/>
              </w:rPr>
            </w:pPr>
          </w:p>
        </w:tc>
        <w:tc>
          <w:tcPr>
            <w:tcW w:w="1559" w:type="dxa"/>
            <w:tcBorders>
              <w:top w:val="single" w:sz="4" w:space="0" w:color="auto"/>
            </w:tcBorders>
          </w:tcPr>
          <w:p w14:paraId="0423D7FC" w14:textId="77777777" w:rsidR="00E56E65" w:rsidRPr="00946100" w:rsidRDefault="00E56E65" w:rsidP="00E56E65">
            <w:pPr>
              <w:spacing w:line="480" w:lineRule="auto"/>
              <w:jc w:val="center"/>
              <w:rPr>
                <w:rFonts w:ascii="Arial" w:hAnsi="Arial" w:cs="Arial"/>
                <w:sz w:val="22"/>
                <w:szCs w:val="22"/>
              </w:rPr>
            </w:pPr>
          </w:p>
        </w:tc>
        <w:tc>
          <w:tcPr>
            <w:tcW w:w="992" w:type="dxa"/>
            <w:tcBorders>
              <w:top w:val="single" w:sz="4" w:space="0" w:color="auto"/>
            </w:tcBorders>
          </w:tcPr>
          <w:p w14:paraId="6E219D56" w14:textId="77777777" w:rsidR="00E56E65" w:rsidRPr="00946100" w:rsidRDefault="00E56E65" w:rsidP="00E56E65">
            <w:pPr>
              <w:spacing w:line="480" w:lineRule="auto"/>
              <w:jc w:val="center"/>
              <w:rPr>
                <w:rFonts w:ascii="Arial" w:hAnsi="Arial" w:cs="Arial"/>
                <w:sz w:val="22"/>
                <w:szCs w:val="22"/>
              </w:rPr>
            </w:pPr>
          </w:p>
        </w:tc>
      </w:tr>
      <w:tr w:rsidR="000032B1" w14:paraId="63F6C413" w14:textId="77777777" w:rsidTr="00E56E65">
        <w:tc>
          <w:tcPr>
            <w:tcW w:w="1951" w:type="dxa"/>
          </w:tcPr>
          <w:p w14:paraId="33011727"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Ct.Ar (mm</w:t>
            </w:r>
            <w:r w:rsidRPr="006C2FC2">
              <w:rPr>
                <w:rFonts w:ascii="Arial" w:hAnsi="Arial" w:cs="Arial"/>
                <w:color w:val="000000"/>
                <w:sz w:val="22"/>
                <w:szCs w:val="22"/>
                <w:vertAlign w:val="superscript"/>
              </w:rPr>
              <w:t>2</w:t>
            </w:r>
            <w:r w:rsidRPr="00196387">
              <w:rPr>
                <w:rFonts w:ascii="Arial" w:hAnsi="Arial" w:cs="Arial"/>
                <w:color w:val="000000"/>
                <w:sz w:val="22"/>
                <w:szCs w:val="22"/>
              </w:rPr>
              <w:t>)</w:t>
            </w:r>
          </w:p>
        </w:tc>
        <w:tc>
          <w:tcPr>
            <w:tcW w:w="1418" w:type="dxa"/>
          </w:tcPr>
          <w:p w14:paraId="4BE1F435"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0.71±0.01</w:t>
            </w:r>
          </w:p>
        </w:tc>
        <w:tc>
          <w:tcPr>
            <w:tcW w:w="1559" w:type="dxa"/>
          </w:tcPr>
          <w:p w14:paraId="36626235"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0.64±0.01</w:t>
            </w:r>
          </w:p>
        </w:tc>
        <w:tc>
          <w:tcPr>
            <w:tcW w:w="992" w:type="dxa"/>
          </w:tcPr>
          <w:p w14:paraId="775E53A2" w14:textId="77777777" w:rsidR="000032B1" w:rsidRPr="00196387" w:rsidRDefault="000032B1" w:rsidP="00E56E65">
            <w:pPr>
              <w:spacing w:line="480" w:lineRule="auto"/>
              <w:jc w:val="center"/>
              <w:rPr>
                <w:rFonts w:ascii="Arial" w:hAnsi="Arial" w:cs="Arial"/>
                <w:sz w:val="22"/>
                <w:szCs w:val="22"/>
              </w:rPr>
            </w:pPr>
            <w:proofErr w:type="gramStart"/>
            <w:r w:rsidRPr="00196387">
              <w:rPr>
                <w:rFonts w:ascii="Arial" w:hAnsi="Arial" w:cs="Arial"/>
                <w:sz w:val="22"/>
                <w:szCs w:val="22"/>
              </w:rPr>
              <w:t>b</w:t>
            </w:r>
            <w:proofErr w:type="gramEnd"/>
          </w:p>
        </w:tc>
        <w:tc>
          <w:tcPr>
            <w:tcW w:w="1418" w:type="dxa"/>
          </w:tcPr>
          <w:p w14:paraId="78BB5985"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0.75±0.01</w:t>
            </w:r>
          </w:p>
        </w:tc>
        <w:tc>
          <w:tcPr>
            <w:tcW w:w="1559" w:type="dxa"/>
          </w:tcPr>
          <w:p w14:paraId="46664445"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0.64±0.02</w:t>
            </w:r>
          </w:p>
        </w:tc>
        <w:tc>
          <w:tcPr>
            <w:tcW w:w="992" w:type="dxa"/>
          </w:tcPr>
          <w:p w14:paraId="5C55D5C5" w14:textId="77777777" w:rsidR="000032B1" w:rsidRPr="00196387" w:rsidRDefault="000032B1" w:rsidP="00E56E65">
            <w:pPr>
              <w:spacing w:line="480" w:lineRule="auto"/>
              <w:jc w:val="center"/>
              <w:rPr>
                <w:rFonts w:ascii="Arial" w:hAnsi="Arial" w:cs="Arial"/>
                <w:sz w:val="22"/>
                <w:szCs w:val="22"/>
              </w:rPr>
            </w:pPr>
            <w:proofErr w:type="gramStart"/>
            <w:r w:rsidRPr="00196387">
              <w:rPr>
                <w:rFonts w:ascii="Arial" w:hAnsi="Arial" w:cs="Arial"/>
                <w:sz w:val="22"/>
                <w:szCs w:val="22"/>
              </w:rPr>
              <w:t>c</w:t>
            </w:r>
            <w:proofErr w:type="gramEnd"/>
          </w:p>
        </w:tc>
      </w:tr>
      <w:tr w:rsidR="000032B1" w14:paraId="248181ED" w14:textId="77777777" w:rsidTr="00E56E65">
        <w:tc>
          <w:tcPr>
            <w:tcW w:w="1951" w:type="dxa"/>
          </w:tcPr>
          <w:p w14:paraId="0CCD011F"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Tt.Ar (mm</w:t>
            </w:r>
            <w:r w:rsidRPr="006C2FC2">
              <w:rPr>
                <w:rFonts w:ascii="Arial" w:hAnsi="Arial" w:cs="Arial"/>
                <w:color w:val="000000"/>
                <w:sz w:val="22"/>
                <w:szCs w:val="22"/>
                <w:vertAlign w:val="superscript"/>
              </w:rPr>
              <w:t>2</w:t>
            </w:r>
            <w:r w:rsidRPr="00196387">
              <w:rPr>
                <w:rFonts w:ascii="Arial" w:hAnsi="Arial" w:cs="Arial"/>
                <w:color w:val="000000"/>
                <w:sz w:val="22"/>
                <w:szCs w:val="22"/>
              </w:rPr>
              <w:t>)</w:t>
            </w:r>
          </w:p>
        </w:tc>
        <w:tc>
          <w:tcPr>
            <w:tcW w:w="1418" w:type="dxa"/>
          </w:tcPr>
          <w:p w14:paraId="2FB0AB2D"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1.18±0.02</w:t>
            </w:r>
          </w:p>
        </w:tc>
        <w:tc>
          <w:tcPr>
            <w:tcW w:w="1559" w:type="dxa"/>
          </w:tcPr>
          <w:p w14:paraId="27A39792"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1.13±0.02</w:t>
            </w:r>
          </w:p>
        </w:tc>
        <w:tc>
          <w:tcPr>
            <w:tcW w:w="992" w:type="dxa"/>
          </w:tcPr>
          <w:p w14:paraId="49FA74AF" w14:textId="77777777" w:rsidR="000032B1" w:rsidRPr="00196387" w:rsidRDefault="000032B1" w:rsidP="00E56E65">
            <w:pPr>
              <w:spacing w:line="480" w:lineRule="auto"/>
              <w:jc w:val="center"/>
              <w:rPr>
                <w:rFonts w:ascii="Arial" w:hAnsi="Arial" w:cs="Arial"/>
                <w:sz w:val="22"/>
                <w:szCs w:val="22"/>
              </w:rPr>
            </w:pPr>
          </w:p>
        </w:tc>
        <w:tc>
          <w:tcPr>
            <w:tcW w:w="1418" w:type="dxa"/>
          </w:tcPr>
          <w:p w14:paraId="285B43B4"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1.19±0.03</w:t>
            </w:r>
          </w:p>
        </w:tc>
        <w:tc>
          <w:tcPr>
            <w:tcW w:w="1559" w:type="dxa"/>
          </w:tcPr>
          <w:p w14:paraId="504119F8"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1.13±0.05</w:t>
            </w:r>
          </w:p>
        </w:tc>
        <w:tc>
          <w:tcPr>
            <w:tcW w:w="992" w:type="dxa"/>
          </w:tcPr>
          <w:p w14:paraId="6C8E272B" w14:textId="77777777" w:rsidR="000032B1" w:rsidRPr="00196387" w:rsidRDefault="000032B1" w:rsidP="00E56E65">
            <w:pPr>
              <w:spacing w:line="480" w:lineRule="auto"/>
              <w:jc w:val="center"/>
              <w:rPr>
                <w:rFonts w:ascii="Arial" w:hAnsi="Arial" w:cs="Arial"/>
                <w:sz w:val="22"/>
                <w:szCs w:val="22"/>
              </w:rPr>
            </w:pPr>
          </w:p>
        </w:tc>
      </w:tr>
      <w:tr w:rsidR="000032B1" w14:paraId="27FAEB72" w14:textId="77777777" w:rsidTr="00E56E65">
        <w:tc>
          <w:tcPr>
            <w:tcW w:w="1951" w:type="dxa"/>
          </w:tcPr>
          <w:p w14:paraId="17622AC1"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Ma.Ar (mm</w:t>
            </w:r>
            <w:r w:rsidRPr="006C2FC2">
              <w:rPr>
                <w:rFonts w:ascii="Arial" w:hAnsi="Arial" w:cs="Arial"/>
                <w:color w:val="000000"/>
                <w:sz w:val="22"/>
                <w:szCs w:val="22"/>
                <w:vertAlign w:val="superscript"/>
              </w:rPr>
              <w:t>2</w:t>
            </w:r>
            <w:r w:rsidRPr="00196387">
              <w:rPr>
                <w:rFonts w:ascii="Arial" w:hAnsi="Arial" w:cs="Arial"/>
                <w:color w:val="000000"/>
                <w:sz w:val="22"/>
                <w:szCs w:val="22"/>
              </w:rPr>
              <w:t>)</w:t>
            </w:r>
          </w:p>
        </w:tc>
        <w:tc>
          <w:tcPr>
            <w:tcW w:w="1418" w:type="dxa"/>
          </w:tcPr>
          <w:p w14:paraId="2C0EF6CC"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0.46±0.01</w:t>
            </w:r>
          </w:p>
        </w:tc>
        <w:tc>
          <w:tcPr>
            <w:tcW w:w="1559" w:type="dxa"/>
          </w:tcPr>
          <w:p w14:paraId="551EAAED"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0.49±0.02</w:t>
            </w:r>
          </w:p>
        </w:tc>
        <w:tc>
          <w:tcPr>
            <w:tcW w:w="992" w:type="dxa"/>
          </w:tcPr>
          <w:p w14:paraId="1490367E" w14:textId="77777777" w:rsidR="000032B1" w:rsidRPr="00196387" w:rsidRDefault="000032B1" w:rsidP="00E56E65">
            <w:pPr>
              <w:spacing w:line="480" w:lineRule="auto"/>
              <w:jc w:val="center"/>
              <w:rPr>
                <w:rFonts w:ascii="Arial" w:hAnsi="Arial" w:cs="Arial"/>
                <w:sz w:val="22"/>
                <w:szCs w:val="22"/>
              </w:rPr>
            </w:pPr>
          </w:p>
        </w:tc>
        <w:tc>
          <w:tcPr>
            <w:tcW w:w="1418" w:type="dxa"/>
          </w:tcPr>
          <w:p w14:paraId="7B8744EE"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0.45±0.02</w:t>
            </w:r>
          </w:p>
        </w:tc>
        <w:tc>
          <w:tcPr>
            <w:tcW w:w="1559" w:type="dxa"/>
          </w:tcPr>
          <w:p w14:paraId="0F6C5167"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0.48±0.03</w:t>
            </w:r>
          </w:p>
        </w:tc>
        <w:tc>
          <w:tcPr>
            <w:tcW w:w="992" w:type="dxa"/>
          </w:tcPr>
          <w:p w14:paraId="497BA878" w14:textId="77777777" w:rsidR="000032B1" w:rsidRPr="00196387" w:rsidRDefault="000032B1" w:rsidP="00E56E65">
            <w:pPr>
              <w:spacing w:line="480" w:lineRule="auto"/>
              <w:jc w:val="center"/>
              <w:rPr>
                <w:rFonts w:ascii="Arial" w:hAnsi="Arial" w:cs="Arial"/>
                <w:sz w:val="22"/>
                <w:szCs w:val="22"/>
              </w:rPr>
            </w:pPr>
          </w:p>
        </w:tc>
      </w:tr>
      <w:tr w:rsidR="000032B1" w14:paraId="76188B6D" w14:textId="77777777" w:rsidTr="00E56E65">
        <w:tc>
          <w:tcPr>
            <w:tcW w:w="1951" w:type="dxa"/>
          </w:tcPr>
          <w:p w14:paraId="602744CF"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Ct.Th (mm)</w:t>
            </w:r>
          </w:p>
        </w:tc>
        <w:tc>
          <w:tcPr>
            <w:tcW w:w="1418" w:type="dxa"/>
          </w:tcPr>
          <w:p w14:paraId="5D87B594"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0.25±0.002</w:t>
            </w:r>
          </w:p>
        </w:tc>
        <w:tc>
          <w:tcPr>
            <w:tcW w:w="1559" w:type="dxa"/>
          </w:tcPr>
          <w:p w14:paraId="3A4DDCB0"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0.22±0.004</w:t>
            </w:r>
          </w:p>
        </w:tc>
        <w:tc>
          <w:tcPr>
            <w:tcW w:w="992" w:type="dxa"/>
          </w:tcPr>
          <w:p w14:paraId="58181152" w14:textId="77777777" w:rsidR="000032B1" w:rsidRPr="00196387" w:rsidRDefault="000032B1" w:rsidP="00E56E65">
            <w:pPr>
              <w:spacing w:line="480" w:lineRule="auto"/>
              <w:jc w:val="center"/>
              <w:rPr>
                <w:rFonts w:ascii="Arial" w:hAnsi="Arial" w:cs="Arial"/>
                <w:sz w:val="22"/>
                <w:szCs w:val="22"/>
              </w:rPr>
            </w:pPr>
            <w:proofErr w:type="gramStart"/>
            <w:r>
              <w:rPr>
                <w:rFonts w:ascii="Arial" w:hAnsi="Arial" w:cs="Arial"/>
                <w:sz w:val="22"/>
                <w:szCs w:val="22"/>
              </w:rPr>
              <w:t>c</w:t>
            </w:r>
            <w:proofErr w:type="gramEnd"/>
          </w:p>
        </w:tc>
        <w:tc>
          <w:tcPr>
            <w:tcW w:w="1418" w:type="dxa"/>
          </w:tcPr>
          <w:p w14:paraId="2E5D5846"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0.27±0.007</w:t>
            </w:r>
          </w:p>
        </w:tc>
        <w:tc>
          <w:tcPr>
            <w:tcW w:w="1559" w:type="dxa"/>
          </w:tcPr>
          <w:p w14:paraId="4E1034F8"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0.22±0.003</w:t>
            </w:r>
          </w:p>
        </w:tc>
        <w:tc>
          <w:tcPr>
            <w:tcW w:w="992" w:type="dxa"/>
          </w:tcPr>
          <w:p w14:paraId="5ECCE921" w14:textId="77777777" w:rsidR="000032B1" w:rsidRPr="00196387" w:rsidRDefault="000032B1" w:rsidP="00E56E65">
            <w:pPr>
              <w:spacing w:line="480" w:lineRule="auto"/>
              <w:jc w:val="center"/>
              <w:rPr>
                <w:rFonts w:ascii="Arial" w:hAnsi="Arial" w:cs="Arial"/>
                <w:sz w:val="22"/>
                <w:szCs w:val="22"/>
              </w:rPr>
            </w:pPr>
            <w:proofErr w:type="gramStart"/>
            <w:r w:rsidRPr="00196387">
              <w:rPr>
                <w:rFonts w:ascii="Arial" w:hAnsi="Arial" w:cs="Arial"/>
                <w:sz w:val="22"/>
                <w:szCs w:val="22"/>
              </w:rPr>
              <w:t>d</w:t>
            </w:r>
            <w:proofErr w:type="gramEnd"/>
          </w:p>
        </w:tc>
      </w:tr>
      <w:tr w:rsidR="000032B1" w14:paraId="7C380422" w14:textId="77777777" w:rsidTr="00E56E65">
        <w:tc>
          <w:tcPr>
            <w:tcW w:w="1951" w:type="dxa"/>
          </w:tcPr>
          <w:p w14:paraId="26A9B8C7" w14:textId="77777777" w:rsidR="000032B1" w:rsidRPr="00196387" w:rsidRDefault="000032B1" w:rsidP="00E56E65">
            <w:pPr>
              <w:spacing w:line="480" w:lineRule="auto"/>
              <w:jc w:val="center"/>
              <w:rPr>
                <w:rFonts w:ascii="Arial" w:hAnsi="Arial" w:cs="Arial"/>
                <w:sz w:val="22"/>
                <w:szCs w:val="22"/>
              </w:rPr>
            </w:pPr>
            <w:r>
              <w:rPr>
                <w:rFonts w:ascii="Arial" w:hAnsi="Arial" w:cs="Arial"/>
                <w:b/>
                <w:color w:val="000000"/>
                <w:sz w:val="22"/>
                <w:szCs w:val="22"/>
              </w:rPr>
              <w:t>Trabecular bone</w:t>
            </w:r>
          </w:p>
        </w:tc>
        <w:tc>
          <w:tcPr>
            <w:tcW w:w="1418" w:type="dxa"/>
          </w:tcPr>
          <w:p w14:paraId="58227E96" w14:textId="77777777" w:rsidR="000032B1" w:rsidRPr="00196387" w:rsidRDefault="000032B1" w:rsidP="00E56E65">
            <w:pPr>
              <w:spacing w:line="480" w:lineRule="auto"/>
              <w:jc w:val="center"/>
              <w:rPr>
                <w:rFonts w:ascii="Arial" w:hAnsi="Arial" w:cs="Arial"/>
                <w:sz w:val="22"/>
                <w:szCs w:val="22"/>
              </w:rPr>
            </w:pPr>
          </w:p>
        </w:tc>
        <w:tc>
          <w:tcPr>
            <w:tcW w:w="1559" w:type="dxa"/>
          </w:tcPr>
          <w:p w14:paraId="3E5F2798" w14:textId="77777777" w:rsidR="000032B1" w:rsidRPr="00196387" w:rsidRDefault="000032B1" w:rsidP="00E56E65">
            <w:pPr>
              <w:spacing w:line="480" w:lineRule="auto"/>
              <w:jc w:val="center"/>
              <w:rPr>
                <w:rFonts w:ascii="Arial" w:hAnsi="Arial" w:cs="Arial"/>
                <w:sz w:val="22"/>
                <w:szCs w:val="22"/>
              </w:rPr>
            </w:pPr>
          </w:p>
        </w:tc>
        <w:tc>
          <w:tcPr>
            <w:tcW w:w="992" w:type="dxa"/>
          </w:tcPr>
          <w:p w14:paraId="637EC9A9" w14:textId="77777777" w:rsidR="000032B1" w:rsidRPr="00196387" w:rsidRDefault="000032B1" w:rsidP="00E56E65">
            <w:pPr>
              <w:spacing w:line="480" w:lineRule="auto"/>
              <w:jc w:val="center"/>
              <w:rPr>
                <w:rFonts w:ascii="Arial" w:hAnsi="Arial" w:cs="Arial"/>
                <w:sz w:val="22"/>
                <w:szCs w:val="22"/>
              </w:rPr>
            </w:pPr>
          </w:p>
        </w:tc>
        <w:tc>
          <w:tcPr>
            <w:tcW w:w="1418" w:type="dxa"/>
          </w:tcPr>
          <w:p w14:paraId="120B3143" w14:textId="77777777" w:rsidR="000032B1" w:rsidRPr="00196387" w:rsidRDefault="000032B1" w:rsidP="00E56E65">
            <w:pPr>
              <w:spacing w:line="480" w:lineRule="auto"/>
              <w:jc w:val="center"/>
              <w:rPr>
                <w:rFonts w:ascii="Arial" w:hAnsi="Arial" w:cs="Arial"/>
                <w:sz w:val="22"/>
                <w:szCs w:val="22"/>
              </w:rPr>
            </w:pPr>
          </w:p>
        </w:tc>
        <w:tc>
          <w:tcPr>
            <w:tcW w:w="1559" w:type="dxa"/>
          </w:tcPr>
          <w:p w14:paraId="526D9B26" w14:textId="77777777" w:rsidR="000032B1" w:rsidRPr="00196387" w:rsidRDefault="000032B1" w:rsidP="00E56E65">
            <w:pPr>
              <w:spacing w:line="480" w:lineRule="auto"/>
              <w:jc w:val="center"/>
              <w:rPr>
                <w:rFonts w:ascii="Arial" w:hAnsi="Arial" w:cs="Arial"/>
                <w:sz w:val="22"/>
                <w:szCs w:val="22"/>
              </w:rPr>
            </w:pPr>
          </w:p>
        </w:tc>
        <w:tc>
          <w:tcPr>
            <w:tcW w:w="992" w:type="dxa"/>
          </w:tcPr>
          <w:p w14:paraId="51E5E967" w14:textId="77777777" w:rsidR="000032B1" w:rsidRPr="00196387" w:rsidRDefault="000032B1" w:rsidP="00E56E65">
            <w:pPr>
              <w:spacing w:line="480" w:lineRule="auto"/>
              <w:jc w:val="center"/>
              <w:rPr>
                <w:rFonts w:ascii="Arial" w:hAnsi="Arial" w:cs="Arial"/>
                <w:sz w:val="22"/>
                <w:szCs w:val="22"/>
              </w:rPr>
            </w:pPr>
          </w:p>
        </w:tc>
      </w:tr>
      <w:tr w:rsidR="000032B1" w14:paraId="5E9297F2" w14:textId="77777777" w:rsidTr="00E56E65">
        <w:tc>
          <w:tcPr>
            <w:tcW w:w="1951" w:type="dxa"/>
          </w:tcPr>
          <w:p w14:paraId="0C0385E4"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BV/TV (%)</w:t>
            </w:r>
          </w:p>
        </w:tc>
        <w:tc>
          <w:tcPr>
            <w:tcW w:w="1418" w:type="dxa"/>
          </w:tcPr>
          <w:p w14:paraId="7E3420EA"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18.4</w:t>
            </w:r>
            <w:r w:rsidR="00D734CE">
              <w:rPr>
                <w:rFonts w:ascii="Arial" w:hAnsi="Arial" w:cs="Arial"/>
                <w:color w:val="000000"/>
                <w:sz w:val="22"/>
                <w:szCs w:val="22"/>
              </w:rPr>
              <w:t>2</w:t>
            </w:r>
            <w:r w:rsidRPr="00196387">
              <w:rPr>
                <w:rFonts w:ascii="Arial" w:hAnsi="Arial" w:cs="Arial"/>
                <w:color w:val="000000"/>
                <w:sz w:val="22"/>
                <w:szCs w:val="22"/>
              </w:rPr>
              <w:t>±0.9</w:t>
            </w:r>
          </w:p>
        </w:tc>
        <w:tc>
          <w:tcPr>
            <w:tcW w:w="1559" w:type="dxa"/>
          </w:tcPr>
          <w:p w14:paraId="30DFADD7" w14:textId="77777777" w:rsidR="000032B1" w:rsidRPr="00196387" w:rsidRDefault="00D734CE" w:rsidP="00E56E65">
            <w:pPr>
              <w:spacing w:line="480" w:lineRule="auto"/>
              <w:jc w:val="center"/>
              <w:rPr>
                <w:rFonts w:ascii="Arial" w:hAnsi="Arial" w:cs="Arial"/>
                <w:sz w:val="22"/>
                <w:szCs w:val="22"/>
              </w:rPr>
            </w:pPr>
            <w:r>
              <w:rPr>
                <w:rFonts w:ascii="Arial" w:hAnsi="Arial" w:cs="Arial"/>
                <w:color w:val="000000"/>
                <w:sz w:val="22"/>
                <w:szCs w:val="22"/>
              </w:rPr>
              <w:t>12.36</w:t>
            </w:r>
            <w:r w:rsidR="000032B1" w:rsidRPr="00196387">
              <w:rPr>
                <w:rFonts w:ascii="Arial" w:hAnsi="Arial" w:cs="Arial"/>
                <w:color w:val="000000"/>
                <w:sz w:val="22"/>
                <w:szCs w:val="22"/>
              </w:rPr>
              <w:t>±0.6</w:t>
            </w:r>
          </w:p>
        </w:tc>
        <w:tc>
          <w:tcPr>
            <w:tcW w:w="992" w:type="dxa"/>
          </w:tcPr>
          <w:p w14:paraId="101CDC43" w14:textId="77777777" w:rsidR="000032B1" w:rsidRPr="00196387" w:rsidRDefault="000032B1" w:rsidP="00E56E65">
            <w:pPr>
              <w:spacing w:line="480" w:lineRule="auto"/>
              <w:jc w:val="center"/>
              <w:rPr>
                <w:rFonts w:ascii="Arial" w:hAnsi="Arial" w:cs="Arial"/>
                <w:sz w:val="22"/>
                <w:szCs w:val="22"/>
              </w:rPr>
            </w:pPr>
            <w:proofErr w:type="gramStart"/>
            <w:r w:rsidRPr="00196387">
              <w:rPr>
                <w:rFonts w:ascii="Arial" w:hAnsi="Arial" w:cs="Arial"/>
                <w:sz w:val="22"/>
                <w:szCs w:val="22"/>
              </w:rPr>
              <w:t>d</w:t>
            </w:r>
            <w:proofErr w:type="gramEnd"/>
          </w:p>
        </w:tc>
        <w:tc>
          <w:tcPr>
            <w:tcW w:w="1418" w:type="dxa"/>
          </w:tcPr>
          <w:p w14:paraId="3E3AB0EF" w14:textId="77777777" w:rsidR="000032B1" w:rsidRPr="00196387" w:rsidRDefault="000032B1" w:rsidP="00E56E65">
            <w:pPr>
              <w:tabs>
                <w:tab w:val="left" w:pos="592"/>
              </w:tabs>
              <w:spacing w:line="480" w:lineRule="auto"/>
              <w:jc w:val="center"/>
              <w:rPr>
                <w:rFonts w:ascii="Arial" w:hAnsi="Arial" w:cs="Arial"/>
                <w:sz w:val="22"/>
                <w:szCs w:val="22"/>
              </w:rPr>
            </w:pPr>
            <w:r w:rsidRPr="00196387">
              <w:rPr>
                <w:rFonts w:ascii="Arial" w:hAnsi="Arial" w:cs="Arial"/>
                <w:color w:val="000000"/>
                <w:sz w:val="22"/>
                <w:szCs w:val="22"/>
              </w:rPr>
              <w:t>17.8</w:t>
            </w:r>
            <w:r w:rsidR="00D734CE">
              <w:rPr>
                <w:rFonts w:ascii="Arial" w:hAnsi="Arial" w:cs="Arial"/>
                <w:color w:val="000000"/>
                <w:sz w:val="22"/>
                <w:szCs w:val="22"/>
              </w:rPr>
              <w:t>1</w:t>
            </w:r>
            <w:r w:rsidRPr="00196387">
              <w:rPr>
                <w:rFonts w:ascii="Arial" w:hAnsi="Arial" w:cs="Arial"/>
                <w:color w:val="000000"/>
                <w:sz w:val="22"/>
                <w:szCs w:val="22"/>
              </w:rPr>
              <w:t>±0.5</w:t>
            </w:r>
          </w:p>
        </w:tc>
        <w:tc>
          <w:tcPr>
            <w:tcW w:w="1559" w:type="dxa"/>
          </w:tcPr>
          <w:p w14:paraId="6CA29C4F"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11.</w:t>
            </w:r>
            <w:r w:rsidR="00D734CE">
              <w:rPr>
                <w:rFonts w:ascii="Arial" w:hAnsi="Arial" w:cs="Arial"/>
                <w:color w:val="000000"/>
                <w:sz w:val="22"/>
                <w:szCs w:val="22"/>
              </w:rPr>
              <w:t>5</w:t>
            </w:r>
            <w:r w:rsidRPr="00196387">
              <w:rPr>
                <w:rFonts w:ascii="Arial" w:hAnsi="Arial" w:cs="Arial"/>
                <w:color w:val="000000"/>
                <w:sz w:val="22"/>
                <w:szCs w:val="22"/>
              </w:rPr>
              <w:t>6±0.4</w:t>
            </w:r>
          </w:p>
        </w:tc>
        <w:tc>
          <w:tcPr>
            <w:tcW w:w="992" w:type="dxa"/>
          </w:tcPr>
          <w:p w14:paraId="35537A96" w14:textId="77777777" w:rsidR="000032B1" w:rsidRPr="00196387" w:rsidRDefault="000032B1" w:rsidP="00E56E65">
            <w:pPr>
              <w:spacing w:line="480" w:lineRule="auto"/>
              <w:jc w:val="center"/>
              <w:rPr>
                <w:rFonts w:ascii="Arial" w:hAnsi="Arial" w:cs="Arial"/>
                <w:sz w:val="22"/>
                <w:szCs w:val="22"/>
              </w:rPr>
            </w:pPr>
            <w:proofErr w:type="gramStart"/>
            <w:r w:rsidRPr="00196387">
              <w:rPr>
                <w:rFonts w:ascii="Arial" w:hAnsi="Arial" w:cs="Arial"/>
                <w:sz w:val="22"/>
                <w:szCs w:val="22"/>
              </w:rPr>
              <w:t>d</w:t>
            </w:r>
            <w:proofErr w:type="gramEnd"/>
          </w:p>
        </w:tc>
      </w:tr>
      <w:tr w:rsidR="000032B1" w14:paraId="7D809E91" w14:textId="77777777" w:rsidTr="00E56E65">
        <w:tc>
          <w:tcPr>
            <w:tcW w:w="1951" w:type="dxa"/>
          </w:tcPr>
          <w:p w14:paraId="38DBF562"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Tb.Th (mm)</w:t>
            </w:r>
          </w:p>
        </w:tc>
        <w:tc>
          <w:tcPr>
            <w:tcW w:w="1418" w:type="dxa"/>
          </w:tcPr>
          <w:p w14:paraId="69617B9A" w14:textId="77777777" w:rsidR="000032B1" w:rsidRPr="00196387" w:rsidRDefault="002B5C59" w:rsidP="00E56E65">
            <w:pPr>
              <w:spacing w:line="480" w:lineRule="auto"/>
              <w:jc w:val="center"/>
              <w:rPr>
                <w:rFonts w:ascii="Arial" w:hAnsi="Arial" w:cs="Arial"/>
                <w:sz w:val="22"/>
                <w:szCs w:val="22"/>
              </w:rPr>
            </w:pPr>
            <w:r>
              <w:rPr>
                <w:rFonts w:ascii="Arial" w:hAnsi="Arial" w:cs="Arial"/>
                <w:color w:val="000000"/>
                <w:sz w:val="22"/>
                <w:szCs w:val="22"/>
              </w:rPr>
              <w:t xml:space="preserve"> </w:t>
            </w:r>
            <w:r w:rsidR="000032B1" w:rsidRPr="00196387">
              <w:rPr>
                <w:rFonts w:ascii="Arial" w:hAnsi="Arial" w:cs="Arial"/>
                <w:color w:val="000000"/>
                <w:sz w:val="22"/>
                <w:szCs w:val="22"/>
              </w:rPr>
              <w:t>0.05±0.001</w:t>
            </w:r>
          </w:p>
        </w:tc>
        <w:tc>
          <w:tcPr>
            <w:tcW w:w="1559" w:type="dxa"/>
          </w:tcPr>
          <w:p w14:paraId="5BCFBC54"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0.03±0.002</w:t>
            </w:r>
          </w:p>
        </w:tc>
        <w:tc>
          <w:tcPr>
            <w:tcW w:w="992" w:type="dxa"/>
          </w:tcPr>
          <w:p w14:paraId="4B78C63F" w14:textId="77777777" w:rsidR="000032B1" w:rsidRPr="00196387" w:rsidRDefault="000032B1" w:rsidP="00E56E65">
            <w:pPr>
              <w:spacing w:line="480" w:lineRule="auto"/>
              <w:jc w:val="center"/>
              <w:rPr>
                <w:rFonts w:ascii="Arial" w:hAnsi="Arial" w:cs="Arial"/>
                <w:sz w:val="22"/>
                <w:szCs w:val="22"/>
              </w:rPr>
            </w:pPr>
            <w:proofErr w:type="gramStart"/>
            <w:r w:rsidRPr="00196387">
              <w:rPr>
                <w:rFonts w:ascii="Arial" w:hAnsi="Arial" w:cs="Arial"/>
                <w:sz w:val="22"/>
                <w:szCs w:val="22"/>
              </w:rPr>
              <w:t>d</w:t>
            </w:r>
            <w:proofErr w:type="gramEnd"/>
          </w:p>
        </w:tc>
        <w:tc>
          <w:tcPr>
            <w:tcW w:w="1418" w:type="dxa"/>
          </w:tcPr>
          <w:p w14:paraId="735A2FA8" w14:textId="77777777" w:rsidR="000032B1" w:rsidRPr="00196387" w:rsidRDefault="002B5C59" w:rsidP="00E56E65">
            <w:pPr>
              <w:spacing w:line="480" w:lineRule="auto"/>
              <w:jc w:val="center"/>
              <w:rPr>
                <w:rFonts w:ascii="Arial" w:hAnsi="Arial" w:cs="Arial"/>
                <w:sz w:val="22"/>
                <w:szCs w:val="22"/>
              </w:rPr>
            </w:pPr>
            <w:r>
              <w:rPr>
                <w:rFonts w:ascii="Arial" w:hAnsi="Arial" w:cs="Arial"/>
                <w:color w:val="000000"/>
                <w:sz w:val="22"/>
                <w:szCs w:val="22"/>
              </w:rPr>
              <w:t xml:space="preserve"> </w:t>
            </w:r>
            <w:r w:rsidR="000032B1" w:rsidRPr="00196387">
              <w:rPr>
                <w:rFonts w:ascii="Arial" w:hAnsi="Arial" w:cs="Arial"/>
                <w:color w:val="000000"/>
                <w:sz w:val="22"/>
                <w:szCs w:val="22"/>
              </w:rPr>
              <w:t>0.05±0.002</w:t>
            </w:r>
          </w:p>
        </w:tc>
        <w:tc>
          <w:tcPr>
            <w:tcW w:w="1559" w:type="dxa"/>
          </w:tcPr>
          <w:p w14:paraId="65E338E3"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0.04±0.002</w:t>
            </w:r>
          </w:p>
        </w:tc>
        <w:tc>
          <w:tcPr>
            <w:tcW w:w="992" w:type="dxa"/>
          </w:tcPr>
          <w:p w14:paraId="590A5C37" w14:textId="77777777" w:rsidR="000032B1" w:rsidRPr="00196387" w:rsidRDefault="000032B1" w:rsidP="00E56E65">
            <w:pPr>
              <w:spacing w:line="480" w:lineRule="auto"/>
              <w:jc w:val="center"/>
              <w:rPr>
                <w:rFonts w:ascii="Arial" w:hAnsi="Arial" w:cs="Arial"/>
                <w:sz w:val="22"/>
                <w:szCs w:val="22"/>
              </w:rPr>
            </w:pPr>
            <w:proofErr w:type="gramStart"/>
            <w:r w:rsidRPr="00196387">
              <w:rPr>
                <w:rFonts w:ascii="Arial" w:hAnsi="Arial" w:cs="Arial"/>
                <w:sz w:val="22"/>
                <w:szCs w:val="22"/>
              </w:rPr>
              <w:t>d</w:t>
            </w:r>
            <w:proofErr w:type="gramEnd"/>
          </w:p>
        </w:tc>
      </w:tr>
      <w:tr w:rsidR="000032B1" w14:paraId="0EFBC037" w14:textId="77777777" w:rsidTr="00E56E65">
        <w:tc>
          <w:tcPr>
            <w:tcW w:w="1951" w:type="dxa"/>
          </w:tcPr>
          <w:p w14:paraId="4A5012CB"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Tb.N (mm</w:t>
            </w:r>
            <w:r w:rsidRPr="006C2FC2">
              <w:rPr>
                <w:rFonts w:ascii="Arial" w:hAnsi="Arial" w:cs="Arial"/>
                <w:color w:val="000000"/>
                <w:sz w:val="22"/>
                <w:szCs w:val="22"/>
                <w:vertAlign w:val="superscript"/>
              </w:rPr>
              <w:t>-1</w:t>
            </w:r>
            <w:r w:rsidRPr="00196387">
              <w:rPr>
                <w:rFonts w:ascii="Arial" w:hAnsi="Arial" w:cs="Arial"/>
                <w:color w:val="000000"/>
                <w:sz w:val="22"/>
                <w:szCs w:val="22"/>
              </w:rPr>
              <w:t>)</w:t>
            </w:r>
          </w:p>
        </w:tc>
        <w:tc>
          <w:tcPr>
            <w:tcW w:w="1418" w:type="dxa"/>
          </w:tcPr>
          <w:p w14:paraId="7CEDC1CB"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3.6</w:t>
            </w:r>
            <w:r w:rsidR="00D734CE">
              <w:rPr>
                <w:rFonts w:ascii="Arial" w:hAnsi="Arial" w:cs="Arial"/>
                <w:color w:val="000000"/>
                <w:sz w:val="22"/>
                <w:szCs w:val="22"/>
              </w:rPr>
              <w:t>1</w:t>
            </w:r>
            <w:r w:rsidRPr="00196387">
              <w:rPr>
                <w:rFonts w:ascii="Arial" w:hAnsi="Arial" w:cs="Arial"/>
                <w:color w:val="000000"/>
                <w:sz w:val="22"/>
                <w:szCs w:val="22"/>
              </w:rPr>
              <w:t>±0.2</w:t>
            </w:r>
          </w:p>
        </w:tc>
        <w:tc>
          <w:tcPr>
            <w:tcW w:w="1559" w:type="dxa"/>
          </w:tcPr>
          <w:p w14:paraId="483096F6" w14:textId="77777777" w:rsidR="000032B1" w:rsidRPr="00196387" w:rsidRDefault="00D734CE" w:rsidP="00E56E65">
            <w:pPr>
              <w:tabs>
                <w:tab w:val="left" w:pos="672"/>
              </w:tabs>
              <w:spacing w:line="480" w:lineRule="auto"/>
              <w:jc w:val="center"/>
              <w:rPr>
                <w:rFonts w:ascii="Arial" w:hAnsi="Arial" w:cs="Arial"/>
                <w:sz w:val="22"/>
                <w:szCs w:val="22"/>
              </w:rPr>
            </w:pPr>
            <w:r>
              <w:rPr>
                <w:rFonts w:ascii="Arial" w:hAnsi="Arial" w:cs="Arial"/>
                <w:color w:val="000000"/>
                <w:sz w:val="22"/>
                <w:szCs w:val="22"/>
              </w:rPr>
              <w:t>3.48</w:t>
            </w:r>
            <w:r w:rsidR="000032B1" w:rsidRPr="00196387">
              <w:rPr>
                <w:rFonts w:ascii="Arial" w:hAnsi="Arial" w:cs="Arial"/>
                <w:color w:val="000000"/>
                <w:sz w:val="22"/>
                <w:szCs w:val="22"/>
              </w:rPr>
              <w:t>±0.2</w:t>
            </w:r>
          </w:p>
        </w:tc>
        <w:tc>
          <w:tcPr>
            <w:tcW w:w="992" w:type="dxa"/>
          </w:tcPr>
          <w:p w14:paraId="0B1C2BEB" w14:textId="77777777" w:rsidR="000032B1" w:rsidRPr="00196387" w:rsidRDefault="000032B1" w:rsidP="00E56E65">
            <w:pPr>
              <w:spacing w:line="480" w:lineRule="auto"/>
              <w:jc w:val="center"/>
              <w:rPr>
                <w:rFonts w:ascii="Arial" w:hAnsi="Arial" w:cs="Arial"/>
                <w:sz w:val="22"/>
                <w:szCs w:val="22"/>
              </w:rPr>
            </w:pPr>
          </w:p>
        </w:tc>
        <w:tc>
          <w:tcPr>
            <w:tcW w:w="1418" w:type="dxa"/>
          </w:tcPr>
          <w:p w14:paraId="52CD93F6" w14:textId="77777777" w:rsidR="000032B1" w:rsidRPr="00196387" w:rsidRDefault="00D734CE" w:rsidP="00E56E65">
            <w:pPr>
              <w:spacing w:line="480" w:lineRule="auto"/>
              <w:jc w:val="center"/>
              <w:rPr>
                <w:rFonts w:ascii="Arial" w:hAnsi="Arial" w:cs="Arial"/>
                <w:sz w:val="22"/>
                <w:szCs w:val="22"/>
              </w:rPr>
            </w:pPr>
            <w:r>
              <w:rPr>
                <w:rFonts w:ascii="Arial" w:hAnsi="Arial" w:cs="Arial"/>
                <w:color w:val="000000"/>
                <w:sz w:val="22"/>
                <w:szCs w:val="22"/>
              </w:rPr>
              <w:t>3.38</w:t>
            </w:r>
            <w:r w:rsidR="000032B1" w:rsidRPr="00196387">
              <w:rPr>
                <w:rFonts w:ascii="Arial" w:hAnsi="Arial" w:cs="Arial"/>
                <w:color w:val="000000"/>
                <w:sz w:val="22"/>
                <w:szCs w:val="22"/>
              </w:rPr>
              <w:t>±0.1</w:t>
            </w:r>
          </w:p>
        </w:tc>
        <w:tc>
          <w:tcPr>
            <w:tcW w:w="1559" w:type="dxa"/>
          </w:tcPr>
          <w:p w14:paraId="33B22A0C"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3.0</w:t>
            </w:r>
            <w:r w:rsidR="00D734CE">
              <w:rPr>
                <w:rFonts w:ascii="Arial" w:hAnsi="Arial" w:cs="Arial"/>
                <w:color w:val="000000"/>
                <w:sz w:val="22"/>
                <w:szCs w:val="22"/>
              </w:rPr>
              <w:t>2</w:t>
            </w:r>
            <w:r w:rsidRPr="00196387">
              <w:rPr>
                <w:rFonts w:ascii="Arial" w:hAnsi="Arial" w:cs="Arial"/>
                <w:color w:val="000000"/>
                <w:sz w:val="22"/>
                <w:szCs w:val="22"/>
              </w:rPr>
              <w:t>±0.2</w:t>
            </w:r>
          </w:p>
        </w:tc>
        <w:tc>
          <w:tcPr>
            <w:tcW w:w="992" w:type="dxa"/>
          </w:tcPr>
          <w:p w14:paraId="5503D47E" w14:textId="77777777" w:rsidR="000032B1" w:rsidRPr="00196387" w:rsidRDefault="000032B1" w:rsidP="00E56E65">
            <w:pPr>
              <w:spacing w:line="480" w:lineRule="auto"/>
              <w:jc w:val="center"/>
              <w:rPr>
                <w:rFonts w:ascii="Arial" w:hAnsi="Arial" w:cs="Arial"/>
                <w:sz w:val="22"/>
                <w:szCs w:val="22"/>
              </w:rPr>
            </w:pPr>
          </w:p>
        </w:tc>
      </w:tr>
      <w:tr w:rsidR="000032B1" w14:paraId="768E06D1" w14:textId="77777777" w:rsidTr="00E56E65">
        <w:tc>
          <w:tcPr>
            <w:tcW w:w="1951" w:type="dxa"/>
            <w:tcBorders>
              <w:bottom w:val="single" w:sz="4" w:space="0" w:color="auto"/>
            </w:tcBorders>
          </w:tcPr>
          <w:p w14:paraId="6B09BAAC"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Tb.Pf (mm</w:t>
            </w:r>
            <w:r w:rsidRPr="006C2FC2">
              <w:rPr>
                <w:rFonts w:ascii="Arial" w:hAnsi="Arial" w:cs="Arial"/>
                <w:color w:val="000000"/>
                <w:sz w:val="22"/>
                <w:szCs w:val="22"/>
                <w:vertAlign w:val="superscript"/>
              </w:rPr>
              <w:t>-1</w:t>
            </w:r>
            <w:r w:rsidRPr="00196387">
              <w:rPr>
                <w:rFonts w:ascii="Arial" w:hAnsi="Arial" w:cs="Arial"/>
                <w:color w:val="000000"/>
                <w:sz w:val="22"/>
                <w:szCs w:val="22"/>
              </w:rPr>
              <w:t>)</w:t>
            </w:r>
          </w:p>
        </w:tc>
        <w:tc>
          <w:tcPr>
            <w:tcW w:w="1418" w:type="dxa"/>
            <w:tcBorders>
              <w:bottom w:val="single" w:sz="4" w:space="0" w:color="auto"/>
            </w:tcBorders>
          </w:tcPr>
          <w:p w14:paraId="6F4B3744" w14:textId="77777777" w:rsidR="000032B1" w:rsidRPr="00196387" w:rsidRDefault="00D734CE" w:rsidP="00E56E65">
            <w:pPr>
              <w:spacing w:line="480" w:lineRule="auto"/>
              <w:jc w:val="center"/>
              <w:rPr>
                <w:rFonts w:ascii="Arial" w:hAnsi="Arial" w:cs="Arial"/>
                <w:sz w:val="22"/>
                <w:szCs w:val="22"/>
              </w:rPr>
            </w:pPr>
            <w:r>
              <w:rPr>
                <w:rFonts w:ascii="Arial" w:hAnsi="Arial" w:cs="Arial"/>
                <w:color w:val="000000"/>
                <w:sz w:val="22"/>
                <w:szCs w:val="22"/>
              </w:rPr>
              <w:t>15.08</w:t>
            </w:r>
            <w:r w:rsidR="000032B1" w:rsidRPr="00196387">
              <w:rPr>
                <w:rFonts w:ascii="Arial" w:hAnsi="Arial" w:cs="Arial"/>
                <w:color w:val="000000"/>
                <w:sz w:val="22"/>
                <w:szCs w:val="22"/>
              </w:rPr>
              <w:t>±0.9</w:t>
            </w:r>
          </w:p>
        </w:tc>
        <w:tc>
          <w:tcPr>
            <w:tcW w:w="1559" w:type="dxa"/>
            <w:tcBorders>
              <w:bottom w:val="single" w:sz="4" w:space="0" w:color="auto"/>
            </w:tcBorders>
          </w:tcPr>
          <w:p w14:paraId="3394235D"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21.3</w:t>
            </w:r>
            <w:r w:rsidR="00D734CE">
              <w:rPr>
                <w:rFonts w:ascii="Arial" w:hAnsi="Arial" w:cs="Arial"/>
                <w:color w:val="000000"/>
                <w:sz w:val="22"/>
                <w:szCs w:val="22"/>
              </w:rPr>
              <w:t>1</w:t>
            </w:r>
            <w:r w:rsidRPr="00196387">
              <w:rPr>
                <w:rFonts w:ascii="Arial" w:hAnsi="Arial" w:cs="Arial"/>
                <w:color w:val="000000"/>
                <w:sz w:val="22"/>
                <w:szCs w:val="22"/>
              </w:rPr>
              <w:t>±1.1</w:t>
            </w:r>
          </w:p>
        </w:tc>
        <w:tc>
          <w:tcPr>
            <w:tcW w:w="992" w:type="dxa"/>
            <w:tcBorders>
              <w:bottom w:val="single" w:sz="4" w:space="0" w:color="auto"/>
            </w:tcBorders>
          </w:tcPr>
          <w:p w14:paraId="551D83C5" w14:textId="77777777" w:rsidR="000032B1" w:rsidRPr="00196387" w:rsidRDefault="000032B1" w:rsidP="00E56E65">
            <w:pPr>
              <w:spacing w:line="480" w:lineRule="auto"/>
              <w:jc w:val="center"/>
              <w:rPr>
                <w:rFonts w:ascii="Arial" w:hAnsi="Arial" w:cs="Arial"/>
                <w:sz w:val="22"/>
                <w:szCs w:val="22"/>
              </w:rPr>
            </w:pPr>
            <w:proofErr w:type="gramStart"/>
            <w:r>
              <w:rPr>
                <w:rFonts w:ascii="Arial" w:hAnsi="Arial" w:cs="Arial"/>
                <w:sz w:val="22"/>
                <w:szCs w:val="22"/>
              </w:rPr>
              <w:t>a</w:t>
            </w:r>
            <w:proofErr w:type="gramEnd"/>
          </w:p>
        </w:tc>
        <w:tc>
          <w:tcPr>
            <w:tcW w:w="1418" w:type="dxa"/>
            <w:tcBorders>
              <w:bottom w:val="single" w:sz="4" w:space="0" w:color="auto"/>
            </w:tcBorders>
          </w:tcPr>
          <w:p w14:paraId="6855065D" w14:textId="77777777" w:rsidR="000032B1" w:rsidRPr="00196387" w:rsidRDefault="000032B1" w:rsidP="00E56E65">
            <w:pPr>
              <w:spacing w:line="480" w:lineRule="auto"/>
              <w:jc w:val="center"/>
              <w:rPr>
                <w:rFonts w:ascii="Arial" w:hAnsi="Arial" w:cs="Arial"/>
                <w:sz w:val="22"/>
                <w:szCs w:val="22"/>
              </w:rPr>
            </w:pPr>
            <w:r w:rsidRPr="00196387">
              <w:rPr>
                <w:rFonts w:ascii="Arial" w:hAnsi="Arial" w:cs="Arial"/>
                <w:color w:val="000000"/>
                <w:sz w:val="22"/>
                <w:szCs w:val="22"/>
              </w:rPr>
              <w:t>16.4</w:t>
            </w:r>
            <w:r w:rsidR="00D734CE">
              <w:rPr>
                <w:rFonts w:ascii="Arial" w:hAnsi="Arial" w:cs="Arial"/>
                <w:color w:val="000000"/>
                <w:sz w:val="22"/>
                <w:szCs w:val="22"/>
              </w:rPr>
              <w:t>3</w:t>
            </w:r>
            <w:r w:rsidRPr="00196387">
              <w:rPr>
                <w:rFonts w:ascii="Arial" w:hAnsi="Arial" w:cs="Arial"/>
                <w:color w:val="000000"/>
                <w:sz w:val="22"/>
                <w:szCs w:val="22"/>
              </w:rPr>
              <w:t>±1.2</w:t>
            </w:r>
          </w:p>
        </w:tc>
        <w:tc>
          <w:tcPr>
            <w:tcW w:w="1559" w:type="dxa"/>
            <w:tcBorders>
              <w:bottom w:val="single" w:sz="4" w:space="0" w:color="auto"/>
            </w:tcBorders>
          </w:tcPr>
          <w:p w14:paraId="20E209E9" w14:textId="77777777" w:rsidR="000032B1" w:rsidRPr="00196387" w:rsidRDefault="00E52EEE" w:rsidP="00E56E65">
            <w:pPr>
              <w:spacing w:line="480" w:lineRule="auto"/>
              <w:jc w:val="center"/>
              <w:rPr>
                <w:rFonts w:ascii="Arial" w:hAnsi="Arial" w:cs="Arial"/>
                <w:sz w:val="22"/>
                <w:szCs w:val="22"/>
              </w:rPr>
            </w:pPr>
            <w:r>
              <w:rPr>
                <w:rFonts w:ascii="Arial" w:hAnsi="Arial" w:cs="Arial"/>
                <w:color w:val="000000"/>
                <w:sz w:val="22"/>
                <w:szCs w:val="22"/>
              </w:rPr>
              <w:t>24.06</w:t>
            </w:r>
            <w:r w:rsidR="000032B1" w:rsidRPr="00196387">
              <w:rPr>
                <w:rFonts w:ascii="Arial" w:hAnsi="Arial" w:cs="Arial"/>
                <w:color w:val="000000"/>
                <w:sz w:val="22"/>
                <w:szCs w:val="22"/>
              </w:rPr>
              <w:t>±1.9</w:t>
            </w:r>
          </w:p>
        </w:tc>
        <w:tc>
          <w:tcPr>
            <w:tcW w:w="992" w:type="dxa"/>
            <w:tcBorders>
              <w:bottom w:val="single" w:sz="4" w:space="0" w:color="auto"/>
            </w:tcBorders>
          </w:tcPr>
          <w:p w14:paraId="1AA2E73E" w14:textId="77777777" w:rsidR="000032B1" w:rsidRPr="00196387" w:rsidRDefault="000032B1" w:rsidP="00E56E65">
            <w:pPr>
              <w:spacing w:line="480" w:lineRule="auto"/>
              <w:jc w:val="center"/>
              <w:rPr>
                <w:rFonts w:ascii="Arial" w:hAnsi="Arial" w:cs="Arial"/>
                <w:sz w:val="22"/>
                <w:szCs w:val="22"/>
              </w:rPr>
            </w:pPr>
            <w:proofErr w:type="gramStart"/>
            <w:r>
              <w:rPr>
                <w:rFonts w:ascii="Arial" w:hAnsi="Arial" w:cs="Arial"/>
                <w:sz w:val="22"/>
                <w:szCs w:val="22"/>
              </w:rPr>
              <w:t>b</w:t>
            </w:r>
            <w:proofErr w:type="gramEnd"/>
          </w:p>
        </w:tc>
      </w:tr>
    </w:tbl>
    <w:p w14:paraId="41A88333" w14:textId="77777777" w:rsidR="00E56E65" w:rsidRDefault="00E56E65" w:rsidP="00E56E65">
      <w:pPr>
        <w:rPr>
          <w:rFonts w:ascii="Arial" w:eastAsiaTheme="minorHAnsi" w:hAnsi="Arial" w:cs="Arial"/>
          <w:lang w:val="en-US"/>
        </w:rPr>
      </w:pPr>
    </w:p>
    <w:p w14:paraId="78BE1E5B" w14:textId="77777777" w:rsidR="00E56E65" w:rsidRDefault="00E56E65" w:rsidP="00E56E65">
      <w:pPr>
        <w:spacing w:line="360" w:lineRule="auto"/>
        <w:jc w:val="both"/>
        <w:rPr>
          <w:rFonts w:ascii="Arial" w:eastAsiaTheme="minorHAnsi" w:hAnsi="Arial" w:cs="Arial"/>
          <w:sz w:val="22"/>
          <w:szCs w:val="22"/>
          <w:lang w:val="en-US"/>
        </w:rPr>
      </w:pPr>
    </w:p>
    <w:p w14:paraId="309F794D" w14:textId="77777777" w:rsidR="00E56E65" w:rsidRPr="00F20B1F" w:rsidRDefault="00E56E65" w:rsidP="00E56E65">
      <w:pPr>
        <w:spacing w:line="360" w:lineRule="auto"/>
        <w:jc w:val="both"/>
        <w:rPr>
          <w:rFonts w:ascii="Arial" w:eastAsiaTheme="minorHAnsi" w:hAnsi="Arial" w:cs="Arial"/>
          <w:sz w:val="22"/>
          <w:szCs w:val="22"/>
          <w:lang w:val="en-US"/>
        </w:rPr>
      </w:pPr>
      <w:r w:rsidRPr="00F20B1F">
        <w:rPr>
          <w:rFonts w:ascii="Arial" w:hAnsi="Arial" w:cs="Arial"/>
          <w:color w:val="000000"/>
          <w:sz w:val="22"/>
          <w:szCs w:val="22"/>
        </w:rPr>
        <w:t xml:space="preserve">Ct.Ar = cortical bone area; Tt.Ar = </w:t>
      </w:r>
      <w:r w:rsidRPr="00F20B1F">
        <w:rPr>
          <w:rFonts w:ascii="Arial" w:hAnsi="Arial" w:cs="Arial"/>
          <w:color w:val="000000" w:themeColor="text1"/>
          <w:sz w:val="22"/>
          <w:szCs w:val="22"/>
        </w:rPr>
        <w:t xml:space="preserve">total cross-sectional area; </w:t>
      </w:r>
      <w:r w:rsidRPr="00F20B1F">
        <w:rPr>
          <w:rFonts w:ascii="Arial" w:hAnsi="Arial" w:cs="Arial"/>
          <w:color w:val="000000"/>
          <w:sz w:val="22"/>
          <w:szCs w:val="22"/>
        </w:rPr>
        <w:t xml:space="preserve">Ma.Ar = </w:t>
      </w:r>
      <w:r w:rsidRPr="00F20B1F">
        <w:rPr>
          <w:rFonts w:ascii="Arial" w:hAnsi="Arial" w:cs="Arial"/>
          <w:color w:val="000000" w:themeColor="text1"/>
          <w:sz w:val="22"/>
          <w:szCs w:val="22"/>
        </w:rPr>
        <w:t xml:space="preserve">marrow area; </w:t>
      </w:r>
      <w:r w:rsidRPr="00F20B1F">
        <w:rPr>
          <w:rFonts w:ascii="Arial" w:hAnsi="Arial" w:cs="Arial"/>
          <w:color w:val="000000"/>
          <w:sz w:val="22"/>
          <w:szCs w:val="22"/>
        </w:rPr>
        <w:t xml:space="preserve">Ct.Th = </w:t>
      </w:r>
      <w:r w:rsidRPr="00F20B1F">
        <w:rPr>
          <w:rFonts w:ascii="Arial" w:hAnsi="Arial" w:cs="Arial"/>
          <w:color w:val="000000" w:themeColor="text1"/>
          <w:sz w:val="22"/>
          <w:szCs w:val="22"/>
        </w:rPr>
        <w:t>cortical thickness</w:t>
      </w:r>
      <w:r w:rsidR="000032B1">
        <w:rPr>
          <w:rFonts w:ascii="Arial" w:hAnsi="Arial" w:cs="Arial"/>
          <w:color w:val="000000" w:themeColor="text1"/>
          <w:sz w:val="22"/>
          <w:szCs w:val="22"/>
        </w:rPr>
        <w:t>;</w:t>
      </w:r>
      <w:r w:rsidR="000032B1" w:rsidRPr="000032B1">
        <w:rPr>
          <w:rFonts w:ascii="Arial" w:eastAsiaTheme="minorHAnsi" w:hAnsi="Arial" w:cs="Arial"/>
          <w:sz w:val="22"/>
          <w:szCs w:val="22"/>
          <w:lang w:val="en-US"/>
        </w:rPr>
        <w:t xml:space="preserve"> </w:t>
      </w:r>
      <w:r w:rsidR="000032B1" w:rsidRPr="00F20B1F">
        <w:rPr>
          <w:rFonts w:ascii="Arial" w:eastAsiaTheme="minorHAnsi" w:hAnsi="Arial" w:cs="Arial"/>
          <w:sz w:val="22"/>
          <w:szCs w:val="22"/>
          <w:lang w:val="en-US"/>
        </w:rPr>
        <w:t xml:space="preserve">BV/TV = trabecular bone volume; </w:t>
      </w:r>
      <w:r w:rsidR="000032B1" w:rsidRPr="00F20B1F">
        <w:rPr>
          <w:rFonts w:ascii="Arial" w:hAnsi="Arial" w:cs="Arial"/>
          <w:color w:val="000000"/>
          <w:sz w:val="22"/>
          <w:szCs w:val="22"/>
        </w:rPr>
        <w:t>Tb.Th = trabecular thickness; Tb.N = trabecular number; Tb.Pf = trabecular pattern factor</w:t>
      </w:r>
    </w:p>
    <w:p w14:paraId="70FD5CB5" w14:textId="77777777" w:rsidR="00E56E65" w:rsidRPr="00F20B1F" w:rsidRDefault="00E56E65" w:rsidP="00E56E65">
      <w:pPr>
        <w:spacing w:line="360" w:lineRule="auto"/>
        <w:jc w:val="both"/>
        <w:rPr>
          <w:rFonts w:ascii="Arial" w:hAnsi="Arial" w:cs="Arial"/>
          <w:noProof/>
          <w:color w:val="000000" w:themeColor="text1"/>
          <w:sz w:val="22"/>
          <w:szCs w:val="22"/>
        </w:rPr>
      </w:pPr>
      <w:r w:rsidRPr="00F20B1F">
        <w:rPr>
          <w:rFonts w:ascii="Arial" w:eastAsiaTheme="minorHAnsi" w:hAnsi="Arial" w:cs="Arial"/>
          <w:sz w:val="22"/>
          <w:szCs w:val="22"/>
          <w:lang w:val="en-US"/>
        </w:rPr>
        <w:t>Values are mean</w:t>
      </w:r>
      <w:r w:rsidRPr="00F20B1F">
        <w:rPr>
          <w:rFonts w:ascii="Arial" w:eastAsia="MS Gothic" w:hAnsi="Arial" w:cs="Arial"/>
          <w:sz w:val="22"/>
          <w:szCs w:val="22"/>
        </w:rPr>
        <w:t>±</w:t>
      </w:r>
      <w:r w:rsidRPr="00F20B1F">
        <w:rPr>
          <w:rFonts w:ascii="Arial" w:eastAsiaTheme="minorHAnsi" w:hAnsi="Arial" w:cs="Arial"/>
          <w:sz w:val="22"/>
          <w:szCs w:val="22"/>
          <w:lang w:val="en-US"/>
        </w:rPr>
        <w:t xml:space="preserve">SE. </w:t>
      </w:r>
      <w:proofErr w:type="gramStart"/>
      <w:r w:rsidRPr="00F20B1F">
        <w:rPr>
          <w:rFonts w:ascii="Arial" w:eastAsia="MS Gothic" w:hAnsi="Arial" w:cs="Arial"/>
          <w:color w:val="000000"/>
          <w:sz w:val="22"/>
          <w:szCs w:val="22"/>
          <w:vertAlign w:val="superscript"/>
        </w:rPr>
        <w:t>a</w:t>
      </w:r>
      <w:proofErr w:type="gramEnd"/>
      <w:r w:rsidRPr="00F20B1F">
        <w:rPr>
          <w:rFonts w:ascii="Arial" w:eastAsiaTheme="minorHAnsi" w:hAnsi="Arial" w:cs="Arial"/>
          <w:sz w:val="22"/>
          <w:szCs w:val="22"/>
          <w:lang w:val="en-US"/>
        </w:rPr>
        <w:t xml:space="preserve"> p&lt;0.05, </w:t>
      </w:r>
      <w:r w:rsidRPr="00F20B1F">
        <w:rPr>
          <w:rFonts w:ascii="Arial" w:eastAsia="MS Gothic" w:hAnsi="Arial" w:cs="Arial"/>
          <w:color w:val="000000"/>
          <w:sz w:val="22"/>
          <w:szCs w:val="22"/>
          <w:vertAlign w:val="superscript"/>
        </w:rPr>
        <w:t>b</w:t>
      </w:r>
      <w:r w:rsidRPr="00F20B1F">
        <w:rPr>
          <w:rFonts w:ascii="Arial" w:eastAsiaTheme="minorHAnsi" w:hAnsi="Arial" w:cs="Arial"/>
          <w:sz w:val="22"/>
          <w:szCs w:val="22"/>
          <w:lang w:val="en-US"/>
        </w:rPr>
        <w:t xml:space="preserve"> p&lt;0.01, </w:t>
      </w:r>
      <w:r w:rsidRPr="00F20B1F">
        <w:rPr>
          <w:rFonts w:ascii="Arial" w:eastAsia="MS Gothic" w:hAnsi="Arial" w:cs="Arial"/>
          <w:color w:val="000000"/>
          <w:sz w:val="22"/>
          <w:szCs w:val="22"/>
          <w:vertAlign w:val="superscript"/>
        </w:rPr>
        <w:t xml:space="preserve">c </w:t>
      </w:r>
      <w:r w:rsidRPr="00F20B1F">
        <w:rPr>
          <w:rFonts w:ascii="Arial" w:eastAsiaTheme="minorHAnsi" w:hAnsi="Arial" w:cs="Arial"/>
          <w:sz w:val="22"/>
          <w:szCs w:val="22"/>
          <w:lang w:val="en-US"/>
        </w:rPr>
        <w:t>p&lt;0.001,</w:t>
      </w:r>
      <w:r w:rsidRPr="00F20B1F">
        <w:rPr>
          <w:rFonts w:ascii="Arial" w:hAnsi="Arial" w:cs="Arial"/>
          <w:noProof/>
          <w:color w:val="000000" w:themeColor="text1"/>
          <w:sz w:val="22"/>
          <w:szCs w:val="22"/>
        </w:rPr>
        <w:t xml:space="preserve"> </w:t>
      </w:r>
      <w:r w:rsidRPr="00F20B1F">
        <w:rPr>
          <w:rFonts w:ascii="Arial" w:eastAsia="MS Gothic" w:hAnsi="Arial" w:cs="Arial"/>
          <w:color w:val="000000"/>
          <w:sz w:val="22"/>
          <w:szCs w:val="22"/>
          <w:vertAlign w:val="superscript"/>
        </w:rPr>
        <w:t>d</w:t>
      </w:r>
      <w:r w:rsidRPr="00F20B1F">
        <w:rPr>
          <w:rFonts w:ascii="Arial" w:eastAsiaTheme="minorHAnsi" w:hAnsi="Arial" w:cs="Arial"/>
          <w:sz w:val="22"/>
          <w:szCs w:val="22"/>
          <w:lang w:val="en-US"/>
        </w:rPr>
        <w:t xml:space="preserve"> p&lt;0.0001</w:t>
      </w:r>
    </w:p>
    <w:p w14:paraId="42DA6E82" w14:textId="77777777" w:rsidR="00CA645A" w:rsidRDefault="00CA645A" w:rsidP="00E56E65">
      <w:pPr>
        <w:spacing w:line="360" w:lineRule="auto"/>
        <w:jc w:val="both"/>
        <w:rPr>
          <w:rFonts w:ascii="Arial" w:eastAsiaTheme="minorHAnsi" w:hAnsi="Arial" w:cs="Arial"/>
          <w:sz w:val="22"/>
          <w:szCs w:val="22"/>
          <w:lang w:val="en-US"/>
        </w:rPr>
      </w:pPr>
    </w:p>
    <w:p w14:paraId="50CE5AA6" w14:textId="77777777" w:rsidR="00CA645A" w:rsidRPr="00CA645A" w:rsidRDefault="00CA645A" w:rsidP="00CA645A">
      <w:pPr>
        <w:rPr>
          <w:rFonts w:ascii="Arial" w:eastAsiaTheme="minorHAnsi" w:hAnsi="Arial" w:cs="Arial"/>
          <w:sz w:val="22"/>
          <w:szCs w:val="22"/>
          <w:lang w:val="en-US"/>
        </w:rPr>
      </w:pPr>
    </w:p>
    <w:p w14:paraId="177881F3" w14:textId="77777777" w:rsidR="00CA645A" w:rsidRPr="00CA645A" w:rsidRDefault="00CA645A" w:rsidP="00CA645A">
      <w:pPr>
        <w:rPr>
          <w:rFonts w:ascii="Arial" w:eastAsiaTheme="minorHAnsi" w:hAnsi="Arial" w:cs="Arial"/>
          <w:sz w:val="22"/>
          <w:szCs w:val="22"/>
          <w:lang w:val="en-US"/>
        </w:rPr>
      </w:pPr>
    </w:p>
    <w:p w14:paraId="051E137C" w14:textId="77777777" w:rsidR="00CA645A" w:rsidRPr="00CA645A" w:rsidRDefault="00CA645A" w:rsidP="00CA645A">
      <w:pPr>
        <w:rPr>
          <w:rFonts w:ascii="Arial" w:eastAsiaTheme="minorHAnsi" w:hAnsi="Arial" w:cs="Arial"/>
          <w:sz w:val="22"/>
          <w:szCs w:val="22"/>
          <w:lang w:val="en-US"/>
        </w:rPr>
      </w:pPr>
    </w:p>
    <w:p w14:paraId="6DDE251B" w14:textId="77777777" w:rsidR="00CA645A" w:rsidRPr="00CA645A" w:rsidRDefault="00CA645A" w:rsidP="00CA645A">
      <w:pPr>
        <w:rPr>
          <w:rFonts w:ascii="Arial" w:eastAsiaTheme="minorHAnsi" w:hAnsi="Arial" w:cs="Arial"/>
          <w:sz w:val="22"/>
          <w:szCs w:val="22"/>
          <w:lang w:val="en-US"/>
        </w:rPr>
      </w:pPr>
    </w:p>
    <w:p w14:paraId="7E426B53" w14:textId="77777777" w:rsidR="00CA645A" w:rsidRPr="00CA645A" w:rsidRDefault="00CA645A" w:rsidP="00CA645A">
      <w:pPr>
        <w:rPr>
          <w:rFonts w:ascii="Arial" w:eastAsiaTheme="minorHAnsi" w:hAnsi="Arial" w:cs="Arial"/>
          <w:sz w:val="22"/>
          <w:szCs w:val="22"/>
          <w:lang w:val="en-US"/>
        </w:rPr>
      </w:pPr>
    </w:p>
    <w:p w14:paraId="551C4C5B" w14:textId="77777777" w:rsidR="00CA645A" w:rsidRPr="00CA645A" w:rsidRDefault="00CA645A" w:rsidP="00CA645A">
      <w:pPr>
        <w:rPr>
          <w:rFonts w:ascii="Arial" w:eastAsiaTheme="minorHAnsi" w:hAnsi="Arial" w:cs="Arial"/>
          <w:sz w:val="22"/>
          <w:szCs w:val="22"/>
          <w:lang w:val="en-US"/>
        </w:rPr>
      </w:pPr>
    </w:p>
    <w:p w14:paraId="39AA2CFB" w14:textId="77777777" w:rsidR="00CA645A" w:rsidRPr="00CA645A" w:rsidRDefault="00CA645A" w:rsidP="00CA645A">
      <w:pPr>
        <w:rPr>
          <w:rFonts w:ascii="Arial" w:eastAsiaTheme="minorHAnsi" w:hAnsi="Arial" w:cs="Arial"/>
          <w:sz w:val="22"/>
          <w:szCs w:val="22"/>
          <w:lang w:val="en-US"/>
        </w:rPr>
      </w:pPr>
    </w:p>
    <w:p w14:paraId="508C5E91" w14:textId="77777777" w:rsidR="00CA645A" w:rsidRPr="00CA645A" w:rsidRDefault="00CA645A" w:rsidP="00CA645A">
      <w:pPr>
        <w:rPr>
          <w:rFonts w:ascii="Arial" w:eastAsiaTheme="minorHAnsi" w:hAnsi="Arial" w:cs="Arial"/>
          <w:sz w:val="22"/>
          <w:szCs w:val="22"/>
          <w:lang w:val="en-US"/>
        </w:rPr>
      </w:pPr>
    </w:p>
    <w:p w14:paraId="3414C229" w14:textId="77777777" w:rsidR="00CA645A" w:rsidRPr="00CA645A" w:rsidRDefault="00CA645A" w:rsidP="00CA645A">
      <w:pPr>
        <w:rPr>
          <w:rFonts w:ascii="Arial" w:eastAsiaTheme="minorHAnsi" w:hAnsi="Arial" w:cs="Arial"/>
          <w:sz w:val="22"/>
          <w:szCs w:val="22"/>
          <w:lang w:val="en-US"/>
        </w:rPr>
      </w:pPr>
    </w:p>
    <w:p w14:paraId="1B695E70" w14:textId="77777777" w:rsidR="00CA645A" w:rsidRPr="00CA645A" w:rsidRDefault="00CA645A" w:rsidP="00CA645A">
      <w:pPr>
        <w:rPr>
          <w:rFonts w:ascii="Arial" w:eastAsiaTheme="minorHAnsi" w:hAnsi="Arial" w:cs="Arial"/>
          <w:sz w:val="22"/>
          <w:szCs w:val="22"/>
          <w:lang w:val="en-US"/>
        </w:rPr>
      </w:pPr>
    </w:p>
    <w:p w14:paraId="3458A35D" w14:textId="77777777" w:rsidR="00CA645A" w:rsidRPr="00CA645A" w:rsidRDefault="00CA645A" w:rsidP="00CA645A">
      <w:pPr>
        <w:rPr>
          <w:rFonts w:ascii="Arial" w:eastAsiaTheme="minorHAnsi" w:hAnsi="Arial" w:cs="Arial"/>
          <w:sz w:val="22"/>
          <w:szCs w:val="22"/>
          <w:lang w:val="en-US"/>
        </w:rPr>
      </w:pPr>
    </w:p>
    <w:p w14:paraId="477FF4DC" w14:textId="77777777" w:rsidR="00CA645A" w:rsidRPr="00CA645A" w:rsidRDefault="00CA645A" w:rsidP="00CA645A">
      <w:pPr>
        <w:rPr>
          <w:rFonts w:ascii="Arial" w:eastAsiaTheme="minorHAnsi" w:hAnsi="Arial" w:cs="Arial"/>
          <w:sz w:val="22"/>
          <w:szCs w:val="22"/>
          <w:lang w:val="en-US"/>
        </w:rPr>
      </w:pPr>
    </w:p>
    <w:p w14:paraId="12E1801B" w14:textId="77777777" w:rsidR="00CA645A" w:rsidRDefault="00CA645A" w:rsidP="00CA645A">
      <w:pPr>
        <w:rPr>
          <w:rFonts w:ascii="Arial" w:eastAsiaTheme="minorHAnsi" w:hAnsi="Arial" w:cs="Arial"/>
          <w:sz w:val="22"/>
          <w:szCs w:val="22"/>
          <w:lang w:val="en-US"/>
        </w:rPr>
      </w:pPr>
    </w:p>
    <w:p w14:paraId="6FFC39AA" w14:textId="77777777" w:rsidR="00E56E65" w:rsidRDefault="00CA645A" w:rsidP="00CA645A">
      <w:pPr>
        <w:tabs>
          <w:tab w:val="left" w:pos="1031"/>
        </w:tabs>
        <w:rPr>
          <w:rFonts w:ascii="Arial" w:eastAsiaTheme="minorHAnsi" w:hAnsi="Arial" w:cs="Arial"/>
          <w:sz w:val="22"/>
          <w:szCs w:val="22"/>
          <w:lang w:val="en-US"/>
        </w:rPr>
      </w:pPr>
      <w:r>
        <w:rPr>
          <w:rFonts w:ascii="Arial" w:eastAsiaTheme="minorHAnsi" w:hAnsi="Arial" w:cs="Arial"/>
          <w:sz w:val="22"/>
          <w:szCs w:val="22"/>
          <w:lang w:val="en-US"/>
        </w:rPr>
        <w:tab/>
      </w:r>
    </w:p>
    <w:p w14:paraId="3A3D0EE4" w14:textId="77777777" w:rsidR="00CA645A" w:rsidRDefault="00CA645A" w:rsidP="00CA645A">
      <w:pPr>
        <w:tabs>
          <w:tab w:val="left" w:pos="1031"/>
        </w:tabs>
        <w:rPr>
          <w:rFonts w:ascii="Arial" w:eastAsiaTheme="minorHAnsi" w:hAnsi="Arial" w:cs="Arial"/>
          <w:sz w:val="22"/>
          <w:szCs w:val="22"/>
          <w:lang w:val="en-US"/>
        </w:rPr>
      </w:pPr>
    </w:p>
    <w:p w14:paraId="53711C77" w14:textId="77777777" w:rsidR="00C8566F" w:rsidRDefault="00C8566F" w:rsidP="00CA645A">
      <w:pPr>
        <w:tabs>
          <w:tab w:val="left" w:pos="1031"/>
        </w:tabs>
        <w:rPr>
          <w:rFonts w:ascii="Arial" w:eastAsiaTheme="minorHAnsi" w:hAnsi="Arial" w:cs="Arial"/>
          <w:sz w:val="22"/>
          <w:szCs w:val="22"/>
          <w:lang w:val="en-US"/>
        </w:rPr>
      </w:pPr>
    </w:p>
    <w:p w14:paraId="355DE0B1" w14:textId="77777777" w:rsidR="006176B8" w:rsidRDefault="006176B8" w:rsidP="00CA645A">
      <w:pPr>
        <w:tabs>
          <w:tab w:val="left" w:pos="1031"/>
        </w:tabs>
        <w:rPr>
          <w:rFonts w:ascii="Arial" w:eastAsiaTheme="minorHAnsi" w:hAnsi="Arial" w:cs="Arial"/>
          <w:sz w:val="22"/>
          <w:szCs w:val="22"/>
          <w:lang w:val="en-US"/>
        </w:rPr>
      </w:pPr>
    </w:p>
    <w:p w14:paraId="6D81A982" w14:textId="77777777" w:rsidR="006176B8" w:rsidRDefault="006176B8" w:rsidP="00CA645A">
      <w:pPr>
        <w:tabs>
          <w:tab w:val="left" w:pos="1031"/>
        </w:tabs>
        <w:rPr>
          <w:rFonts w:ascii="Arial" w:eastAsiaTheme="minorHAnsi" w:hAnsi="Arial" w:cs="Arial"/>
          <w:sz w:val="22"/>
          <w:szCs w:val="22"/>
          <w:lang w:val="en-US"/>
        </w:rPr>
      </w:pPr>
    </w:p>
    <w:p w14:paraId="2250DDCF" w14:textId="77777777" w:rsidR="009207C1" w:rsidRPr="00CA645A" w:rsidRDefault="009207C1" w:rsidP="00CA645A">
      <w:pPr>
        <w:tabs>
          <w:tab w:val="left" w:pos="1031"/>
        </w:tabs>
        <w:rPr>
          <w:rFonts w:ascii="Arial" w:eastAsiaTheme="minorHAnsi" w:hAnsi="Arial" w:cs="Arial"/>
          <w:sz w:val="22"/>
          <w:szCs w:val="22"/>
          <w:lang w:val="en-US"/>
        </w:rPr>
      </w:pPr>
    </w:p>
    <w:p w14:paraId="135A122A" w14:textId="77777777" w:rsidR="00D12571" w:rsidRDefault="00D12571" w:rsidP="00D12571">
      <w:pPr>
        <w:keepNext/>
        <w:spacing w:line="480" w:lineRule="auto"/>
        <w:jc w:val="both"/>
      </w:pPr>
      <w:r w:rsidRPr="007A0E38">
        <w:rPr>
          <w:rFonts w:ascii="Arial" w:hAnsi="Arial"/>
          <w:bCs/>
          <w:noProof/>
          <w:lang w:val="en-US"/>
        </w:rPr>
        <w:drawing>
          <wp:inline distT="0" distB="0" distL="0" distR="0" wp14:anchorId="4E64465F" wp14:editId="77EC9030">
            <wp:extent cx="5327477" cy="4103564"/>
            <wp:effectExtent l="0" t="0" r="6985" b="11430"/>
            <wp:docPr id="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lum bright="5000"/>
                      <a:extLst>
                        <a:ext uri="{28A0092B-C50C-407E-A947-70E740481C1C}">
                          <a14:useLocalDpi xmlns:a14="http://schemas.microsoft.com/office/drawing/2010/main" val="0"/>
                        </a:ext>
                      </a:extLst>
                    </a:blip>
                    <a:srcRect/>
                    <a:stretch>
                      <a:fillRect/>
                    </a:stretch>
                  </pic:blipFill>
                  <pic:spPr bwMode="auto">
                    <a:xfrm>
                      <a:off x="0" y="0"/>
                      <a:ext cx="5327477" cy="4103564"/>
                    </a:xfrm>
                    <a:prstGeom prst="rect">
                      <a:avLst/>
                    </a:prstGeom>
                    <a:noFill/>
                    <a:ln>
                      <a:noFill/>
                    </a:ln>
                  </pic:spPr>
                </pic:pic>
              </a:graphicData>
            </a:graphic>
          </wp:inline>
        </w:drawing>
      </w:r>
    </w:p>
    <w:p w14:paraId="01777F12" w14:textId="77777777" w:rsidR="00CA645A" w:rsidRPr="00E02D30" w:rsidRDefault="002B3D6A" w:rsidP="002B3D6A">
      <w:pPr>
        <w:pStyle w:val="Caption"/>
        <w:tabs>
          <w:tab w:val="left" w:pos="7708"/>
        </w:tabs>
        <w:spacing w:line="360" w:lineRule="auto"/>
        <w:jc w:val="both"/>
        <w:rPr>
          <w:rFonts w:ascii="Arial" w:hAnsi="Arial" w:cs="Arial"/>
          <w:b w:val="0"/>
          <w:color w:val="C0504D" w:themeColor="accent2"/>
          <w:sz w:val="24"/>
          <w:szCs w:val="24"/>
        </w:rPr>
      </w:pPr>
      <w:r>
        <w:rPr>
          <w:rFonts w:ascii="Arial" w:hAnsi="Arial" w:cs="Arial"/>
          <w:color w:val="244061" w:themeColor="accent1" w:themeShade="80"/>
          <w:sz w:val="24"/>
          <w:szCs w:val="24"/>
        </w:rPr>
        <w:t xml:space="preserve">                                                                                                                  </w:t>
      </w:r>
    </w:p>
    <w:p w14:paraId="605296A6" w14:textId="77777777" w:rsidR="00D12571" w:rsidRPr="00C133FE" w:rsidRDefault="00D12571" w:rsidP="00D12571">
      <w:pPr>
        <w:pStyle w:val="Caption"/>
        <w:spacing w:line="360" w:lineRule="auto"/>
        <w:jc w:val="both"/>
        <w:rPr>
          <w:rFonts w:ascii="Arial" w:hAnsi="Arial" w:cs="Arial"/>
          <w:bCs w:val="0"/>
          <w:color w:val="244061" w:themeColor="accent1" w:themeShade="80"/>
          <w:sz w:val="24"/>
          <w:szCs w:val="24"/>
          <w:lang w:val="en-US"/>
        </w:rPr>
      </w:pPr>
      <w:bookmarkStart w:id="98" w:name="_Toc383544620"/>
      <w:r w:rsidRPr="00C133FE">
        <w:rPr>
          <w:rFonts w:ascii="Arial" w:hAnsi="Arial" w:cs="Arial"/>
          <w:color w:val="244061" w:themeColor="accent1" w:themeShade="80"/>
          <w:sz w:val="24"/>
          <w:szCs w:val="24"/>
        </w:rPr>
        <w:t xml:space="preserve">Figure </w:t>
      </w:r>
      <w:r w:rsidRPr="00C133FE">
        <w:rPr>
          <w:rFonts w:ascii="Arial" w:hAnsi="Arial" w:cs="Arial"/>
          <w:color w:val="244061" w:themeColor="accent1" w:themeShade="80"/>
          <w:sz w:val="24"/>
          <w:szCs w:val="24"/>
        </w:rPr>
        <w:fldChar w:fldCharType="begin"/>
      </w:r>
      <w:r w:rsidRPr="00C133FE">
        <w:rPr>
          <w:rFonts w:ascii="Arial" w:hAnsi="Arial" w:cs="Arial"/>
          <w:color w:val="244061" w:themeColor="accent1" w:themeShade="80"/>
          <w:sz w:val="24"/>
          <w:szCs w:val="24"/>
        </w:rPr>
        <w:instrText xml:space="preserve"> SEQ Figure \* ARABIC </w:instrText>
      </w:r>
      <w:r w:rsidRPr="00C133FE">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29</w:t>
      </w:r>
      <w:r w:rsidRPr="00C133FE">
        <w:rPr>
          <w:rFonts w:ascii="Arial" w:hAnsi="Arial" w:cs="Arial"/>
          <w:color w:val="244061" w:themeColor="accent1" w:themeShade="80"/>
          <w:sz w:val="24"/>
          <w:szCs w:val="24"/>
        </w:rPr>
        <w:fldChar w:fldCharType="end"/>
      </w:r>
      <w:proofErr w:type="gramStart"/>
      <w:r w:rsidR="00FC4B09">
        <w:rPr>
          <w:rFonts w:ascii="Arial" w:hAnsi="Arial" w:cs="Arial"/>
          <w:color w:val="244061" w:themeColor="accent1" w:themeShade="80"/>
          <w:sz w:val="24"/>
          <w:szCs w:val="24"/>
        </w:rPr>
        <w:t xml:space="preserve"> </w:t>
      </w:r>
      <w:r w:rsidR="00FC4B09" w:rsidRPr="00B6364F">
        <w:rPr>
          <w:rFonts w:ascii="Arial" w:hAnsi="Arial" w:cs="Arial"/>
          <w:color w:val="244061" w:themeColor="accent1" w:themeShade="80"/>
          <w:sz w:val="24"/>
          <w:szCs w:val="24"/>
        </w:rPr>
        <w:t>C</w:t>
      </w:r>
      <w:r w:rsidRPr="00B6364F">
        <w:rPr>
          <w:rFonts w:ascii="Arial" w:hAnsi="Arial" w:cs="Arial"/>
          <w:color w:val="244061" w:themeColor="accent1" w:themeShade="80"/>
          <w:sz w:val="24"/>
          <w:szCs w:val="24"/>
        </w:rPr>
        <w:t>ortical</w:t>
      </w:r>
      <w:r w:rsidRPr="00C133FE">
        <w:rPr>
          <w:rFonts w:ascii="Arial" w:hAnsi="Arial" w:cs="Arial"/>
          <w:color w:val="244061" w:themeColor="accent1" w:themeShade="80"/>
          <w:sz w:val="24"/>
          <w:szCs w:val="24"/>
        </w:rPr>
        <w:t xml:space="preserve"> bone response</w:t>
      </w:r>
      <w:proofErr w:type="gramEnd"/>
      <w:r w:rsidRPr="00C133FE">
        <w:rPr>
          <w:rFonts w:ascii="Arial" w:hAnsi="Arial" w:cs="Arial"/>
          <w:color w:val="244061" w:themeColor="accent1" w:themeShade="80"/>
          <w:sz w:val="24"/>
          <w:szCs w:val="24"/>
        </w:rPr>
        <w:t xml:space="preserve"> to mechanical loading</w:t>
      </w:r>
      <w:bookmarkEnd w:id="98"/>
    </w:p>
    <w:p w14:paraId="5B6A5896" w14:textId="77777777" w:rsidR="00D12571" w:rsidRPr="002B0557" w:rsidRDefault="00074F0E" w:rsidP="00D12571">
      <w:pPr>
        <w:spacing w:line="360" w:lineRule="auto"/>
        <w:jc w:val="both"/>
        <w:rPr>
          <w:rFonts w:ascii="Arial" w:hAnsi="Arial" w:cs="Arial"/>
          <w:sz w:val="22"/>
          <w:szCs w:val="22"/>
        </w:rPr>
      </w:pPr>
      <w:r>
        <w:rPr>
          <w:rFonts w:ascii="Arial" w:hAnsi="Arial" w:cs="Arial"/>
          <w:sz w:val="22"/>
          <w:szCs w:val="22"/>
        </w:rPr>
        <w:t>Representative</w:t>
      </w:r>
      <w:r w:rsidR="00D12571">
        <w:rPr>
          <w:rFonts w:ascii="Arial" w:hAnsi="Arial" w:cs="Arial"/>
          <w:sz w:val="22"/>
          <w:szCs w:val="22"/>
        </w:rPr>
        <w:t xml:space="preserve"> 3D</w:t>
      </w:r>
      <w:r w:rsidR="00D12571" w:rsidRPr="00A94FE6">
        <w:rPr>
          <w:rFonts w:ascii="Arial" w:hAnsi="Arial" w:cs="Arial"/>
          <w:sz w:val="22"/>
          <w:szCs w:val="22"/>
        </w:rPr>
        <w:t xml:space="preserve"> images of </w:t>
      </w:r>
      <w:r w:rsidR="00D12571">
        <w:rPr>
          <w:rFonts w:ascii="Arial" w:hAnsi="Arial" w:cs="Arial"/>
          <w:sz w:val="22"/>
          <w:szCs w:val="22"/>
        </w:rPr>
        <w:t>1mm-thick cortical</w:t>
      </w:r>
      <w:r w:rsidR="00D12571" w:rsidRPr="00A94FE6">
        <w:rPr>
          <w:rFonts w:ascii="Arial" w:hAnsi="Arial" w:cs="Arial"/>
          <w:sz w:val="22"/>
          <w:szCs w:val="22"/>
        </w:rPr>
        <w:t xml:space="preserve"> bone </w:t>
      </w:r>
      <w:r w:rsidR="00D12571">
        <w:rPr>
          <w:rFonts w:ascii="Arial" w:hAnsi="Arial" w:cs="Arial"/>
          <w:sz w:val="22"/>
          <w:szCs w:val="22"/>
        </w:rPr>
        <w:t xml:space="preserve">region 9.0mm below the growth plate from the mid-shaft of </w:t>
      </w:r>
      <w:r w:rsidR="00D12571" w:rsidRPr="00A94FE6">
        <w:rPr>
          <w:rFonts w:ascii="Arial" w:hAnsi="Arial" w:cs="Arial"/>
          <w:sz w:val="22"/>
          <w:szCs w:val="22"/>
        </w:rPr>
        <w:t xml:space="preserve">loaded (right) and non-loaded tibiae (left) of fed and fed </w:t>
      </w:r>
      <w:r w:rsidR="00D12571">
        <w:rPr>
          <w:rFonts w:ascii="Arial" w:hAnsi="Arial" w:cs="Arial"/>
          <w:sz w:val="22"/>
          <w:szCs w:val="22"/>
        </w:rPr>
        <w:t>for 2</w:t>
      </w:r>
      <w:r w:rsidR="00FE502C">
        <w:rPr>
          <w:rFonts w:ascii="Arial" w:hAnsi="Arial" w:cs="Arial"/>
          <w:sz w:val="22"/>
          <w:szCs w:val="22"/>
        </w:rPr>
        <w:t xml:space="preserve"> hours</w:t>
      </w:r>
      <w:r w:rsidR="00D12571">
        <w:rPr>
          <w:rFonts w:ascii="Arial" w:hAnsi="Arial" w:cs="Arial"/>
          <w:sz w:val="22"/>
          <w:szCs w:val="22"/>
        </w:rPr>
        <w:t xml:space="preserve"> </w:t>
      </w:r>
      <w:r w:rsidR="00D12571" w:rsidRPr="00A94FE6">
        <w:rPr>
          <w:rFonts w:ascii="Arial" w:hAnsi="Arial" w:cs="Arial"/>
          <w:sz w:val="22"/>
          <w:szCs w:val="22"/>
        </w:rPr>
        <w:t>following</w:t>
      </w:r>
      <w:r w:rsidR="00473454">
        <w:rPr>
          <w:rFonts w:ascii="Arial" w:hAnsi="Arial" w:cs="Arial"/>
          <w:sz w:val="22"/>
          <w:szCs w:val="22"/>
        </w:rPr>
        <w:t xml:space="preserve"> overnight fast</w:t>
      </w:r>
      <w:r w:rsidR="00D12571">
        <w:rPr>
          <w:rFonts w:ascii="Arial" w:hAnsi="Arial" w:cs="Arial"/>
          <w:sz w:val="22"/>
          <w:szCs w:val="22"/>
        </w:rPr>
        <w:t xml:space="preserve"> young </w:t>
      </w:r>
      <w:r w:rsidR="00D12571" w:rsidRPr="00A94FE6">
        <w:rPr>
          <w:rFonts w:ascii="Arial" w:hAnsi="Arial" w:cs="Arial"/>
          <w:sz w:val="22"/>
          <w:szCs w:val="22"/>
        </w:rPr>
        <w:t>male mice</w:t>
      </w:r>
      <w:r w:rsidR="00D12571">
        <w:rPr>
          <w:rFonts w:ascii="Arial" w:hAnsi="Arial" w:cs="Arial"/>
          <w:sz w:val="22"/>
          <w:szCs w:val="22"/>
        </w:rPr>
        <w:t xml:space="preserve">. The contralateral non-loaded left tibiae were used as internal controls. Scale bar </w:t>
      </w:r>
      <w:r w:rsidR="00D12571" w:rsidRPr="002B0557">
        <w:rPr>
          <w:rFonts w:ascii="Arial" w:hAnsi="Arial" w:cs="Arial"/>
          <w:sz w:val="22"/>
          <w:szCs w:val="22"/>
        </w:rPr>
        <w:t xml:space="preserve">= </w:t>
      </w:r>
      <w:r w:rsidR="002B1BF2">
        <w:rPr>
          <w:rFonts w:ascii="Arial" w:hAnsi="Arial" w:cs="Arial"/>
          <w:sz w:val="22"/>
          <w:szCs w:val="22"/>
        </w:rPr>
        <w:t>100μm</w:t>
      </w:r>
    </w:p>
    <w:p w14:paraId="19D56895" w14:textId="77777777" w:rsidR="00D12571" w:rsidRDefault="00D12571" w:rsidP="00D12571">
      <w:pPr>
        <w:spacing w:line="360" w:lineRule="auto"/>
        <w:jc w:val="both"/>
        <w:rPr>
          <w:rFonts w:ascii="Arial" w:hAnsi="Arial" w:cs="Arial"/>
          <w:sz w:val="22"/>
          <w:szCs w:val="22"/>
        </w:rPr>
      </w:pPr>
    </w:p>
    <w:p w14:paraId="2B19D9CC" w14:textId="77777777" w:rsidR="00074F0E" w:rsidRPr="00286110" w:rsidRDefault="00074F0E" w:rsidP="00D12571">
      <w:pPr>
        <w:spacing w:line="360" w:lineRule="auto"/>
        <w:jc w:val="both"/>
        <w:rPr>
          <w:rFonts w:ascii="Arial" w:hAnsi="Arial" w:cs="Arial"/>
          <w:sz w:val="22"/>
          <w:szCs w:val="22"/>
        </w:rPr>
      </w:pPr>
    </w:p>
    <w:p w14:paraId="19C52D65" w14:textId="77777777" w:rsidR="00D12571" w:rsidRPr="00063AE2" w:rsidRDefault="00D12571" w:rsidP="00D12571"/>
    <w:p w14:paraId="3C6B3DB4" w14:textId="77777777" w:rsidR="00D12571" w:rsidRDefault="00D12571" w:rsidP="00D12571"/>
    <w:p w14:paraId="792AFD33" w14:textId="77777777" w:rsidR="00E56E65" w:rsidRDefault="00E56E65" w:rsidP="00E56E65">
      <w:pPr>
        <w:spacing w:line="360" w:lineRule="auto"/>
        <w:jc w:val="both"/>
        <w:rPr>
          <w:rFonts w:ascii="Arial" w:eastAsiaTheme="minorHAnsi" w:hAnsi="Arial" w:cs="Arial"/>
          <w:sz w:val="22"/>
          <w:szCs w:val="22"/>
          <w:lang w:val="en-US"/>
        </w:rPr>
      </w:pPr>
    </w:p>
    <w:p w14:paraId="0140936E" w14:textId="77777777" w:rsidR="00E56E65" w:rsidRPr="00532C53" w:rsidRDefault="00E56E65" w:rsidP="00E56E65">
      <w:pPr>
        <w:rPr>
          <w:rFonts w:ascii="Arial" w:eastAsiaTheme="minorHAnsi" w:hAnsi="Arial" w:cs="Arial"/>
          <w:sz w:val="22"/>
          <w:szCs w:val="22"/>
          <w:lang w:val="en-US"/>
        </w:rPr>
      </w:pPr>
    </w:p>
    <w:p w14:paraId="256486DB" w14:textId="77777777" w:rsidR="00E56E65" w:rsidRPr="00532C53" w:rsidRDefault="00E56E65" w:rsidP="00E56E65">
      <w:pPr>
        <w:rPr>
          <w:rFonts w:ascii="Arial" w:eastAsiaTheme="minorHAnsi" w:hAnsi="Arial" w:cs="Arial"/>
          <w:sz w:val="22"/>
          <w:szCs w:val="22"/>
          <w:lang w:val="en-US"/>
        </w:rPr>
      </w:pPr>
    </w:p>
    <w:p w14:paraId="1C963343" w14:textId="77777777" w:rsidR="00E56E65" w:rsidRPr="00532C53" w:rsidRDefault="00E56E65" w:rsidP="00E56E65">
      <w:pPr>
        <w:rPr>
          <w:rFonts w:ascii="Arial" w:eastAsiaTheme="minorHAnsi" w:hAnsi="Arial" w:cs="Arial"/>
          <w:sz w:val="22"/>
          <w:szCs w:val="22"/>
          <w:lang w:val="en-US"/>
        </w:rPr>
      </w:pPr>
    </w:p>
    <w:p w14:paraId="49395D0E" w14:textId="77777777" w:rsidR="00E56E65" w:rsidRPr="00532C53" w:rsidRDefault="00E56E65" w:rsidP="00E56E65">
      <w:pPr>
        <w:rPr>
          <w:rFonts w:ascii="Arial" w:eastAsiaTheme="minorHAnsi" w:hAnsi="Arial" w:cs="Arial"/>
          <w:sz w:val="22"/>
          <w:szCs w:val="22"/>
          <w:lang w:val="en-US"/>
        </w:rPr>
      </w:pPr>
    </w:p>
    <w:p w14:paraId="38B3BDC3" w14:textId="77777777" w:rsidR="00E56E65" w:rsidRPr="00532C53" w:rsidRDefault="00E56E65" w:rsidP="00E56E65">
      <w:pPr>
        <w:rPr>
          <w:rFonts w:ascii="Arial" w:eastAsiaTheme="minorHAnsi" w:hAnsi="Arial" w:cs="Arial"/>
          <w:sz w:val="22"/>
          <w:szCs w:val="22"/>
          <w:lang w:val="en-US"/>
        </w:rPr>
      </w:pPr>
    </w:p>
    <w:p w14:paraId="6283B190" w14:textId="77777777" w:rsidR="00E56E65" w:rsidRPr="00532C53" w:rsidRDefault="00E56E65" w:rsidP="00E56E65">
      <w:pPr>
        <w:rPr>
          <w:rFonts w:ascii="Arial" w:eastAsiaTheme="minorHAnsi" w:hAnsi="Arial" w:cs="Arial"/>
          <w:sz w:val="22"/>
          <w:szCs w:val="22"/>
          <w:lang w:val="en-US"/>
        </w:rPr>
      </w:pPr>
    </w:p>
    <w:p w14:paraId="713FC557" w14:textId="77777777" w:rsidR="00E56E65" w:rsidRPr="00532C53" w:rsidRDefault="00E56E65" w:rsidP="00E56E65">
      <w:pPr>
        <w:rPr>
          <w:rFonts w:ascii="Arial" w:eastAsiaTheme="minorHAnsi" w:hAnsi="Arial" w:cs="Arial"/>
          <w:sz w:val="22"/>
          <w:szCs w:val="22"/>
          <w:lang w:val="en-US"/>
        </w:rPr>
      </w:pPr>
    </w:p>
    <w:p w14:paraId="36828741" w14:textId="77777777" w:rsidR="00E56E65" w:rsidRDefault="00E56E65" w:rsidP="00E56E65">
      <w:pPr>
        <w:rPr>
          <w:rFonts w:ascii="Arial" w:eastAsiaTheme="minorHAnsi" w:hAnsi="Arial" w:cs="Arial"/>
          <w:sz w:val="22"/>
          <w:szCs w:val="22"/>
          <w:lang w:val="en-US"/>
        </w:rPr>
      </w:pPr>
    </w:p>
    <w:p w14:paraId="488B8AC6" w14:textId="77777777" w:rsidR="00E56E65" w:rsidRPr="00532C53" w:rsidRDefault="00E56E65" w:rsidP="00E56E65">
      <w:pPr>
        <w:rPr>
          <w:rFonts w:ascii="Arial" w:eastAsiaTheme="minorHAnsi" w:hAnsi="Arial" w:cs="Arial"/>
          <w:sz w:val="22"/>
          <w:szCs w:val="22"/>
          <w:lang w:val="en-US"/>
        </w:rPr>
      </w:pPr>
    </w:p>
    <w:p w14:paraId="2C57B6AE" w14:textId="77777777" w:rsidR="00E56E65" w:rsidRPr="00532C53" w:rsidRDefault="00E56E65" w:rsidP="00E56E65">
      <w:pPr>
        <w:rPr>
          <w:rFonts w:ascii="Arial" w:eastAsiaTheme="minorHAnsi" w:hAnsi="Arial" w:cs="Arial"/>
          <w:sz w:val="22"/>
          <w:szCs w:val="22"/>
          <w:lang w:val="en-US"/>
        </w:rPr>
      </w:pPr>
    </w:p>
    <w:p w14:paraId="3C080881" w14:textId="77777777" w:rsidR="009207C1" w:rsidRDefault="009207C1" w:rsidP="00315E02">
      <w:pPr>
        <w:rPr>
          <w:rFonts w:ascii="Arial" w:eastAsiaTheme="minorHAnsi" w:hAnsi="Arial" w:cs="Arial"/>
          <w:sz w:val="22"/>
          <w:szCs w:val="22"/>
          <w:lang w:val="en-US"/>
        </w:rPr>
      </w:pPr>
    </w:p>
    <w:p w14:paraId="1B3B07CB" w14:textId="77777777" w:rsidR="006176B8" w:rsidRPr="00A45F7A" w:rsidRDefault="006176B8" w:rsidP="00315E02">
      <w:pPr>
        <w:rPr>
          <w:rFonts w:ascii="Arial" w:eastAsiaTheme="minorHAnsi" w:hAnsi="Arial" w:cs="Arial"/>
          <w:sz w:val="22"/>
          <w:szCs w:val="22"/>
          <w:lang w:val="en-US"/>
        </w:rPr>
      </w:pPr>
    </w:p>
    <w:p w14:paraId="42A6C2CC" w14:textId="77777777" w:rsidR="00E56E65" w:rsidRDefault="00E56E65" w:rsidP="00204988">
      <w:pPr>
        <w:pStyle w:val="TOCHeading"/>
      </w:pPr>
      <w:r>
        <w:drawing>
          <wp:inline distT="0" distB="0" distL="0" distR="0" wp14:anchorId="49646DEF" wp14:editId="2CDA4444">
            <wp:extent cx="3048000" cy="2731770"/>
            <wp:effectExtent l="0" t="0" r="0" b="1143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48000" cy="2731770"/>
                    </a:xfrm>
                    <a:prstGeom prst="rect">
                      <a:avLst/>
                    </a:prstGeom>
                    <a:noFill/>
                    <a:ln>
                      <a:noFill/>
                    </a:ln>
                  </pic:spPr>
                </pic:pic>
              </a:graphicData>
            </a:graphic>
          </wp:inline>
        </w:drawing>
      </w:r>
      <w:r w:rsidRPr="00532C53">
        <w:t xml:space="preserve"> </w:t>
      </w:r>
      <w:r>
        <w:drawing>
          <wp:inline distT="0" distB="0" distL="0" distR="0" wp14:anchorId="4C79A165" wp14:editId="71317E79">
            <wp:extent cx="3008671" cy="247205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08990" cy="2472317"/>
                    </a:xfrm>
                    <a:prstGeom prst="rect">
                      <a:avLst/>
                    </a:prstGeom>
                    <a:noFill/>
                    <a:ln>
                      <a:noFill/>
                    </a:ln>
                  </pic:spPr>
                </pic:pic>
              </a:graphicData>
            </a:graphic>
          </wp:inline>
        </w:drawing>
      </w:r>
    </w:p>
    <w:p w14:paraId="128BF3F7" w14:textId="77777777" w:rsidR="00B005C1" w:rsidRDefault="00E56E65" w:rsidP="005E4EA5">
      <w:pPr>
        <w:pStyle w:val="TOCHeading"/>
        <w:ind w:firstLine="180"/>
      </w:pPr>
      <w:r>
        <w:drawing>
          <wp:inline distT="0" distB="0" distL="0" distR="0" wp14:anchorId="12CDDF8C" wp14:editId="7F05AD6F">
            <wp:extent cx="2854960" cy="2702859"/>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54960" cy="2702859"/>
                    </a:xfrm>
                    <a:prstGeom prst="rect">
                      <a:avLst/>
                    </a:prstGeom>
                    <a:noFill/>
                    <a:ln>
                      <a:noFill/>
                    </a:ln>
                  </pic:spPr>
                </pic:pic>
              </a:graphicData>
            </a:graphic>
          </wp:inline>
        </w:drawing>
      </w:r>
      <w:r w:rsidRPr="00532C53">
        <w:t xml:space="preserve"> </w:t>
      </w:r>
      <w:r>
        <w:drawing>
          <wp:inline distT="0" distB="0" distL="0" distR="0" wp14:anchorId="17DB88A4" wp14:editId="5C15C53B">
            <wp:extent cx="3016250" cy="2696210"/>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16250" cy="2696210"/>
                    </a:xfrm>
                    <a:prstGeom prst="rect">
                      <a:avLst/>
                    </a:prstGeom>
                    <a:noFill/>
                    <a:ln>
                      <a:noFill/>
                    </a:ln>
                  </pic:spPr>
                </pic:pic>
              </a:graphicData>
            </a:graphic>
          </wp:inline>
        </w:drawing>
      </w:r>
    </w:p>
    <w:p w14:paraId="1E1AF4C5" w14:textId="77777777" w:rsidR="00C8566F" w:rsidRDefault="00C8566F" w:rsidP="00290673">
      <w:pPr>
        <w:pStyle w:val="Caption"/>
        <w:spacing w:line="360" w:lineRule="auto"/>
        <w:jc w:val="both"/>
        <w:rPr>
          <w:rFonts w:ascii="Arial" w:hAnsi="Arial" w:cs="Arial"/>
          <w:color w:val="244061" w:themeColor="accent1" w:themeShade="80"/>
          <w:sz w:val="24"/>
          <w:szCs w:val="24"/>
        </w:rPr>
      </w:pPr>
    </w:p>
    <w:p w14:paraId="0B2CD939" w14:textId="77777777" w:rsidR="00E56E65" w:rsidRPr="00290673" w:rsidRDefault="00B005C1" w:rsidP="00290673">
      <w:pPr>
        <w:pStyle w:val="Caption"/>
        <w:spacing w:line="360" w:lineRule="auto"/>
        <w:jc w:val="both"/>
        <w:rPr>
          <w:rFonts w:ascii="Arial" w:hAnsi="Arial" w:cs="Arial"/>
          <w:color w:val="244061" w:themeColor="accent1" w:themeShade="80"/>
          <w:sz w:val="24"/>
          <w:szCs w:val="24"/>
        </w:rPr>
      </w:pPr>
      <w:bookmarkStart w:id="99" w:name="_Toc383544621"/>
      <w:r w:rsidRPr="00290673">
        <w:rPr>
          <w:rFonts w:ascii="Arial" w:hAnsi="Arial" w:cs="Arial"/>
          <w:color w:val="244061" w:themeColor="accent1" w:themeShade="80"/>
          <w:sz w:val="24"/>
          <w:szCs w:val="24"/>
        </w:rPr>
        <w:t xml:space="preserve">Figure </w:t>
      </w:r>
      <w:r w:rsidRPr="00290673">
        <w:rPr>
          <w:rFonts w:ascii="Arial" w:hAnsi="Arial" w:cs="Arial"/>
          <w:color w:val="244061" w:themeColor="accent1" w:themeShade="80"/>
          <w:sz w:val="24"/>
          <w:szCs w:val="24"/>
        </w:rPr>
        <w:fldChar w:fldCharType="begin"/>
      </w:r>
      <w:r w:rsidRPr="00290673">
        <w:rPr>
          <w:rFonts w:ascii="Arial" w:hAnsi="Arial" w:cs="Arial"/>
          <w:color w:val="244061" w:themeColor="accent1" w:themeShade="80"/>
          <w:sz w:val="24"/>
          <w:szCs w:val="24"/>
        </w:rPr>
        <w:instrText xml:space="preserve"> SEQ Figure \* ARABIC </w:instrText>
      </w:r>
      <w:r w:rsidRPr="00290673">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30</w:t>
      </w:r>
      <w:r w:rsidRPr="00290673">
        <w:rPr>
          <w:rFonts w:ascii="Arial" w:hAnsi="Arial" w:cs="Arial"/>
          <w:color w:val="244061" w:themeColor="accent1" w:themeShade="80"/>
          <w:sz w:val="24"/>
          <w:szCs w:val="24"/>
        </w:rPr>
        <w:fldChar w:fldCharType="end"/>
      </w:r>
      <w:r w:rsidR="00290673" w:rsidRPr="00290673">
        <w:rPr>
          <w:rFonts w:ascii="Arial" w:hAnsi="Arial" w:cs="Arial"/>
          <w:color w:val="244061" w:themeColor="accent1" w:themeShade="80"/>
          <w:sz w:val="24"/>
          <w:szCs w:val="24"/>
        </w:rPr>
        <w:t xml:space="preserve"> </w:t>
      </w:r>
      <w:r w:rsidR="00E56E65" w:rsidRPr="00290673">
        <w:rPr>
          <w:rFonts w:ascii="Arial" w:hAnsi="Arial" w:cs="Arial"/>
          <w:color w:val="244061" w:themeColor="accent1" w:themeShade="80"/>
          <w:sz w:val="24"/>
          <w:szCs w:val="24"/>
        </w:rPr>
        <w:t>Cort</w:t>
      </w:r>
      <w:r w:rsidR="00290673">
        <w:rPr>
          <w:rFonts w:ascii="Arial" w:hAnsi="Arial" w:cs="Arial"/>
          <w:color w:val="244061" w:themeColor="accent1" w:themeShade="80"/>
          <w:sz w:val="24"/>
          <w:szCs w:val="24"/>
        </w:rPr>
        <w:t>ical bone mass and architecture</w:t>
      </w:r>
      <w:r w:rsidR="00E56E65" w:rsidRPr="00290673">
        <w:rPr>
          <w:rFonts w:ascii="Arial" w:hAnsi="Arial" w:cs="Arial"/>
          <w:color w:val="244061" w:themeColor="accent1" w:themeShade="80"/>
          <w:sz w:val="24"/>
          <w:szCs w:val="24"/>
        </w:rPr>
        <w:t xml:space="preserve"> measured at the mid-shaft region of the left non-loaded (control) and right loaded tibiae with maximal loading regimen of 19-week-old fed (n=7) or overnight fasted </w:t>
      </w:r>
      <w:r w:rsidR="00CD60C9">
        <w:rPr>
          <w:rFonts w:ascii="Arial" w:hAnsi="Arial" w:cs="Arial"/>
          <w:color w:val="244061" w:themeColor="accent1" w:themeShade="80"/>
          <w:sz w:val="24"/>
          <w:szCs w:val="24"/>
        </w:rPr>
        <w:t xml:space="preserve">2-hour </w:t>
      </w:r>
      <w:r w:rsidR="00E56E65" w:rsidRPr="00290673">
        <w:rPr>
          <w:rFonts w:ascii="Arial" w:hAnsi="Arial" w:cs="Arial"/>
          <w:color w:val="244061" w:themeColor="accent1" w:themeShade="80"/>
          <w:sz w:val="24"/>
          <w:szCs w:val="24"/>
        </w:rPr>
        <w:t>fed (n=6) male mice</w:t>
      </w:r>
      <w:bookmarkEnd w:id="99"/>
      <w:r w:rsidR="00E56E65" w:rsidRPr="00290673">
        <w:rPr>
          <w:rFonts w:ascii="Arial" w:hAnsi="Arial" w:cs="Arial"/>
          <w:color w:val="244061" w:themeColor="accent1" w:themeShade="80"/>
          <w:sz w:val="24"/>
          <w:szCs w:val="24"/>
        </w:rPr>
        <w:t xml:space="preserve"> </w:t>
      </w:r>
    </w:p>
    <w:p w14:paraId="52962743" w14:textId="77777777" w:rsidR="00E56E65" w:rsidRPr="00EE5EEB" w:rsidRDefault="00E56E65" w:rsidP="00E56E65">
      <w:pPr>
        <w:spacing w:line="360" w:lineRule="auto"/>
        <w:jc w:val="both"/>
        <w:rPr>
          <w:rFonts w:ascii="Arial" w:hAnsi="Arial"/>
          <w:bCs/>
          <w:sz w:val="22"/>
          <w:szCs w:val="22"/>
          <w:lang w:val="en-US"/>
        </w:rPr>
      </w:pPr>
      <w:r>
        <w:rPr>
          <w:rFonts w:ascii="Arial" w:eastAsiaTheme="minorHAnsi" w:hAnsi="Arial" w:cs="Arial"/>
          <w:sz w:val="22"/>
          <w:szCs w:val="22"/>
          <w:lang w:val="en-US"/>
        </w:rPr>
        <w:t>Mechanical l</w:t>
      </w:r>
      <w:r w:rsidRPr="004D06C6">
        <w:rPr>
          <w:rFonts w:ascii="Arial" w:eastAsiaTheme="minorHAnsi" w:hAnsi="Arial" w:cs="Arial"/>
          <w:sz w:val="22"/>
          <w:szCs w:val="22"/>
          <w:lang w:val="en-US"/>
        </w:rPr>
        <w:t>oading induc</w:t>
      </w:r>
      <w:r>
        <w:rPr>
          <w:rFonts w:ascii="Arial" w:eastAsiaTheme="minorHAnsi" w:hAnsi="Arial" w:cs="Arial"/>
          <w:sz w:val="22"/>
          <w:szCs w:val="22"/>
          <w:lang w:val="en-US"/>
        </w:rPr>
        <w:t>ed significant increase in Ct.Ar and Ct.Th</w:t>
      </w:r>
      <w:r w:rsidRPr="004D06C6">
        <w:rPr>
          <w:rFonts w:ascii="Arial" w:eastAsiaTheme="minorHAnsi" w:hAnsi="Arial" w:cs="Arial"/>
          <w:sz w:val="22"/>
          <w:szCs w:val="22"/>
          <w:lang w:val="en-US"/>
        </w:rPr>
        <w:t xml:space="preserve"> in</w:t>
      </w:r>
      <w:r>
        <w:rPr>
          <w:rFonts w:ascii="Arial" w:eastAsiaTheme="minorHAnsi" w:hAnsi="Arial" w:cs="Arial"/>
          <w:sz w:val="22"/>
          <w:szCs w:val="22"/>
          <w:lang w:val="en-US"/>
        </w:rPr>
        <w:t xml:space="preserve"> the</w:t>
      </w:r>
      <w:r w:rsidRPr="004D06C6">
        <w:rPr>
          <w:rFonts w:ascii="Arial" w:eastAsiaTheme="minorHAnsi" w:hAnsi="Arial" w:cs="Arial"/>
          <w:sz w:val="22"/>
          <w:szCs w:val="22"/>
          <w:lang w:val="en-US"/>
        </w:rPr>
        <w:t xml:space="preserve"> right loaded tibiae compared wi</w:t>
      </w:r>
      <w:r>
        <w:rPr>
          <w:rFonts w:ascii="Arial" w:eastAsiaTheme="minorHAnsi" w:hAnsi="Arial" w:cs="Arial"/>
          <w:sz w:val="22"/>
          <w:szCs w:val="22"/>
          <w:lang w:val="en-US"/>
        </w:rPr>
        <w:t xml:space="preserve">th the left unloaded tibiae </w:t>
      </w:r>
      <w:r w:rsidRPr="004D06C6">
        <w:rPr>
          <w:rFonts w:ascii="Arial" w:eastAsiaTheme="minorHAnsi" w:hAnsi="Arial" w:cs="Arial"/>
          <w:sz w:val="22"/>
          <w:szCs w:val="22"/>
          <w:lang w:val="en-US"/>
        </w:rPr>
        <w:t>in both groups</w:t>
      </w:r>
      <w:r>
        <w:rPr>
          <w:rFonts w:ascii="Arial" w:eastAsiaTheme="minorHAnsi" w:hAnsi="Arial" w:cs="Arial"/>
          <w:sz w:val="22"/>
          <w:szCs w:val="22"/>
          <w:lang w:val="en-US"/>
        </w:rPr>
        <w:t xml:space="preserve"> (A, D), </w:t>
      </w:r>
      <w:r w:rsidRPr="002E0EF7">
        <w:rPr>
          <w:rFonts w:ascii="Arial" w:hAnsi="Arial"/>
          <w:bCs/>
          <w:sz w:val="22"/>
          <w:szCs w:val="22"/>
          <w:lang w:val="en-US"/>
        </w:rPr>
        <w:t xml:space="preserve">but </w:t>
      </w:r>
      <w:r w:rsidRPr="00D64FEE">
        <w:rPr>
          <w:rFonts w:ascii="Arial" w:hAnsi="Arial"/>
          <w:bCs/>
          <w:sz w:val="22"/>
          <w:szCs w:val="22"/>
          <w:lang w:val="en-US"/>
        </w:rPr>
        <w:t>fasted fed mice had significantly greater response in Ct.Th of the right tibiae</w:t>
      </w:r>
      <w:r>
        <w:rPr>
          <w:rFonts w:ascii="Arial" w:hAnsi="Arial"/>
          <w:bCs/>
          <w:sz w:val="22"/>
          <w:szCs w:val="22"/>
          <w:lang w:val="en-US"/>
        </w:rPr>
        <w:t xml:space="preserve"> compared with that of the fed mice </w:t>
      </w:r>
      <w:r>
        <w:rPr>
          <w:rFonts w:ascii="Arial" w:eastAsiaTheme="minorHAnsi" w:hAnsi="Arial" w:cs="Arial"/>
          <w:sz w:val="22"/>
          <w:szCs w:val="22"/>
          <w:lang w:val="en-US"/>
        </w:rPr>
        <w:t>(D)</w:t>
      </w:r>
      <w:r w:rsidRPr="002E0EF7">
        <w:rPr>
          <w:rFonts w:ascii="Arial" w:eastAsiaTheme="minorHAnsi" w:hAnsi="Arial" w:cs="Arial"/>
          <w:sz w:val="22"/>
          <w:szCs w:val="22"/>
          <w:lang w:val="en-US"/>
        </w:rPr>
        <w:t>.</w:t>
      </w:r>
      <w:r>
        <w:rPr>
          <w:rFonts w:ascii="Arial" w:eastAsiaTheme="minorHAnsi" w:hAnsi="Arial" w:cs="Arial"/>
          <w:sz w:val="22"/>
          <w:szCs w:val="22"/>
          <w:lang w:val="en-US"/>
        </w:rPr>
        <w:t xml:space="preserve"> There were</w:t>
      </w:r>
      <w:r w:rsidRPr="004D06C6">
        <w:rPr>
          <w:rFonts w:ascii="Arial" w:eastAsiaTheme="minorHAnsi" w:hAnsi="Arial" w:cs="Arial"/>
          <w:sz w:val="22"/>
          <w:szCs w:val="22"/>
          <w:lang w:val="en-US"/>
        </w:rPr>
        <w:t xml:space="preserve"> no significant </w:t>
      </w:r>
      <w:r>
        <w:rPr>
          <w:rFonts w:ascii="Arial" w:eastAsiaTheme="minorHAnsi" w:hAnsi="Arial" w:cs="Arial"/>
          <w:sz w:val="22"/>
          <w:szCs w:val="22"/>
          <w:lang w:val="en-US"/>
        </w:rPr>
        <w:t>differences</w:t>
      </w:r>
      <w:r w:rsidRPr="004D06C6">
        <w:rPr>
          <w:rFonts w:ascii="Arial" w:eastAsiaTheme="minorHAnsi" w:hAnsi="Arial" w:cs="Arial"/>
          <w:sz w:val="22"/>
          <w:szCs w:val="22"/>
          <w:lang w:val="en-US"/>
        </w:rPr>
        <w:t xml:space="preserve"> </w:t>
      </w:r>
      <w:r>
        <w:rPr>
          <w:rFonts w:ascii="Arial" w:eastAsiaTheme="minorHAnsi" w:hAnsi="Arial" w:cs="Arial"/>
          <w:sz w:val="22"/>
          <w:szCs w:val="22"/>
          <w:lang w:val="en-US"/>
        </w:rPr>
        <w:t>in Tt.Ar and Ma.Ar</w:t>
      </w:r>
      <w:r w:rsidRPr="004D06C6">
        <w:rPr>
          <w:rFonts w:ascii="Arial" w:eastAsiaTheme="minorHAnsi" w:hAnsi="Arial" w:cs="Arial"/>
          <w:sz w:val="22"/>
          <w:szCs w:val="22"/>
          <w:lang w:val="en-US"/>
        </w:rPr>
        <w:t xml:space="preserve"> measured within and between the experimental groups</w:t>
      </w:r>
      <w:r>
        <w:rPr>
          <w:rFonts w:ascii="Arial" w:eastAsiaTheme="minorHAnsi" w:hAnsi="Arial" w:cs="Arial"/>
          <w:sz w:val="22"/>
          <w:szCs w:val="22"/>
          <w:lang w:val="en-US"/>
        </w:rPr>
        <w:t xml:space="preserve"> (B, C)</w:t>
      </w:r>
      <w:r>
        <w:rPr>
          <w:rFonts w:ascii="Arial" w:hAnsi="Arial"/>
          <w:bCs/>
          <w:sz w:val="22"/>
          <w:szCs w:val="22"/>
          <w:lang w:val="en-US"/>
        </w:rPr>
        <w:t xml:space="preserve">. </w:t>
      </w:r>
      <w:r>
        <w:rPr>
          <w:rFonts w:ascii="Arial" w:eastAsiaTheme="minorHAnsi" w:hAnsi="Arial" w:cs="Arial"/>
          <w:sz w:val="22"/>
          <w:szCs w:val="22"/>
          <w:lang w:val="en-US"/>
        </w:rPr>
        <w:t>Bars represent mean</w:t>
      </w:r>
      <w:r w:rsidRPr="004D06C6">
        <w:rPr>
          <w:rFonts w:ascii="Arial" w:eastAsia="MS Gothic" w:hAnsi="Arial" w:cs="Arial"/>
          <w:sz w:val="22"/>
          <w:szCs w:val="22"/>
        </w:rPr>
        <w:t>±</w:t>
      </w:r>
      <w:r w:rsidRPr="004D06C6">
        <w:rPr>
          <w:rFonts w:ascii="Arial" w:eastAsiaTheme="minorHAnsi" w:hAnsi="Arial" w:cs="Arial"/>
          <w:sz w:val="22"/>
          <w:szCs w:val="22"/>
          <w:lang w:val="en-US"/>
        </w:rPr>
        <w:t xml:space="preserve">SE. </w:t>
      </w:r>
      <w:r>
        <w:rPr>
          <w:rFonts w:ascii="Arial" w:eastAsiaTheme="minorHAnsi" w:hAnsi="Arial" w:cs="Arial"/>
          <w:sz w:val="22"/>
          <w:szCs w:val="22"/>
          <w:lang w:val="en-US"/>
        </w:rPr>
        <w:t xml:space="preserve">* </w:t>
      </w:r>
      <w:proofErr w:type="gramStart"/>
      <w:r>
        <w:rPr>
          <w:rFonts w:ascii="Arial" w:eastAsiaTheme="minorHAnsi" w:hAnsi="Arial" w:cs="Arial"/>
          <w:sz w:val="22"/>
          <w:szCs w:val="22"/>
          <w:lang w:val="en-US"/>
        </w:rPr>
        <w:t>p</w:t>
      </w:r>
      <w:proofErr w:type="gramEnd"/>
      <w:r>
        <w:rPr>
          <w:rFonts w:ascii="Arial" w:eastAsiaTheme="minorHAnsi" w:hAnsi="Arial" w:cs="Arial"/>
          <w:sz w:val="22"/>
          <w:szCs w:val="22"/>
          <w:lang w:val="en-US"/>
        </w:rPr>
        <w:t>&lt;0.05, ** p&lt;0.01, *** p&lt;0.001, **** p&lt;0.0001</w:t>
      </w:r>
    </w:p>
    <w:p w14:paraId="656D2116" w14:textId="77777777" w:rsidR="00E56E65" w:rsidRPr="00C8566F" w:rsidRDefault="00E56E65" w:rsidP="00C8566F">
      <w:pPr>
        <w:pStyle w:val="Heading3"/>
        <w:spacing w:line="480" w:lineRule="auto"/>
        <w:jc w:val="both"/>
        <w:rPr>
          <w:rFonts w:ascii="Arial" w:hAnsi="Arial" w:cs="Arial"/>
          <w:color w:val="auto"/>
        </w:rPr>
      </w:pPr>
      <w:bookmarkStart w:id="100" w:name="_Toc383723894"/>
      <w:r w:rsidRPr="00C8566F">
        <w:rPr>
          <w:rFonts w:ascii="Arial" w:hAnsi="Arial" w:cs="Arial"/>
          <w:color w:val="auto"/>
        </w:rPr>
        <w:lastRenderedPageBreak/>
        <w:t>4.2.2</w:t>
      </w:r>
      <w:r w:rsidR="00530E52">
        <w:rPr>
          <w:rFonts w:ascii="Arial" w:hAnsi="Arial" w:cs="Arial"/>
          <w:color w:val="auto"/>
        </w:rPr>
        <w:t xml:space="preserve"> Rate and extent</w:t>
      </w:r>
      <w:r w:rsidR="00BA39E0">
        <w:rPr>
          <w:rFonts w:ascii="Arial" w:hAnsi="Arial" w:cs="Arial"/>
          <w:color w:val="auto"/>
        </w:rPr>
        <w:t xml:space="preserve"> of the minerali</w:t>
      </w:r>
      <w:r w:rsidRPr="00C8566F">
        <w:rPr>
          <w:rFonts w:ascii="Arial" w:hAnsi="Arial" w:cs="Arial"/>
          <w:color w:val="auto"/>
        </w:rPr>
        <w:t>sation induced by maximal mechanical loading of fed or fed for 2 hours followi</w:t>
      </w:r>
      <w:r w:rsidR="00F97D67">
        <w:rPr>
          <w:rFonts w:ascii="Arial" w:hAnsi="Arial" w:cs="Arial"/>
          <w:color w:val="auto"/>
        </w:rPr>
        <w:t>ng overnight fast</w:t>
      </w:r>
      <w:r w:rsidR="0051028A">
        <w:rPr>
          <w:rFonts w:ascii="Arial" w:hAnsi="Arial" w:cs="Arial"/>
          <w:color w:val="auto"/>
        </w:rPr>
        <w:t xml:space="preserve"> young </w:t>
      </w:r>
      <w:r w:rsidRPr="00C8566F">
        <w:rPr>
          <w:rFonts w:ascii="Arial" w:hAnsi="Arial" w:cs="Arial"/>
          <w:color w:val="auto"/>
        </w:rPr>
        <w:t>mice</w:t>
      </w:r>
      <w:bookmarkEnd w:id="100"/>
    </w:p>
    <w:p w14:paraId="269B2A7A" w14:textId="77777777" w:rsidR="00E56E65" w:rsidRPr="00194482" w:rsidRDefault="00E56E65" w:rsidP="00E56E65"/>
    <w:p w14:paraId="29B949DC" w14:textId="77777777" w:rsidR="00E56E65" w:rsidRDefault="00E56E65" w:rsidP="00E56E65">
      <w:pPr>
        <w:spacing w:line="480" w:lineRule="auto"/>
        <w:jc w:val="both"/>
        <w:rPr>
          <w:rFonts w:ascii="Arial" w:hAnsi="Arial" w:cs="Arial"/>
        </w:rPr>
      </w:pPr>
      <w:r>
        <w:rPr>
          <w:rFonts w:ascii="Arial" w:hAnsi="Arial" w:cs="Arial"/>
        </w:rPr>
        <w:t>Double calcein labels, injected 14 and 2 days prior the euthanasia, can be visualised on both periosteal and endocortical surfaces of the mid-shaft of young male mice tibiae usi</w:t>
      </w:r>
      <w:r w:rsidR="00BE5577">
        <w:rPr>
          <w:rFonts w:ascii="Arial" w:hAnsi="Arial" w:cs="Arial"/>
        </w:rPr>
        <w:t>ng confocal microscope (Figure 31</w:t>
      </w:r>
      <w:r>
        <w:rPr>
          <w:rFonts w:ascii="Arial" w:hAnsi="Arial" w:cs="Arial"/>
        </w:rPr>
        <w:t>). Calcein labels on periosteal and endocortical surfaces were measured to calculate bone formation parameters including total mineralising surface (MS), mineral apposition rate (MAR) and bone formation rate (BFR/BS). The quantitativ</w:t>
      </w:r>
      <w:r w:rsidR="00261C46">
        <w:rPr>
          <w:rFonts w:ascii="Arial" w:hAnsi="Arial" w:cs="Arial"/>
        </w:rPr>
        <w:t>e data are summarised in Table 3</w:t>
      </w:r>
      <w:r>
        <w:rPr>
          <w:rFonts w:ascii="Arial" w:hAnsi="Arial" w:cs="Arial"/>
        </w:rPr>
        <w:t>. All three parameters were significantly increased in the loaded tibiae of fasted 2 hours fed mice compared with the no</w:t>
      </w:r>
      <w:r w:rsidR="004E2BB4">
        <w:rPr>
          <w:rFonts w:ascii="Arial" w:hAnsi="Arial" w:cs="Arial"/>
        </w:rPr>
        <w:t xml:space="preserve">n-loaded control tibiae. </w:t>
      </w:r>
      <w:r>
        <w:rPr>
          <w:rFonts w:ascii="Arial" w:hAnsi="Arial" w:cs="Arial"/>
        </w:rPr>
        <w:t>MS and MAR were significantly increased in loaded tibiae of fed mice compared with the non-loaded controls, however, BFR/BS in loaded right tibiae of fed mice increased but not significantly from the</w:t>
      </w:r>
      <w:r w:rsidR="004E2BB4">
        <w:rPr>
          <w:rFonts w:ascii="Arial" w:hAnsi="Arial" w:cs="Arial"/>
        </w:rPr>
        <w:t xml:space="preserve"> left non-loaded tibiae (Table 3</w:t>
      </w:r>
      <w:r>
        <w:rPr>
          <w:rFonts w:ascii="Arial" w:hAnsi="Arial" w:cs="Arial"/>
        </w:rPr>
        <w:t xml:space="preserve">). </w:t>
      </w:r>
    </w:p>
    <w:p w14:paraId="445357F6" w14:textId="77777777" w:rsidR="00E56E65" w:rsidRDefault="00E56E65" w:rsidP="00E56E65">
      <w:pPr>
        <w:spacing w:line="480" w:lineRule="auto"/>
        <w:jc w:val="both"/>
        <w:rPr>
          <w:rFonts w:ascii="Arial" w:hAnsi="Arial" w:cs="Arial"/>
        </w:rPr>
      </w:pPr>
    </w:p>
    <w:p w14:paraId="4C624671" w14:textId="77777777" w:rsidR="00E56E65" w:rsidRDefault="00E56E65" w:rsidP="00E56E65">
      <w:pPr>
        <w:spacing w:line="480" w:lineRule="auto"/>
        <w:jc w:val="both"/>
        <w:rPr>
          <w:rFonts w:ascii="Arial" w:hAnsi="Arial" w:cs="Arial"/>
        </w:rPr>
      </w:pPr>
      <w:r>
        <w:rPr>
          <w:rFonts w:ascii="Arial" w:hAnsi="Arial" w:cs="Arial"/>
        </w:rPr>
        <w:t>To determine whether the response of the loaded tibiae were different between fed and fasted fed groups, the change in bone formation parameters of the right tibiae compared to the contralateral non-loaded le</w:t>
      </w:r>
      <w:r w:rsidR="00FA7940">
        <w:rPr>
          <w:rFonts w:ascii="Arial" w:hAnsi="Arial" w:cs="Arial"/>
        </w:rPr>
        <w:t>ft tibiae was analysed (Figure 32</w:t>
      </w:r>
      <w:r>
        <w:rPr>
          <w:rFonts w:ascii="Arial" w:hAnsi="Arial" w:cs="Arial"/>
        </w:rPr>
        <w:t xml:space="preserve">). Consistent with the </w:t>
      </w:r>
      <w:r w:rsidRPr="00D415A0">
        <w:rPr>
          <w:rFonts w:ascii="Arial" w:hAnsi="Arial" w:cs="Arial"/>
          <w:color w:val="000000" w:themeColor="text1"/>
        </w:rPr>
        <w:sym w:font="Symbol" w:char="F06D"/>
      </w:r>
      <w:r w:rsidRPr="00D415A0">
        <w:rPr>
          <w:rFonts w:ascii="Arial" w:hAnsi="Arial" w:cs="Arial"/>
          <w:color w:val="000000" w:themeColor="text1"/>
        </w:rPr>
        <w:t>CT</w:t>
      </w:r>
      <w:r w:rsidRPr="00883196">
        <w:rPr>
          <w:rFonts w:ascii="Arial" w:hAnsi="Arial" w:cs="Arial"/>
          <w:color w:val="000000" w:themeColor="text1"/>
          <w:sz w:val="22"/>
          <w:szCs w:val="22"/>
        </w:rPr>
        <w:t xml:space="preserve"> </w:t>
      </w:r>
      <w:r w:rsidRPr="00D415A0">
        <w:rPr>
          <w:rFonts w:ascii="Arial" w:hAnsi="Arial" w:cs="Arial"/>
          <w:color w:val="000000" w:themeColor="text1"/>
        </w:rPr>
        <w:t>analysis</w:t>
      </w:r>
      <w:r>
        <w:rPr>
          <w:rFonts w:ascii="Arial" w:hAnsi="Arial" w:cs="Arial"/>
          <w:color w:val="000000" w:themeColor="text1"/>
        </w:rPr>
        <w:t>,</w:t>
      </w:r>
      <w:r>
        <w:rPr>
          <w:rFonts w:ascii="Arial" w:hAnsi="Arial" w:cs="Arial"/>
          <w:color w:val="000000" w:themeColor="text1"/>
          <w:sz w:val="22"/>
          <w:szCs w:val="22"/>
        </w:rPr>
        <w:t xml:space="preserve"> </w:t>
      </w:r>
      <w:r>
        <w:rPr>
          <w:rFonts w:ascii="Arial" w:hAnsi="Arial" w:cs="Arial"/>
        </w:rPr>
        <w:t>there was significant increase in loaded ti</w:t>
      </w:r>
      <w:r w:rsidR="00FA7940">
        <w:rPr>
          <w:rFonts w:ascii="Arial" w:hAnsi="Arial" w:cs="Arial"/>
        </w:rPr>
        <w:t>biae MAR and BFR/BS of fasted 2-hour</w:t>
      </w:r>
      <w:r>
        <w:rPr>
          <w:rFonts w:ascii="Arial" w:hAnsi="Arial" w:cs="Arial"/>
        </w:rPr>
        <w:t xml:space="preserve"> fed mice compared with that of loaded tibiae of fed mice (MAR: </w:t>
      </w:r>
      <w:r w:rsidRPr="009F7750">
        <w:rPr>
          <w:rFonts w:ascii="Arial" w:hAnsi="Arial" w:cs="Arial"/>
        </w:rPr>
        <w:t>4.</w:t>
      </w:r>
      <w:r>
        <w:rPr>
          <w:rFonts w:ascii="Arial" w:hAnsi="Arial" w:cs="Arial"/>
        </w:rPr>
        <w:t>83</w:t>
      </w:r>
      <w:r>
        <w:rPr>
          <w:rFonts w:ascii="Arial" w:hAnsi="Arial" w:cs="Arial"/>
          <w:color w:val="000000"/>
        </w:rPr>
        <w:t xml:space="preserve">±0.89µm/d versus </w:t>
      </w:r>
      <w:r>
        <w:rPr>
          <w:rFonts w:ascii="Arial" w:hAnsi="Arial" w:cs="Arial"/>
        </w:rPr>
        <w:t>1.68</w:t>
      </w:r>
      <w:r>
        <w:rPr>
          <w:rFonts w:ascii="Arial" w:hAnsi="Arial" w:cs="Arial"/>
          <w:color w:val="000000"/>
        </w:rPr>
        <w:t>±0.18</w:t>
      </w:r>
      <w:r w:rsidRPr="009F7750">
        <w:rPr>
          <w:rFonts w:ascii="Arial" w:hAnsi="Arial" w:cs="Arial"/>
          <w:color w:val="000000"/>
        </w:rPr>
        <w:t>µm</w:t>
      </w:r>
      <w:r>
        <w:rPr>
          <w:rFonts w:ascii="Arial" w:hAnsi="Arial" w:cs="Arial"/>
          <w:color w:val="000000"/>
        </w:rPr>
        <w:t xml:space="preserve">/d, </w:t>
      </w:r>
      <w:r w:rsidRPr="009F7750">
        <w:rPr>
          <w:rFonts w:ascii="Arial" w:hAnsi="Arial" w:cs="Arial"/>
        </w:rPr>
        <w:t>p</w:t>
      </w:r>
      <w:r>
        <w:rPr>
          <w:rFonts w:ascii="Arial" w:hAnsi="Arial" w:cs="Arial"/>
        </w:rPr>
        <w:t xml:space="preserve">&lt;0.01; BFR/BS: </w:t>
      </w:r>
      <w:r w:rsidRPr="009F7750">
        <w:rPr>
          <w:rFonts w:ascii="Arial" w:hAnsi="Arial" w:cs="Arial"/>
        </w:rPr>
        <w:t>3.5</w:t>
      </w:r>
      <w:r w:rsidR="00CF55DD">
        <w:rPr>
          <w:rFonts w:ascii="Arial" w:hAnsi="Arial" w:cs="Arial"/>
        </w:rPr>
        <w:t>5</w:t>
      </w:r>
      <w:r w:rsidRPr="009F7750">
        <w:rPr>
          <w:rFonts w:ascii="Arial" w:hAnsi="Arial" w:cs="Arial"/>
          <w:color w:val="000000"/>
        </w:rPr>
        <w:t>±0.8</w:t>
      </w:r>
      <w:r>
        <w:rPr>
          <w:rFonts w:ascii="Arial" w:hAnsi="Arial" w:cs="Arial"/>
          <w:color w:val="000000"/>
        </w:rPr>
        <w:t>5µm</w:t>
      </w:r>
      <w:r w:rsidRPr="00DD6F9B">
        <w:rPr>
          <w:rFonts w:ascii="Arial" w:hAnsi="Arial" w:cs="Arial"/>
          <w:color w:val="000000"/>
          <w:vertAlign w:val="superscript"/>
        </w:rPr>
        <w:t>3</w:t>
      </w:r>
      <w:r>
        <w:rPr>
          <w:rFonts w:ascii="Arial" w:hAnsi="Arial" w:cs="Arial"/>
          <w:color w:val="000000"/>
        </w:rPr>
        <w:t>/µm</w:t>
      </w:r>
      <w:r w:rsidRPr="00DD6F9B">
        <w:rPr>
          <w:rFonts w:ascii="Arial" w:hAnsi="Arial" w:cs="Arial"/>
          <w:color w:val="000000"/>
          <w:vertAlign w:val="superscript"/>
        </w:rPr>
        <w:t>2</w:t>
      </w:r>
      <w:r>
        <w:rPr>
          <w:rFonts w:ascii="Arial" w:hAnsi="Arial" w:cs="Arial"/>
          <w:color w:val="000000"/>
        </w:rPr>
        <w:t xml:space="preserve">/d versus </w:t>
      </w:r>
      <w:r>
        <w:rPr>
          <w:rFonts w:ascii="Arial" w:hAnsi="Arial" w:cs="Arial"/>
        </w:rPr>
        <w:t>0.92</w:t>
      </w:r>
      <w:r>
        <w:rPr>
          <w:rFonts w:ascii="Arial" w:hAnsi="Arial" w:cs="Arial"/>
          <w:color w:val="000000"/>
        </w:rPr>
        <w:t>±0.09µm</w:t>
      </w:r>
      <w:r w:rsidRPr="00DD6F9B">
        <w:rPr>
          <w:rFonts w:ascii="Arial" w:hAnsi="Arial" w:cs="Arial"/>
          <w:color w:val="000000"/>
          <w:vertAlign w:val="superscript"/>
        </w:rPr>
        <w:t>3</w:t>
      </w:r>
      <w:r>
        <w:rPr>
          <w:rFonts w:ascii="Arial" w:hAnsi="Arial" w:cs="Arial"/>
          <w:color w:val="000000"/>
        </w:rPr>
        <w:t>/µm</w:t>
      </w:r>
      <w:r w:rsidRPr="00DD6F9B">
        <w:rPr>
          <w:rFonts w:ascii="Arial" w:hAnsi="Arial" w:cs="Arial"/>
          <w:color w:val="000000"/>
          <w:vertAlign w:val="superscript"/>
        </w:rPr>
        <w:t>2</w:t>
      </w:r>
      <w:r>
        <w:rPr>
          <w:rFonts w:ascii="Arial" w:hAnsi="Arial" w:cs="Arial"/>
          <w:color w:val="000000"/>
        </w:rPr>
        <w:t>/d</w:t>
      </w:r>
      <w:r>
        <w:rPr>
          <w:rFonts w:ascii="Arial" w:hAnsi="Arial" w:cs="Arial"/>
        </w:rPr>
        <w:t xml:space="preserve">, </w:t>
      </w:r>
      <w:r w:rsidRPr="009F7750">
        <w:rPr>
          <w:rFonts w:ascii="Arial" w:hAnsi="Arial" w:cs="Arial"/>
        </w:rPr>
        <w:t>p</w:t>
      </w:r>
      <w:r>
        <w:rPr>
          <w:rFonts w:ascii="Arial" w:hAnsi="Arial" w:cs="Arial"/>
        </w:rPr>
        <w:t>&lt;0.01)</w:t>
      </w:r>
      <w:r w:rsidR="00FA7940" w:rsidRPr="00FA7940">
        <w:rPr>
          <w:rFonts w:ascii="Arial" w:hAnsi="Arial" w:cs="Arial"/>
        </w:rPr>
        <w:t xml:space="preserve"> </w:t>
      </w:r>
      <w:r w:rsidR="00FA7940">
        <w:rPr>
          <w:rFonts w:ascii="Arial" w:hAnsi="Arial" w:cs="Arial"/>
        </w:rPr>
        <w:t>(Figure 32B, C).</w:t>
      </w:r>
      <w:r>
        <w:rPr>
          <w:rFonts w:ascii="Arial" w:hAnsi="Arial" w:cs="Arial"/>
        </w:rPr>
        <w:t xml:space="preserve"> MS in the right tibiae of fasted fed mice increased compared to the loaded tibiae of fed mice, but did not reach statistical significance (0.75</w:t>
      </w:r>
      <w:r w:rsidRPr="009F7750">
        <w:rPr>
          <w:rFonts w:ascii="Arial" w:hAnsi="Arial" w:cs="Arial"/>
          <w:color w:val="000000"/>
        </w:rPr>
        <w:t>±</w:t>
      </w:r>
      <w:r>
        <w:rPr>
          <w:rFonts w:ascii="Arial" w:hAnsi="Arial" w:cs="Arial"/>
          <w:color w:val="000000"/>
        </w:rPr>
        <w:t>0.13% versus 0.48</w:t>
      </w:r>
      <w:r w:rsidRPr="009F7750">
        <w:rPr>
          <w:rFonts w:ascii="Arial" w:hAnsi="Arial" w:cs="Arial"/>
          <w:color w:val="000000"/>
        </w:rPr>
        <w:t>±</w:t>
      </w:r>
      <w:r>
        <w:rPr>
          <w:rFonts w:ascii="Arial" w:hAnsi="Arial" w:cs="Arial"/>
          <w:color w:val="000000"/>
        </w:rPr>
        <w:t>0.05%, p&gt;0.05</w:t>
      </w:r>
      <w:r>
        <w:rPr>
          <w:rFonts w:ascii="Arial" w:hAnsi="Arial" w:cs="Arial"/>
        </w:rPr>
        <w:t>) (Figur</w:t>
      </w:r>
      <w:r w:rsidR="00FA7940">
        <w:rPr>
          <w:rFonts w:ascii="Arial" w:hAnsi="Arial" w:cs="Arial"/>
        </w:rPr>
        <w:t>e 32A</w:t>
      </w:r>
      <w:r>
        <w:rPr>
          <w:rFonts w:ascii="Arial" w:hAnsi="Arial" w:cs="Arial"/>
        </w:rPr>
        <w:t xml:space="preserve">). </w:t>
      </w:r>
    </w:p>
    <w:p w14:paraId="7135413A" w14:textId="77777777" w:rsidR="00E56E65" w:rsidRDefault="00E56E65" w:rsidP="00E56E65">
      <w:pPr>
        <w:spacing w:line="480" w:lineRule="auto"/>
        <w:jc w:val="both"/>
        <w:rPr>
          <w:rFonts w:ascii="Arial" w:hAnsi="Arial" w:cs="Arial"/>
        </w:rPr>
      </w:pPr>
    </w:p>
    <w:p w14:paraId="231448A8" w14:textId="77777777" w:rsidR="00E56E65" w:rsidRDefault="00E56E65" w:rsidP="00E56E65">
      <w:pPr>
        <w:spacing w:line="480" w:lineRule="auto"/>
        <w:jc w:val="both"/>
        <w:rPr>
          <w:rFonts w:ascii="Arial" w:hAnsi="Arial" w:cs="Arial"/>
        </w:rPr>
      </w:pPr>
    </w:p>
    <w:p w14:paraId="5C340ECD" w14:textId="77777777" w:rsidR="00E56E65" w:rsidRDefault="00E56E65" w:rsidP="00E56E65">
      <w:pPr>
        <w:spacing w:line="480" w:lineRule="auto"/>
        <w:jc w:val="both"/>
        <w:rPr>
          <w:rFonts w:ascii="Arial" w:hAnsi="Arial" w:cs="Arial"/>
        </w:rPr>
      </w:pPr>
    </w:p>
    <w:p w14:paraId="5428AA09" w14:textId="77777777" w:rsidR="00E56E65" w:rsidRDefault="00E56E65" w:rsidP="00E56E65">
      <w:pPr>
        <w:rPr>
          <w:rFonts w:ascii="Arial" w:hAnsi="Arial" w:cs="Arial"/>
        </w:rPr>
      </w:pPr>
    </w:p>
    <w:p w14:paraId="370FF3C3" w14:textId="77777777" w:rsidR="00500289" w:rsidRDefault="00500289" w:rsidP="00E56E65">
      <w:pPr>
        <w:rPr>
          <w:rFonts w:ascii="Arial" w:hAnsi="Arial" w:cs="Arial"/>
        </w:rPr>
      </w:pPr>
    </w:p>
    <w:p w14:paraId="7A07472B" w14:textId="77777777" w:rsidR="00FF6B87" w:rsidRDefault="00500289" w:rsidP="00B96A4A">
      <w:pPr>
        <w:rPr>
          <w:rFonts w:ascii="Arial" w:hAnsi="Arial" w:cs="Arial"/>
        </w:rPr>
      </w:pPr>
      <w:r w:rsidRPr="00500289">
        <w:rPr>
          <w:rFonts w:ascii="Arial" w:hAnsi="Arial" w:cs="Arial"/>
          <w:noProof/>
          <w:lang w:val="en-US"/>
        </w:rPr>
        <w:drawing>
          <wp:inline distT="0" distB="0" distL="0" distR="0" wp14:anchorId="4A3C577A" wp14:editId="07F4C482">
            <wp:extent cx="5488510" cy="4395275"/>
            <wp:effectExtent l="0" t="0" r="0" b="0"/>
            <wp:docPr id="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88510" cy="4395275"/>
                    </a:xfrm>
                    <a:prstGeom prst="rect">
                      <a:avLst/>
                    </a:prstGeom>
                    <a:noFill/>
                    <a:ln>
                      <a:noFill/>
                    </a:ln>
                  </pic:spPr>
                </pic:pic>
              </a:graphicData>
            </a:graphic>
          </wp:inline>
        </w:drawing>
      </w:r>
    </w:p>
    <w:p w14:paraId="044239D5" w14:textId="77777777" w:rsidR="00B96A4A" w:rsidRDefault="00B96A4A" w:rsidP="00B96A4A">
      <w:pPr>
        <w:rPr>
          <w:rFonts w:ascii="Arial" w:hAnsi="Arial" w:cs="Arial"/>
        </w:rPr>
      </w:pPr>
    </w:p>
    <w:p w14:paraId="7BB14192" w14:textId="77777777" w:rsidR="00B96A4A" w:rsidRPr="00B96A4A" w:rsidRDefault="00B96A4A" w:rsidP="00B96A4A">
      <w:pPr>
        <w:rPr>
          <w:rFonts w:ascii="Arial" w:hAnsi="Arial" w:cs="Arial"/>
        </w:rPr>
      </w:pPr>
    </w:p>
    <w:p w14:paraId="5A2D69C9" w14:textId="77777777" w:rsidR="00E56E65" w:rsidRPr="00FF6B87" w:rsidRDefault="00BE5577" w:rsidP="00FF6B87">
      <w:pPr>
        <w:pStyle w:val="Caption"/>
        <w:spacing w:line="360" w:lineRule="auto"/>
        <w:jc w:val="both"/>
        <w:rPr>
          <w:rFonts w:ascii="Arial" w:hAnsi="Arial" w:cs="Arial"/>
          <w:color w:val="244061" w:themeColor="accent1" w:themeShade="80"/>
          <w:sz w:val="24"/>
          <w:szCs w:val="24"/>
        </w:rPr>
      </w:pPr>
      <w:bookmarkStart w:id="101" w:name="_Toc383544622"/>
      <w:r w:rsidRPr="00FF6B87">
        <w:rPr>
          <w:rFonts w:ascii="Arial" w:hAnsi="Arial" w:cs="Arial"/>
          <w:color w:val="244061" w:themeColor="accent1" w:themeShade="80"/>
          <w:sz w:val="24"/>
          <w:szCs w:val="24"/>
        </w:rPr>
        <w:t xml:space="preserve">Figure </w:t>
      </w:r>
      <w:r w:rsidRPr="00FF6B87">
        <w:rPr>
          <w:rFonts w:ascii="Arial" w:hAnsi="Arial" w:cs="Arial"/>
          <w:color w:val="244061" w:themeColor="accent1" w:themeShade="80"/>
          <w:sz w:val="24"/>
          <w:szCs w:val="24"/>
        </w:rPr>
        <w:fldChar w:fldCharType="begin"/>
      </w:r>
      <w:r w:rsidRPr="00FF6B87">
        <w:rPr>
          <w:rFonts w:ascii="Arial" w:hAnsi="Arial" w:cs="Arial"/>
          <w:color w:val="244061" w:themeColor="accent1" w:themeShade="80"/>
          <w:sz w:val="24"/>
          <w:szCs w:val="24"/>
        </w:rPr>
        <w:instrText xml:space="preserve"> SEQ Figure \* ARABIC </w:instrText>
      </w:r>
      <w:r w:rsidRPr="00FF6B87">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31</w:t>
      </w:r>
      <w:r w:rsidRPr="00FF6B87">
        <w:rPr>
          <w:rFonts w:ascii="Arial" w:hAnsi="Arial" w:cs="Arial"/>
          <w:color w:val="244061" w:themeColor="accent1" w:themeShade="80"/>
          <w:sz w:val="24"/>
          <w:szCs w:val="24"/>
        </w:rPr>
        <w:fldChar w:fldCharType="end"/>
      </w:r>
      <w:r w:rsidR="00FF6B87" w:rsidRPr="00FF6B87">
        <w:rPr>
          <w:rFonts w:ascii="Arial" w:hAnsi="Arial" w:cs="Arial"/>
          <w:color w:val="244061" w:themeColor="accent1" w:themeShade="80"/>
          <w:sz w:val="24"/>
          <w:szCs w:val="24"/>
        </w:rPr>
        <w:t xml:space="preserve"> </w:t>
      </w:r>
      <w:r w:rsidR="00E56E65" w:rsidRPr="00FF6B87">
        <w:rPr>
          <w:rFonts w:ascii="Arial" w:hAnsi="Arial" w:cs="Arial"/>
          <w:bCs w:val="0"/>
          <w:color w:val="244061" w:themeColor="accent1" w:themeShade="80"/>
          <w:sz w:val="24"/>
          <w:szCs w:val="24"/>
          <w:lang w:val="en-US"/>
        </w:rPr>
        <w:t xml:space="preserve">Transverse cortical bone confocal microscope images from the mid-shaft of left </w:t>
      </w:r>
      <w:r w:rsidR="001F5E17">
        <w:rPr>
          <w:rFonts w:ascii="Arial" w:hAnsi="Arial" w:cs="Arial"/>
          <w:bCs w:val="0"/>
          <w:color w:val="244061" w:themeColor="accent1" w:themeShade="80"/>
          <w:sz w:val="24"/>
          <w:szCs w:val="24"/>
          <w:lang w:val="en-US"/>
        </w:rPr>
        <w:t>non-loaded (</w:t>
      </w:r>
      <w:r w:rsidR="00E56E65" w:rsidRPr="00FF6B87">
        <w:rPr>
          <w:rFonts w:ascii="Arial" w:hAnsi="Arial" w:cs="Arial"/>
          <w:bCs w:val="0"/>
          <w:color w:val="244061" w:themeColor="accent1" w:themeShade="80"/>
          <w:sz w:val="24"/>
          <w:szCs w:val="24"/>
          <w:lang w:val="en-US"/>
        </w:rPr>
        <w:t>control</w:t>
      </w:r>
      <w:r w:rsidR="001F5E17">
        <w:rPr>
          <w:rFonts w:ascii="Arial" w:hAnsi="Arial" w:cs="Arial"/>
          <w:bCs w:val="0"/>
          <w:color w:val="244061" w:themeColor="accent1" w:themeShade="80"/>
          <w:sz w:val="24"/>
          <w:szCs w:val="24"/>
          <w:lang w:val="en-US"/>
        </w:rPr>
        <w:t>)</w:t>
      </w:r>
      <w:r w:rsidR="00E56E65" w:rsidRPr="00FF6B87">
        <w:rPr>
          <w:rFonts w:ascii="Arial" w:hAnsi="Arial" w:cs="Arial"/>
          <w:bCs w:val="0"/>
          <w:color w:val="244061" w:themeColor="accent1" w:themeShade="80"/>
          <w:sz w:val="24"/>
          <w:szCs w:val="24"/>
          <w:lang w:val="en-US"/>
        </w:rPr>
        <w:t xml:space="preserve"> and right loaded tibiae of 19-week-old fed (top) or fed for 2 h</w:t>
      </w:r>
      <w:r w:rsidR="00F97D67">
        <w:rPr>
          <w:rFonts w:ascii="Arial" w:hAnsi="Arial" w:cs="Arial"/>
          <w:bCs w:val="0"/>
          <w:color w:val="244061" w:themeColor="accent1" w:themeShade="80"/>
          <w:sz w:val="24"/>
          <w:szCs w:val="24"/>
          <w:lang w:val="en-US"/>
        </w:rPr>
        <w:t>ours following overnight fast</w:t>
      </w:r>
      <w:r w:rsidR="00E56E65" w:rsidRPr="00FF6B87">
        <w:rPr>
          <w:rFonts w:ascii="Arial" w:hAnsi="Arial" w:cs="Arial"/>
          <w:bCs w:val="0"/>
          <w:color w:val="244061" w:themeColor="accent1" w:themeShade="80"/>
          <w:sz w:val="24"/>
          <w:szCs w:val="24"/>
          <w:lang w:val="en-US"/>
        </w:rPr>
        <w:t xml:space="preserve"> (bottom) male mice showing green double calcein labels</w:t>
      </w:r>
      <w:bookmarkEnd w:id="101"/>
    </w:p>
    <w:p w14:paraId="1B4025A7" w14:textId="77777777" w:rsidR="00E56E65" w:rsidRDefault="00E56E65" w:rsidP="00E56E65">
      <w:pPr>
        <w:spacing w:line="360" w:lineRule="auto"/>
        <w:jc w:val="both"/>
        <w:rPr>
          <w:rFonts w:ascii="Arial" w:hAnsi="Arial" w:cs="Arial"/>
          <w:sz w:val="22"/>
          <w:szCs w:val="22"/>
        </w:rPr>
      </w:pPr>
      <w:r>
        <w:rPr>
          <w:rFonts w:ascii="Arial" w:hAnsi="Arial" w:cs="Arial"/>
          <w:sz w:val="22"/>
          <w:szCs w:val="22"/>
        </w:rPr>
        <w:t>Calcein labelling was used to determine the bone formation on both endocortical and periosteal surfaces. Double calcein labels can be visualised on endocortical and periosteal surfaces of the loaded tibiae confirming new bone formation at these sites.</w:t>
      </w:r>
      <w:r w:rsidR="00FF6B87">
        <w:rPr>
          <w:rFonts w:ascii="Arial" w:hAnsi="Arial" w:cs="Arial"/>
          <w:sz w:val="22"/>
          <w:szCs w:val="22"/>
        </w:rPr>
        <w:t xml:space="preserve"> </w:t>
      </w:r>
      <w:r w:rsidRPr="00FE3E74">
        <w:rPr>
          <w:rFonts w:ascii="Arial" w:hAnsi="Arial" w:cs="Arial"/>
          <w:sz w:val="22"/>
          <w:szCs w:val="22"/>
        </w:rPr>
        <w:t>Scale bar = 200</w:t>
      </w:r>
      <w:r w:rsidRPr="00FE3E74">
        <w:rPr>
          <w:rFonts w:ascii="Arial" w:hAnsi="Arial" w:cs="Arial"/>
          <w:color w:val="000000" w:themeColor="text1"/>
          <w:sz w:val="22"/>
          <w:szCs w:val="22"/>
        </w:rPr>
        <w:sym w:font="Symbol" w:char="F06D"/>
      </w:r>
      <w:r w:rsidRPr="00FE3E74">
        <w:rPr>
          <w:rFonts w:ascii="Arial" w:hAnsi="Arial" w:cs="Arial"/>
          <w:sz w:val="22"/>
          <w:szCs w:val="22"/>
        </w:rPr>
        <w:t>m</w:t>
      </w:r>
    </w:p>
    <w:p w14:paraId="06F14526" w14:textId="77777777" w:rsidR="00E56E65" w:rsidRPr="00BF189B" w:rsidRDefault="00E56E65" w:rsidP="00E56E65">
      <w:pPr>
        <w:spacing w:line="360" w:lineRule="auto"/>
        <w:jc w:val="both"/>
        <w:rPr>
          <w:rFonts w:ascii="Arial" w:hAnsi="Arial" w:cs="Arial"/>
          <w:sz w:val="22"/>
          <w:szCs w:val="22"/>
        </w:rPr>
      </w:pPr>
    </w:p>
    <w:p w14:paraId="70F66F3C" w14:textId="77777777" w:rsidR="00E56E65" w:rsidRDefault="00E56E65" w:rsidP="00204988">
      <w:pPr>
        <w:pStyle w:val="TOCHeading"/>
      </w:pPr>
    </w:p>
    <w:p w14:paraId="391645FC" w14:textId="77777777" w:rsidR="00E56E65" w:rsidRPr="00767637" w:rsidRDefault="00E56E65" w:rsidP="00E56E65">
      <w:pPr>
        <w:spacing w:line="360" w:lineRule="auto"/>
        <w:jc w:val="both"/>
        <w:rPr>
          <w:rFonts w:ascii="Arial" w:eastAsiaTheme="minorHAnsi" w:hAnsi="Arial" w:cs="Arial"/>
          <w:b/>
          <w:bCs/>
          <w:color w:val="000000" w:themeColor="text1"/>
          <w:lang w:val="en-US"/>
        </w:rPr>
      </w:pPr>
    </w:p>
    <w:p w14:paraId="2687B1AF" w14:textId="77777777" w:rsidR="00E56E65" w:rsidRPr="00A00E7B" w:rsidRDefault="00E56E65" w:rsidP="00E56E65"/>
    <w:p w14:paraId="3EB857F2" w14:textId="77777777" w:rsidR="00FF6B87" w:rsidRDefault="00FF6B87" w:rsidP="00261C46">
      <w:pPr>
        <w:spacing w:line="360" w:lineRule="auto"/>
        <w:jc w:val="both"/>
      </w:pPr>
    </w:p>
    <w:p w14:paraId="4112C2CB" w14:textId="77777777" w:rsidR="00FF6B87" w:rsidRDefault="00FF6B87" w:rsidP="00261C46">
      <w:pPr>
        <w:spacing w:line="360" w:lineRule="auto"/>
        <w:jc w:val="both"/>
      </w:pPr>
    </w:p>
    <w:p w14:paraId="07C7C476" w14:textId="77777777" w:rsidR="00AC2F73" w:rsidRDefault="00AC2F73" w:rsidP="00261C46">
      <w:pPr>
        <w:spacing w:line="360" w:lineRule="auto"/>
        <w:jc w:val="both"/>
      </w:pPr>
    </w:p>
    <w:p w14:paraId="15C886C3" w14:textId="77777777" w:rsidR="003952A4" w:rsidRDefault="003952A4" w:rsidP="00295A37">
      <w:pPr>
        <w:spacing w:line="360" w:lineRule="auto"/>
        <w:jc w:val="both"/>
        <w:rPr>
          <w:rFonts w:ascii="Arial" w:hAnsi="Arial" w:cs="Arial"/>
          <w:b/>
          <w:color w:val="244061" w:themeColor="accent1" w:themeShade="80"/>
        </w:rPr>
      </w:pPr>
    </w:p>
    <w:p w14:paraId="48E69A8A" w14:textId="77777777" w:rsidR="00295A37" w:rsidRPr="004632C8" w:rsidRDefault="00261C46" w:rsidP="004632C8">
      <w:pPr>
        <w:pStyle w:val="Caption"/>
        <w:spacing w:line="360" w:lineRule="auto"/>
        <w:jc w:val="both"/>
        <w:rPr>
          <w:rFonts w:ascii="Arial" w:hAnsi="Arial"/>
          <w:color w:val="244061" w:themeColor="accent1" w:themeShade="80"/>
          <w:sz w:val="24"/>
          <w:szCs w:val="24"/>
        </w:rPr>
      </w:pPr>
      <w:bookmarkStart w:id="102" w:name="_Toc383545829"/>
      <w:r w:rsidRPr="004632C8">
        <w:rPr>
          <w:rFonts w:ascii="Arial" w:hAnsi="Arial"/>
          <w:color w:val="244061" w:themeColor="accent1" w:themeShade="80"/>
          <w:sz w:val="24"/>
          <w:szCs w:val="24"/>
        </w:rPr>
        <w:lastRenderedPageBreak/>
        <w:t>Table</w:t>
      </w:r>
      <w:r w:rsidR="00DE5BEE" w:rsidRPr="004632C8">
        <w:rPr>
          <w:rFonts w:ascii="Arial" w:hAnsi="Arial"/>
          <w:color w:val="244061" w:themeColor="accent1" w:themeShade="80"/>
          <w:sz w:val="24"/>
          <w:szCs w:val="24"/>
        </w:rPr>
        <w:t xml:space="preserve"> </w:t>
      </w:r>
      <w:r w:rsidRPr="004632C8">
        <w:rPr>
          <w:rFonts w:ascii="Arial" w:hAnsi="Arial"/>
          <w:color w:val="244061" w:themeColor="accent1" w:themeShade="80"/>
          <w:sz w:val="24"/>
          <w:szCs w:val="24"/>
        </w:rPr>
        <w:fldChar w:fldCharType="begin"/>
      </w:r>
      <w:r w:rsidRPr="004632C8">
        <w:rPr>
          <w:rFonts w:ascii="Arial" w:hAnsi="Arial"/>
          <w:color w:val="244061" w:themeColor="accent1" w:themeShade="80"/>
          <w:sz w:val="24"/>
          <w:szCs w:val="24"/>
        </w:rPr>
        <w:instrText xml:space="preserve"> SEQ Table \* ARABIC </w:instrText>
      </w:r>
      <w:r w:rsidRPr="004632C8">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3</w:t>
      </w:r>
      <w:r w:rsidRPr="004632C8">
        <w:rPr>
          <w:rFonts w:ascii="Arial" w:hAnsi="Arial"/>
          <w:color w:val="244061" w:themeColor="accent1" w:themeShade="80"/>
          <w:sz w:val="24"/>
          <w:szCs w:val="24"/>
        </w:rPr>
        <w:fldChar w:fldCharType="end"/>
      </w:r>
      <w:r w:rsidR="004632C8">
        <w:rPr>
          <w:rFonts w:ascii="Arial" w:hAnsi="Arial"/>
          <w:color w:val="244061" w:themeColor="accent1" w:themeShade="80"/>
          <w:sz w:val="24"/>
          <w:szCs w:val="24"/>
        </w:rPr>
        <w:t xml:space="preserve"> </w:t>
      </w:r>
      <w:r w:rsidRPr="004632C8">
        <w:rPr>
          <w:rFonts w:ascii="Arial" w:hAnsi="Arial"/>
          <w:color w:val="244061" w:themeColor="accent1" w:themeShade="80"/>
          <w:sz w:val="24"/>
          <w:szCs w:val="24"/>
        </w:rPr>
        <w:t>Quantitative results of tibial endocortical and periosteal dynamic histomorphometry of fed or fed for 2 h</w:t>
      </w:r>
      <w:r w:rsidR="00F97D67">
        <w:rPr>
          <w:rFonts w:ascii="Arial" w:hAnsi="Arial"/>
          <w:color w:val="244061" w:themeColor="accent1" w:themeShade="80"/>
          <w:sz w:val="24"/>
          <w:szCs w:val="24"/>
        </w:rPr>
        <w:t>ours following overnight fast</w:t>
      </w:r>
      <w:r w:rsidRPr="004632C8">
        <w:rPr>
          <w:rFonts w:ascii="Arial" w:hAnsi="Arial"/>
          <w:color w:val="244061" w:themeColor="accent1" w:themeShade="80"/>
          <w:sz w:val="24"/>
          <w:szCs w:val="24"/>
        </w:rPr>
        <w:t xml:space="preserve"> young male mice</w:t>
      </w:r>
      <w:bookmarkEnd w:id="102"/>
    </w:p>
    <w:tbl>
      <w:tblPr>
        <w:tblW w:w="9889" w:type="dxa"/>
        <w:tblBorders>
          <w:top w:val="single" w:sz="4" w:space="0" w:color="auto"/>
          <w:bottom w:val="single" w:sz="4" w:space="0" w:color="auto"/>
        </w:tblBorders>
        <w:tblLayout w:type="fixed"/>
        <w:tblLook w:val="04A0" w:firstRow="1" w:lastRow="0" w:firstColumn="1" w:lastColumn="0" w:noHBand="0" w:noVBand="1"/>
      </w:tblPr>
      <w:tblGrid>
        <w:gridCol w:w="1809"/>
        <w:gridCol w:w="1276"/>
        <w:gridCol w:w="1559"/>
        <w:gridCol w:w="1065"/>
        <w:gridCol w:w="1203"/>
        <w:gridCol w:w="1985"/>
        <w:gridCol w:w="992"/>
      </w:tblGrid>
      <w:tr w:rsidR="00E56E65" w14:paraId="141FA69B" w14:textId="77777777" w:rsidTr="00E56E65">
        <w:tc>
          <w:tcPr>
            <w:tcW w:w="1809" w:type="dxa"/>
          </w:tcPr>
          <w:p w14:paraId="51C386B5" w14:textId="77777777" w:rsidR="00E56E65" w:rsidRDefault="00E56E65" w:rsidP="00E56E65"/>
        </w:tc>
        <w:tc>
          <w:tcPr>
            <w:tcW w:w="1276" w:type="dxa"/>
            <w:tcBorders>
              <w:bottom w:val="single" w:sz="4" w:space="0" w:color="auto"/>
            </w:tcBorders>
          </w:tcPr>
          <w:p w14:paraId="5513C124" w14:textId="77777777" w:rsidR="00E56E65" w:rsidRPr="00FB3BC8" w:rsidRDefault="00E56E65" w:rsidP="00E56E65">
            <w:pPr>
              <w:jc w:val="center"/>
              <w:rPr>
                <w:rFonts w:ascii="Arial" w:hAnsi="Arial" w:cs="Arial"/>
                <w:b/>
                <w:sz w:val="22"/>
                <w:szCs w:val="22"/>
              </w:rPr>
            </w:pPr>
          </w:p>
        </w:tc>
        <w:tc>
          <w:tcPr>
            <w:tcW w:w="1559" w:type="dxa"/>
            <w:tcBorders>
              <w:bottom w:val="single" w:sz="4" w:space="0" w:color="auto"/>
            </w:tcBorders>
          </w:tcPr>
          <w:p w14:paraId="71E577CA" w14:textId="77777777" w:rsidR="00E56E65" w:rsidRDefault="00E56E65" w:rsidP="00E56E65">
            <w:pPr>
              <w:jc w:val="center"/>
              <w:rPr>
                <w:rFonts w:ascii="Arial" w:hAnsi="Arial" w:cs="Arial"/>
                <w:b/>
                <w:sz w:val="22"/>
                <w:szCs w:val="22"/>
              </w:rPr>
            </w:pPr>
            <w:r>
              <w:rPr>
                <w:rFonts w:ascii="Arial" w:hAnsi="Arial" w:cs="Arial"/>
                <w:b/>
                <w:sz w:val="22"/>
                <w:szCs w:val="22"/>
              </w:rPr>
              <w:t>Fed</w:t>
            </w:r>
          </w:p>
          <w:p w14:paraId="0B3167F0" w14:textId="77777777" w:rsidR="00E56E65" w:rsidRPr="00FB3BC8" w:rsidRDefault="00E56E65" w:rsidP="00E56E65">
            <w:pPr>
              <w:jc w:val="center"/>
              <w:rPr>
                <w:rFonts w:ascii="Arial" w:hAnsi="Arial" w:cs="Arial"/>
                <w:b/>
                <w:sz w:val="22"/>
                <w:szCs w:val="22"/>
              </w:rPr>
            </w:pPr>
          </w:p>
        </w:tc>
        <w:tc>
          <w:tcPr>
            <w:tcW w:w="1065" w:type="dxa"/>
            <w:tcBorders>
              <w:bottom w:val="single" w:sz="4" w:space="0" w:color="auto"/>
              <w:right w:val="single" w:sz="4" w:space="0" w:color="auto"/>
            </w:tcBorders>
          </w:tcPr>
          <w:p w14:paraId="016D16DE" w14:textId="77777777" w:rsidR="00E56E65" w:rsidRDefault="00E56E65" w:rsidP="00E56E65">
            <w:pPr>
              <w:jc w:val="center"/>
            </w:pPr>
          </w:p>
        </w:tc>
        <w:tc>
          <w:tcPr>
            <w:tcW w:w="1203" w:type="dxa"/>
            <w:tcBorders>
              <w:left w:val="single" w:sz="4" w:space="0" w:color="auto"/>
              <w:bottom w:val="single" w:sz="4" w:space="0" w:color="auto"/>
            </w:tcBorders>
          </w:tcPr>
          <w:p w14:paraId="5112EA5C" w14:textId="77777777" w:rsidR="00E56E65" w:rsidRDefault="00E56E65" w:rsidP="00E56E65">
            <w:pPr>
              <w:jc w:val="center"/>
            </w:pPr>
          </w:p>
        </w:tc>
        <w:tc>
          <w:tcPr>
            <w:tcW w:w="1985" w:type="dxa"/>
            <w:tcBorders>
              <w:bottom w:val="single" w:sz="4" w:space="0" w:color="auto"/>
            </w:tcBorders>
          </w:tcPr>
          <w:p w14:paraId="5DB5AF9A" w14:textId="77777777" w:rsidR="00E56E65" w:rsidRPr="00937AE1" w:rsidRDefault="00E56E65" w:rsidP="00E56E65">
            <w:pPr>
              <w:jc w:val="center"/>
              <w:rPr>
                <w:rFonts w:ascii="Arial" w:hAnsi="Arial" w:cs="Arial"/>
                <w:b/>
                <w:sz w:val="22"/>
                <w:szCs w:val="22"/>
              </w:rPr>
            </w:pPr>
            <w:r>
              <w:rPr>
                <w:rFonts w:ascii="Arial" w:hAnsi="Arial" w:cs="Arial"/>
                <w:b/>
                <w:sz w:val="22"/>
                <w:szCs w:val="22"/>
              </w:rPr>
              <w:t>Fasted Fed 2hrs</w:t>
            </w:r>
          </w:p>
        </w:tc>
        <w:tc>
          <w:tcPr>
            <w:tcW w:w="992" w:type="dxa"/>
            <w:tcBorders>
              <w:bottom w:val="single" w:sz="4" w:space="0" w:color="auto"/>
            </w:tcBorders>
          </w:tcPr>
          <w:p w14:paraId="1E1E86A2" w14:textId="77777777" w:rsidR="00E56E65" w:rsidRDefault="00E56E65" w:rsidP="00E56E65">
            <w:pPr>
              <w:jc w:val="center"/>
            </w:pPr>
          </w:p>
        </w:tc>
      </w:tr>
      <w:tr w:rsidR="00E56E65" w:rsidRPr="00937AE1" w14:paraId="1FEEDA8A" w14:textId="77777777" w:rsidTr="00E56E65">
        <w:tc>
          <w:tcPr>
            <w:tcW w:w="1809" w:type="dxa"/>
            <w:tcBorders>
              <w:bottom w:val="single" w:sz="4" w:space="0" w:color="auto"/>
            </w:tcBorders>
          </w:tcPr>
          <w:p w14:paraId="1D47532A" w14:textId="77777777" w:rsidR="00E56E65" w:rsidRDefault="00E56E65" w:rsidP="00E56E65"/>
        </w:tc>
        <w:tc>
          <w:tcPr>
            <w:tcW w:w="1276" w:type="dxa"/>
            <w:tcBorders>
              <w:top w:val="single" w:sz="4" w:space="0" w:color="auto"/>
              <w:bottom w:val="single" w:sz="4" w:space="0" w:color="auto"/>
            </w:tcBorders>
          </w:tcPr>
          <w:p w14:paraId="544E3757" w14:textId="77777777" w:rsidR="00E56E65" w:rsidRPr="00937AE1" w:rsidRDefault="00E56E65" w:rsidP="00E56E65">
            <w:pPr>
              <w:jc w:val="center"/>
              <w:rPr>
                <w:rFonts w:ascii="Arial" w:hAnsi="Arial" w:cs="Arial"/>
                <w:b/>
                <w:sz w:val="22"/>
                <w:szCs w:val="22"/>
              </w:rPr>
            </w:pPr>
            <w:r w:rsidRPr="00937AE1">
              <w:rPr>
                <w:rFonts w:ascii="Arial" w:hAnsi="Arial" w:cs="Arial"/>
                <w:b/>
                <w:sz w:val="22"/>
                <w:szCs w:val="22"/>
              </w:rPr>
              <w:t>Loaded</w:t>
            </w:r>
          </w:p>
        </w:tc>
        <w:tc>
          <w:tcPr>
            <w:tcW w:w="1559" w:type="dxa"/>
            <w:tcBorders>
              <w:top w:val="single" w:sz="4" w:space="0" w:color="auto"/>
              <w:bottom w:val="single" w:sz="4" w:space="0" w:color="auto"/>
            </w:tcBorders>
          </w:tcPr>
          <w:p w14:paraId="57ADF093" w14:textId="77777777" w:rsidR="00E56E65" w:rsidRDefault="00E56E65" w:rsidP="00E56E65">
            <w:pPr>
              <w:jc w:val="center"/>
              <w:rPr>
                <w:rFonts w:ascii="Arial" w:hAnsi="Arial" w:cs="Arial"/>
                <w:b/>
                <w:sz w:val="22"/>
                <w:szCs w:val="22"/>
              </w:rPr>
            </w:pPr>
            <w:r w:rsidRPr="00937AE1">
              <w:rPr>
                <w:rFonts w:ascii="Arial" w:hAnsi="Arial" w:cs="Arial"/>
                <w:b/>
                <w:sz w:val="22"/>
                <w:szCs w:val="22"/>
              </w:rPr>
              <w:t>Non-loaded</w:t>
            </w:r>
          </w:p>
          <w:p w14:paraId="46F32DCA" w14:textId="77777777" w:rsidR="00E56E65" w:rsidRPr="00937AE1" w:rsidRDefault="00E56E65" w:rsidP="00E56E65">
            <w:pPr>
              <w:jc w:val="center"/>
              <w:rPr>
                <w:rFonts w:ascii="Arial" w:hAnsi="Arial" w:cs="Arial"/>
                <w:b/>
                <w:sz w:val="22"/>
                <w:szCs w:val="22"/>
              </w:rPr>
            </w:pPr>
          </w:p>
        </w:tc>
        <w:tc>
          <w:tcPr>
            <w:tcW w:w="1065" w:type="dxa"/>
            <w:tcBorders>
              <w:top w:val="single" w:sz="4" w:space="0" w:color="auto"/>
              <w:bottom w:val="single" w:sz="4" w:space="0" w:color="auto"/>
              <w:right w:val="single" w:sz="4" w:space="0" w:color="auto"/>
            </w:tcBorders>
          </w:tcPr>
          <w:p w14:paraId="7A3077EB" w14:textId="77777777" w:rsidR="00E56E65" w:rsidRPr="00937AE1" w:rsidRDefault="00E56E65" w:rsidP="00E56E65">
            <w:pPr>
              <w:jc w:val="center"/>
              <w:rPr>
                <w:rFonts w:ascii="Arial" w:hAnsi="Arial" w:cs="Arial"/>
                <w:b/>
                <w:sz w:val="22"/>
                <w:szCs w:val="22"/>
              </w:rPr>
            </w:pPr>
            <w:proofErr w:type="gramStart"/>
            <w:r w:rsidRPr="00937AE1">
              <w:rPr>
                <w:rFonts w:ascii="Arial" w:hAnsi="Arial" w:cs="Arial"/>
                <w:b/>
                <w:sz w:val="22"/>
                <w:szCs w:val="22"/>
              </w:rPr>
              <w:t>p</w:t>
            </w:r>
            <w:proofErr w:type="gramEnd"/>
            <w:r w:rsidRPr="00937AE1">
              <w:rPr>
                <w:rFonts w:ascii="Arial" w:hAnsi="Arial" w:cs="Arial"/>
                <w:b/>
                <w:sz w:val="22"/>
                <w:szCs w:val="22"/>
              </w:rPr>
              <w:t xml:space="preserve"> value</w:t>
            </w:r>
          </w:p>
        </w:tc>
        <w:tc>
          <w:tcPr>
            <w:tcW w:w="1203" w:type="dxa"/>
            <w:tcBorders>
              <w:top w:val="single" w:sz="4" w:space="0" w:color="auto"/>
              <w:left w:val="single" w:sz="4" w:space="0" w:color="auto"/>
              <w:bottom w:val="single" w:sz="4" w:space="0" w:color="auto"/>
            </w:tcBorders>
          </w:tcPr>
          <w:p w14:paraId="307574E6" w14:textId="77777777" w:rsidR="00E56E65" w:rsidRPr="00937AE1" w:rsidRDefault="00E56E65" w:rsidP="00E56E65">
            <w:pPr>
              <w:jc w:val="center"/>
              <w:rPr>
                <w:rFonts w:ascii="Arial" w:hAnsi="Arial" w:cs="Arial"/>
                <w:b/>
                <w:sz w:val="22"/>
                <w:szCs w:val="22"/>
              </w:rPr>
            </w:pPr>
            <w:r w:rsidRPr="00937AE1">
              <w:rPr>
                <w:rFonts w:ascii="Arial" w:hAnsi="Arial" w:cs="Arial"/>
                <w:b/>
                <w:sz w:val="22"/>
                <w:szCs w:val="22"/>
              </w:rPr>
              <w:t>Loaded</w:t>
            </w:r>
          </w:p>
        </w:tc>
        <w:tc>
          <w:tcPr>
            <w:tcW w:w="1985" w:type="dxa"/>
            <w:tcBorders>
              <w:top w:val="single" w:sz="4" w:space="0" w:color="auto"/>
              <w:bottom w:val="single" w:sz="4" w:space="0" w:color="auto"/>
            </w:tcBorders>
          </w:tcPr>
          <w:p w14:paraId="25125F38" w14:textId="77777777" w:rsidR="00E56E65" w:rsidRPr="00937AE1" w:rsidRDefault="00E56E65" w:rsidP="00E56E65">
            <w:pPr>
              <w:jc w:val="center"/>
              <w:rPr>
                <w:rFonts w:ascii="Arial" w:hAnsi="Arial" w:cs="Arial"/>
                <w:b/>
                <w:sz w:val="22"/>
                <w:szCs w:val="22"/>
              </w:rPr>
            </w:pPr>
            <w:r w:rsidRPr="00937AE1">
              <w:rPr>
                <w:rFonts w:ascii="Arial" w:hAnsi="Arial" w:cs="Arial"/>
                <w:b/>
                <w:sz w:val="22"/>
                <w:szCs w:val="22"/>
              </w:rPr>
              <w:t>Non-loaded</w:t>
            </w:r>
          </w:p>
        </w:tc>
        <w:tc>
          <w:tcPr>
            <w:tcW w:w="992" w:type="dxa"/>
            <w:tcBorders>
              <w:top w:val="single" w:sz="4" w:space="0" w:color="auto"/>
              <w:bottom w:val="single" w:sz="4" w:space="0" w:color="auto"/>
            </w:tcBorders>
          </w:tcPr>
          <w:p w14:paraId="4CDB9BA5" w14:textId="77777777" w:rsidR="00E56E65" w:rsidRPr="00937AE1" w:rsidRDefault="00E56E65" w:rsidP="00E56E65">
            <w:pPr>
              <w:jc w:val="center"/>
              <w:rPr>
                <w:rFonts w:ascii="Arial" w:hAnsi="Arial" w:cs="Arial"/>
                <w:b/>
                <w:sz w:val="22"/>
                <w:szCs w:val="22"/>
              </w:rPr>
            </w:pPr>
            <w:proofErr w:type="gramStart"/>
            <w:r>
              <w:rPr>
                <w:rFonts w:ascii="Arial" w:hAnsi="Arial" w:cs="Arial"/>
                <w:b/>
                <w:sz w:val="22"/>
                <w:szCs w:val="22"/>
              </w:rPr>
              <w:t>p</w:t>
            </w:r>
            <w:proofErr w:type="gramEnd"/>
            <w:r>
              <w:rPr>
                <w:rFonts w:ascii="Arial" w:hAnsi="Arial" w:cs="Arial"/>
                <w:b/>
                <w:sz w:val="22"/>
                <w:szCs w:val="22"/>
              </w:rPr>
              <w:t>-</w:t>
            </w:r>
            <w:r w:rsidRPr="00937AE1">
              <w:rPr>
                <w:rFonts w:ascii="Arial" w:hAnsi="Arial" w:cs="Arial"/>
                <w:b/>
                <w:sz w:val="22"/>
                <w:szCs w:val="22"/>
              </w:rPr>
              <w:t>value</w:t>
            </w:r>
          </w:p>
        </w:tc>
      </w:tr>
      <w:tr w:rsidR="00E56E65" w:rsidRPr="00352EB1" w14:paraId="42C282C7" w14:textId="77777777" w:rsidTr="00E56E65">
        <w:tc>
          <w:tcPr>
            <w:tcW w:w="1809" w:type="dxa"/>
            <w:tcBorders>
              <w:top w:val="single" w:sz="4" w:space="0" w:color="auto"/>
            </w:tcBorders>
          </w:tcPr>
          <w:p w14:paraId="2942B28E" w14:textId="77777777" w:rsidR="00E56E65" w:rsidRPr="00352EB1" w:rsidRDefault="00E56E65" w:rsidP="00E56E65">
            <w:pPr>
              <w:jc w:val="center"/>
              <w:rPr>
                <w:rFonts w:ascii="Arial" w:hAnsi="Arial" w:cs="Arial"/>
                <w:color w:val="000000"/>
                <w:sz w:val="22"/>
                <w:szCs w:val="22"/>
              </w:rPr>
            </w:pPr>
            <w:r>
              <w:rPr>
                <w:rFonts w:ascii="Arial" w:hAnsi="Arial" w:cs="Arial"/>
                <w:color w:val="000000"/>
                <w:sz w:val="22"/>
                <w:szCs w:val="22"/>
              </w:rPr>
              <w:t>MS</w:t>
            </w:r>
            <w:r w:rsidRPr="00352EB1">
              <w:rPr>
                <w:rFonts w:ascii="Arial" w:hAnsi="Arial" w:cs="Arial"/>
                <w:color w:val="000000"/>
                <w:sz w:val="22"/>
                <w:szCs w:val="22"/>
              </w:rPr>
              <w:t xml:space="preserve"> (%)</w:t>
            </w:r>
          </w:p>
          <w:p w14:paraId="7EC8C3EE" w14:textId="77777777" w:rsidR="00E56E65" w:rsidRDefault="00E56E65" w:rsidP="00E56E65">
            <w:pPr>
              <w:jc w:val="center"/>
              <w:rPr>
                <w:rFonts w:ascii="Arial" w:hAnsi="Arial" w:cs="Arial"/>
                <w:color w:val="000000"/>
                <w:sz w:val="22"/>
                <w:szCs w:val="22"/>
              </w:rPr>
            </w:pPr>
          </w:p>
          <w:p w14:paraId="77117333" w14:textId="77777777" w:rsidR="00E56E65" w:rsidRPr="00352EB1" w:rsidRDefault="00E56E65" w:rsidP="00E56E65">
            <w:pPr>
              <w:jc w:val="center"/>
              <w:rPr>
                <w:rFonts w:ascii="Arial" w:hAnsi="Arial" w:cs="Arial"/>
                <w:color w:val="000000"/>
                <w:sz w:val="22"/>
                <w:szCs w:val="22"/>
              </w:rPr>
            </w:pPr>
          </w:p>
        </w:tc>
        <w:tc>
          <w:tcPr>
            <w:tcW w:w="1276" w:type="dxa"/>
            <w:tcBorders>
              <w:top w:val="single" w:sz="4" w:space="0" w:color="auto"/>
            </w:tcBorders>
          </w:tcPr>
          <w:p w14:paraId="737D6189"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1.03</w:t>
            </w:r>
            <w:r w:rsidRPr="00352EB1">
              <w:rPr>
                <w:rFonts w:ascii="Arial" w:hAnsi="Arial" w:cs="Arial"/>
                <w:color w:val="000000"/>
                <w:sz w:val="22"/>
                <w:szCs w:val="22"/>
              </w:rPr>
              <w:t>±0.02</w:t>
            </w:r>
          </w:p>
        </w:tc>
        <w:tc>
          <w:tcPr>
            <w:tcW w:w="1559" w:type="dxa"/>
            <w:tcBorders>
              <w:top w:val="single" w:sz="4" w:space="0" w:color="auto"/>
            </w:tcBorders>
          </w:tcPr>
          <w:p w14:paraId="2C13C845"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0.55</w:t>
            </w:r>
            <w:r w:rsidRPr="00352EB1">
              <w:rPr>
                <w:rFonts w:ascii="Arial" w:hAnsi="Arial" w:cs="Arial"/>
                <w:color w:val="000000"/>
                <w:sz w:val="22"/>
                <w:szCs w:val="22"/>
              </w:rPr>
              <w:t>±0.06</w:t>
            </w:r>
          </w:p>
        </w:tc>
        <w:tc>
          <w:tcPr>
            <w:tcW w:w="1065" w:type="dxa"/>
            <w:tcBorders>
              <w:top w:val="single" w:sz="4" w:space="0" w:color="auto"/>
            </w:tcBorders>
          </w:tcPr>
          <w:p w14:paraId="0DF6D084" w14:textId="77777777" w:rsidR="00E56E65" w:rsidRPr="00352EB1" w:rsidRDefault="00E56E65" w:rsidP="00E56E65">
            <w:pPr>
              <w:jc w:val="center"/>
              <w:rPr>
                <w:rFonts w:ascii="Arial" w:hAnsi="Arial" w:cs="Arial"/>
                <w:sz w:val="22"/>
                <w:szCs w:val="22"/>
              </w:rPr>
            </w:pPr>
            <w:proofErr w:type="gramStart"/>
            <w:r>
              <w:rPr>
                <w:rFonts w:ascii="Arial" w:hAnsi="Arial" w:cs="Arial"/>
                <w:sz w:val="22"/>
                <w:szCs w:val="22"/>
              </w:rPr>
              <w:t>b</w:t>
            </w:r>
            <w:proofErr w:type="gramEnd"/>
          </w:p>
        </w:tc>
        <w:tc>
          <w:tcPr>
            <w:tcW w:w="1203" w:type="dxa"/>
            <w:tcBorders>
              <w:top w:val="single" w:sz="4" w:space="0" w:color="auto"/>
            </w:tcBorders>
          </w:tcPr>
          <w:p w14:paraId="50AA1C70"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1.35</w:t>
            </w:r>
            <w:r w:rsidRPr="00352EB1">
              <w:rPr>
                <w:rFonts w:ascii="Arial" w:hAnsi="Arial" w:cs="Arial"/>
                <w:color w:val="000000"/>
                <w:sz w:val="22"/>
                <w:szCs w:val="22"/>
              </w:rPr>
              <w:t>±0.15</w:t>
            </w:r>
          </w:p>
        </w:tc>
        <w:tc>
          <w:tcPr>
            <w:tcW w:w="1985" w:type="dxa"/>
            <w:tcBorders>
              <w:top w:val="single" w:sz="4" w:space="0" w:color="auto"/>
            </w:tcBorders>
          </w:tcPr>
          <w:p w14:paraId="2911CF47"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0.6</w:t>
            </w:r>
            <w:r w:rsidRPr="00352EB1">
              <w:rPr>
                <w:rFonts w:ascii="Arial" w:hAnsi="Arial" w:cs="Arial"/>
                <w:color w:val="000000"/>
                <w:sz w:val="22"/>
                <w:szCs w:val="22"/>
              </w:rPr>
              <w:t>±0.05</w:t>
            </w:r>
          </w:p>
        </w:tc>
        <w:tc>
          <w:tcPr>
            <w:tcW w:w="992" w:type="dxa"/>
            <w:tcBorders>
              <w:top w:val="single" w:sz="4" w:space="0" w:color="auto"/>
            </w:tcBorders>
          </w:tcPr>
          <w:p w14:paraId="2B49A16C" w14:textId="77777777" w:rsidR="00E56E65" w:rsidRPr="00352EB1" w:rsidRDefault="00E56E65" w:rsidP="00E56E65">
            <w:pPr>
              <w:jc w:val="center"/>
              <w:rPr>
                <w:rFonts w:ascii="Arial" w:hAnsi="Arial" w:cs="Arial"/>
                <w:sz w:val="22"/>
                <w:szCs w:val="22"/>
              </w:rPr>
            </w:pPr>
            <w:proofErr w:type="gramStart"/>
            <w:r>
              <w:rPr>
                <w:rFonts w:ascii="Arial" w:hAnsi="Arial" w:cs="Arial"/>
                <w:sz w:val="22"/>
                <w:szCs w:val="22"/>
              </w:rPr>
              <w:t>d</w:t>
            </w:r>
            <w:proofErr w:type="gramEnd"/>
          </w:p>
        </w:tc>
      </w:tr>
      <w:tr w:rsidR="00E56E65" w:rsidRPr="00352EB1" w14:paraId="1F8B4845" w14:textId="77777777" w:rsidTr="00E56E65">
        <w:trPr>
          <w:trHeight w:val="351"/>
        </w:trPr>
        <w:tc>
          <w:tcPr>
            <w:tcW w:w="1809" w:type="dxa"/>
          </w:tcPr>
          <w:p w14:paraId="3B1FDE44" w14:textId="77777777" w:rsidR="00E56E65" w:rsidRDefault="00E56E65" w:rsidP="00E56E65">
            <w:pPr>
              <w:jc w:val="center"/>
              <w:rPr>
                <w:rFonts w:ascii="Arial" w:hAnsi="Arial" w:cs="Arial"/>
                <w:color w:val="000000"/>
                <w:sz w:val="22"/>
                <w:szCs w:val="22"/>
              </w:rPr>
            </w:pPr>
            <w:r w:rsidRPr="00352EB1">
              <w:rPr>
                <w:rFonts w:ascii="Arial" w:hAnsi="Arial" w:cs="Arial"/>
                <w:color w:val="000000"/>
                <w:sz w:val="22"/>
                <w:szCs w:val="22"/>
              </w:rPr>
              <w:t>MAR (µm/day)</w:t>
            </w:r>
          </w:p>
          <w:p w14:paraId="509EA59A" w14:textId="77777777" w:rsidR="00E56E65" w:rsidRPr="00352EB1" w:rsidRDefault="00E56E65" w:rsidP="00E56E65">
            <w:pPr>
              <w:jc w:val="center"/>
              <w:rPr>
                <w:rFonts w:ascii="Arial" w:hAnsi="Arial" w:cs="Arial"/>
                <w:color w:val="000000"/>
                <w:sz w:val="22"/>
                <w:szCs w:val="22"/>
              </w:rPr>
            </w:pPr>
          </w:p>
          <w:p w14:paraId="7143E90C" w14:textId="77777777" w:rsidR="00E56E65" w:rsidRPr="00352EB1" w:rsidRDefault="00E56E65" w:rsidP="00E56E65">
            <w:pPr>
              <w:jc w:val="center"/>
              <w:rPr>
                <w:rFonts w:ascii="Arial" w:hAnsi="Arial" w:cs="Arial"/>
                <w:color w:val="000000"/>
                <w:sz w:val="22"/>
                <w:szCs w:val="22"/>
              </w:rPr>
            </w:pPr>
          </w:p>
        </w:tc>
        <w:tc>
          <w:tcPr>
            <w:tcW w:w="1276" w:type="dxa"/>
          </w:tcPr>
          <w:p w14:paraId="555064F9"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2.0</w:t>
            </w:r>
            <w:r w:rsidRPr="00352EB1">
              <w:rPr>
                <w:rFonts w:ascii="Arial" w:hAnsi="Arial" w:cs="Arial"/>
                <w:color w:val="000000"/>
                <w:sz w:val="22"/>
                <w:szCs w:val="22"/>
              </w:rPr>
              <w:t>±0.13</w:t>
            </w:r>
          </w:p>
        </w:tc>
        <w:tc>
          <w:tcPr>
            <w:tcW w:w="1559" w:type="dxa"/>
          </w:tcPr>
          <w:p w14:paraId="083E88CA"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0.33</w:t>
            </w:r>
            <w:r w:rsidRPr="00352EB1">
              <w:rPr>
                <w:rFonts w:ascii="Arial" w:hAnsi="Arial" w:cs="Arial"/>
                <w:color w:val="000000"/>
                <w:sz w:val="22"/>
                <w:szCs w:val="22"/>
              </w:rPr>
              <w:t>±0.15</w:t>
            </w:r>
          </w:p>
        </w:tc>
        <w:tc>
          <w:tcPr>
            <w:tcW w:w="1065" w:type="dxa"/>
          </w:tcPr>
          <w:p w14:paraId="6212692D" w14:textId="77777777" w:rsidR="00E56E65" w:rsidRPr="00352EB1" w:rsidRDefault="00E56E65" w:rsidP="00E56E65">
            <w:pPr>
              <w:jc w:val="center"/>
              <w:rPr>
                <w:rFonts w:ascii="Arial" w:hAnsi="Arial" w:cs="Arial"/>
                <w:sz w:val="22"/>
                <w:szCs w:val="22"/>
              </w:rPr>
            </w:pPr>
            <w:proofErr w:type="gramStart"/>
            <w:r>
              <w:rPr>
                <w:rFonts w:ascii="Arial" w:hAnsi="Arial" w:cs="Arial"/>
                <w:sz w:val="22"/>
                <w:szCs w:val="22"/>
              </w:rPr>
              <w:t>a</w:t>
            </w:r>
            <w:proofErr w:type="gramEnd"/>
          </w:p>
        </w:tc>
        <w:tc>
          <w:tcPr>
            <w:tcW w:w="1203" w:type="dxa"/>
          </w:tcPr>
          <w:p w14:paraId="7759BB3C"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4.9</w:t>
            </w:r>
            <w:r w:rsidRPr="00352EB1">
              <w:rPr>
                <w:rFonts w:ascii="Arial" w:hAnsi="Arial" w:cs="Arial"/>
                <w:color w:val="000000"/>
                <w:sz w:val="22"/>
                <w:szCs w:val="22"/>
              </w:rPr>
              <w:t>±0.8</w:t>
            </w:r>
          </w:p>
        </w:tc>
        <w:tc>
          <w:tcPr>
            <w:tcW w:w="1985" w:type="dxa"/>
          </w:tcPr>
          <w:p w14:paraId="4870EF79"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0.07</w:t>
            </w:r>
            <w:r w:rsidRPr="00352EB1">
              <w:rPr>
                <w:rFonts w:ascii="Arial" w:hAnsi="Arial" w:cs="Arial"/>
                <w:color w:val="000000"/>
                <w:sz w:val="22"/>
                <w:szCs w:val="22"/>
              </w:rPr>
              <w:t>±0.06</w:t>
            </w:r>
          </w:p>
        </w:tc>
        <w:tc>
          <w:tcPr>
            <w:tcW w:w="992" w:type="dxa"/>
          </w:tcPr>
          <w:p w14:paraId="2F9FC668" w14:textId="77777777" w:rsidR="00E56E65" w:rsidRPr="00352EB1" w:rsidRDefault="00E56E65" w:rsidP="00E56E65">
            <w:pPr>
              <w:jc w:val="center"/>
              <w:rPr>
                <w:rFonts w:ascii="Arial" w:hAnsi="Arial" w:cs="Arial"/>
                <w:sz w:val="22"/>
                <w:szCs w:val="22"/>
              </w:rPr>
            </w:pPr>
            <w:proofErr w:type="gramStart"/>
            <w:r>
              <w:rPr>
                <w:rFonts w:ascii="Arial" w:hAnsi="Arial" w:cs="Arial"/>
                <w:sz w:val="22"/>
                <w:szCs w:val="22"/>
              </w:rPr>
              <w:t>d</w:t>
            </w:r>
            <w:proofErr w:type="gramEnd"/>
          </w:p>
        </w:tc>
      </w:tr>
      <w:tr w:rsidR="00E56E65" w:rsidRPr="00352EB1" w14:paraId="38895ED2" w14:textId="77777777" w:rsidTr="00E56E65">
        <w:tc>
          <w:tcPr>
            <w:tcW w:w="1809" w:type="dxa"/>
          </w:tcPr>
          <w:p w14:paraId="3D60334B" w14:textId="77777777" w:rsidR="00E56E65" w:rsidRDefault="00E56E65" w:rsidP="00E56E65">
            <w:pPr>
              <w:jc w:val="center"/>
              <w:rPr>
                <w:rFonts w:ascii="Arial" w:hAnsi="Arial" w:cs="Arial"/>
                <w:color w:val="000000"/>
                <w:sz w:val="22"/>
                <w:szCs w:val="22"/>
              </w:rPr>
            </w:pPr>
            <w:r w:rsidRPr="00352EB1">
              <w:rPr>
                <w:rFonts w:ascii="Arial" w:hAnsi="Arial" w:cs="Arial"/>
                <w:color w:val="000000"/>
                <w:sz w:val="22"/>
                <w:szCs w:val="22"/>
              </w:rPr>
              <w:t>BFR/BS (µm</w:t>
            </w:r>
            <w:r w:rsidRPr="00F65D7A">
              <w:rPr>
                <w:rFonts w:ascii="Arial" w:hAnsi="Arial" w:cs="Arial"/>
                <w:color w:val="000000"/>
                <w:sz w:val="22"/>
                <w:szCs w:val="22"/>
                <w:vertAlign w:val="superscript"/>
              </w:rPr>
              <w:t>3</w:t>
            </w:r>
            <w:r w:rsidRPr="00352EB1">
              <w:rPr>
                <w:rFonts w:ascii="Arial" w:hAnsi="Arial" w:cs="Arial"/>
                <w:color w:val="000000"/>
                <w:sz w:val="22"/>
                <w:szCs w:val="22"/>
              </w:rPr>
              <w:t>/µm</w:t>
            </w:r>
            <w:r w:rsidRPr="00F65D7A">
              <w:rPr>
                <w:rFonts w:ascii="Arial" w:hAnsi="Arial" w:cs="Arial"/>
                <w:color w:val="000000"/>
                <w:sz w:val="22"/>
                <w:szCs w:val="22"/>
                <w:vertAlign w:val="superscript"/>
              </w:rPr>
              <w:t>2</w:t>
            </w:r>
            <w:r w:rsidRPr="00352EB1">
              <w:rPr>
                <w:rFonts w:ascii="Arial" w:hAnsi="Arial" w:cs="Arial"/>
                <w:color w:val="000000"/>
                <w:sz w:val="22"/>
                <w:szCs w:val="22"/>
              </w:rPr>
              <w:t>/day)</w:t>
            </w:r>
          </w:p>
          <w:p w14:paraId="2E9C8EE0" w14:textId="77777777" w:rsidR="00E56E65" w:rsidRPr="00352EB1" w:rsidRDefault="00E56E65" w:rsidP="00E56E65">
            <w:pPr>
              <w:jc w:val="center"/>
              <w:rPr>
                <w:rFonts w:ascii="Arial" w:hAnsi="Arial" w:cs="Arial"/>
                <w:color w:val="000000"/>
                <w:sz w:val="22"/>
                <w:szCs w:val="22"/>
              </w:rPr>
            </w:pPr>
          </w:p>
          <w:p w14:paraId="4721FDEB" w14:textId="77777777" w:rsidR="00E56E65" w:rsidRPr="00352EB1" w:rsidRDefault="00E56E65" w:rsidP="00E56E65">
            <w:pPr>
              <w:jc w:val="center"/>
              <w:rPr>
                <w:sz w:val="22"/>
                <w:szCs w:val="22"/>
              </w:rPr>
            </w:pPr>
          </w:p>
        </w:tc>
        <w:tc>
          <w:tcPr>
            <w:tcW w:w="1276" w:type="dxa"/>
          </w:tcPr>
          <w:p w14:paraId="7E16F257"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1.04</w:t>
            </w:r>
            <w:r w:rsidRPr="00352EB1">
              <w:rPr>
                <w:rFonts w:ascii="Arial" w:hAnsi="Arial" w:cs="Arial"/>
                <w:color w:val="000000"/>
                <w:sz w:val="22"/>
                <w:szCs w:val="22"/>
              </w:rPr>
              <w:t>±0.07</w:t>
            </w:r>
          </w:p>
        </w:tc>
        <w:tc>
          <w:tcPr>
            <w:tcW w:w="1559" w:type="dxa"/>
          </w:tcPr>
          <w:p w14:paraId="515BE8DE"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0.12</w:t>
            </w:r>
            <w:r w:rsidRPr="00352EB1">
              <w:rPr>
                <w:rFonts w:ascii="Arial" w:hAnsi="Arial" w:cs="Arial"/>
                <w:color w:val="000000"/>
                <w:sz w:val="22"/>
                <w:szCs w:val="22"/>
              </w:rPr>
              <w:t>±0.06</w:t>
            </w:r>
          </w:p>
        </w:tc>
        <w:tc>
          <w:tcPr>
            <w:tcW w:w="1065" w:type="dxa"/>
          </w:tcPr>
          <w:p w14:paraId="4E0170D4" w14:textId="77777777" w:rsidR="00E56E65" w:rsidRPr="00352EB1" w:rsidRDefault="00E56E65" w:rsidP="00E56E65">
            <w:pPr>
              <w:jc w:val="center"/>
              <w:rPr>
                <w:rFonts w:ascii="Arial" w:hAnsi="Arial" w:cs="Arial"/>
                <w:sz w:val="22"/>
                <w:szCs w:val="22"/>
              </w:rPr>
            </w:pPr>
          </w:p>
        </w:tc>
        <w:tc>
          <w:tcPr>
            <w:tcW w:w="1203" w:type="dxa"/>
          </w:tcPr>
          <w:p w14:paraId="2852493D"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3.57</w:t>
            </w:r>
            <w:r w:rsidRPr="00352EB1">
              <w:rPr>
                <w:rFonts w:ascii="Arial" w:hAnsi="Arial" w:cs="Arial"/>
                <w:color w:val="000000"/>
                <w:sz w:val="22"/>
                <w:szCs w:val="22"/>
              </w:rPr>
              <w:t>±0.8</w:t>
            </w:r>
          </w:p>
        </w:tc>
        <w:tc>
          <w:tcPr>
            <w:tcW w:w="1985" w:type="dxa"/>
          </w:tcPr>
          <w:p w14:paraId="77D062ED" w14:textId="77777777" w:rsidR="00E56E65" w:rsidRPr="00352EB1" w:rsidRDefault="00E56E65" w:rsidP="00E56E65">
            <w:pPr>
              <w:jc w:val="center"/>
              <w:rPr>
                <w:rFonts w:ascii="Arial" w:hAnsi="Arial" w:cs="Arial"/>
                <w:sz w:val="22"/>
                <w:szCs w:val="22"/>
              </w:rPr>
            </w:pPr>
            <w:r w:rsidRPr="00352EB1">
              <w:rPr>
                <w:rFonts w:ascii="Arial" w:hAnsi="Arial" w:cs="Arial"/>
                <w:sz w:val="22"/>
                <w:szCs w:val="22"/>
              </w:rPr>
              <w:t>0.02</w:t>
            </w:r>
            <w:r w:rsidRPr="00352EB1">
              <w:rPr>
                <w:rFonts w:ascii="Arial" w:hAnsi="Arial" w:cs="Arial"/>
                <w:color w:val="000000"/>
                <w:sz w:val="22"/>
                <w:szCs w:val="22"/>
              </w:rPr>
              <w:t>±0.01</w:t>
            </w:r>
          </w:p>
        </w:tc>
        <w:tc>
          <w:tcPr>
            <w:tcW w:w="992" w:type="dxa"/>
          </w:tcPr>
          <w:p w14:paraId="10702007" w14:textId="77777777" w:rsidR="00E56E65" w:rsidRPr="00352EB1" w:rsidRDefault="00E56E65" w:rsidP="00E56E65">
            <w:pPr>
              <w:jc w:val="center"/>
              <w:rPr>
                <w:rFonts w:ascii="Arial" w:hAnsi="Arial" w:cs="Arial"/>
                <w:sz w:val="22"/>
                <w:szCs w:val="22"/>
              </w:rPr>
            </w:pPr>
            <w:proofErr w:type="gramStart"/>
            <w:r>
              <w:rPr>
                <w:rFonts w:ascii="Arial" w:hAnsi="Arial" w:cs="Arial"/>
                <w:sz w:val="22"/>
                <w:szCs w:val="22"/>
              </w:rPr>
              <w:t>d</w:t>
            </w:r>
            <w:proofErr w:type="gramEnd"/>
          </w:p>
        </w:tc>
      </w:tr>
    </w:tbl>
    <w:p w14:paraId="09077390" w14:textId="77777777" w:rsidR="00E56E65" w:rsidRDefault="00E56E65" w:rsidP="00E56E65">
      <w:pPr>
        <w:jc w:val="center"/>
        <w:rPr>
          <w:sz w:val="22"/>
          <w:szCs w:val="22"/>
        </w:rPr>
      </w:pPr>
    </w:p>
    <w:p w14:paraId="7DE9038C" w14:textId="77777777" w:rsidR="00E56E65" w:rsidRDefault="00E56E65" w:rsidP="00E56E65">
      <w:pPr>
        <w:jc w:val="center"/>
        <w:rPr>
          <w:sz w:val="22"/>
          <w:szCs w:val="22"/>
        </w:rPr>
      </w:pPr>
    </w:p>
    <w:p w14:paraId="6F3A0073" w14:textId="77777777" w:rsidR="00E56E65" w:rsidRPr="00295A37" w:rsidRDefault="00E56E65" w:rsidP="00295A37">
      <w:pPr>
        <w:spacing w:line="360" w:lineRule="auto"/>
        <w:jc w:val="both"/>
        <w:rPr>
          <w:rFonts w:ascii="Arial" w:hAnsi="Arial" w:cs="Arial"/>
          <w:sz w:val="22"/>
          <w:szCs w:val="22"/>
        </w:rPr>
      </w:pPr>
      <w:r w:rsidRPr="00295A37">
        <w:rPr>
          <w:rFonts w:ascii="Arial" w:hAnsi="Arial" w:cs="Arial"/>
          <w:sz w:val="22"/>
          <w:szCs w:val="22"/>
        </w:rPr>
        <w:t>MS = mineralising surface; MAR = mineral apposition rate; BFR/BS = bone formation rate</w:t>
      </w:r>
    </w:p>
    <w:p w14:paraId="1F303FE1" w14:textId="77777777" w:rsidR="00E56E65" w:rsidRPr="00295A37" w:rsidRDefault="00E56E65" w:rsidP="00295A37">
      <w:pPr>
        <w:spacing w:line="360" w:lineRule="auto"/>
        <w:jc w:val="both"/>
        <w:rPr>
          <w:rFonts w:ascii="Arial" w:hAnsi="Arial" w:cs="Arial"/>
          <w:noProof/>
          <w:color w:val="000000" w:themeColor="text1"/>
          <w:sz w:val="22"/>
          <w:szCs w:val="22"/>
        </w:rPr>
      </w:pPr>
      <w:r w:rsidRPr="00295A37">
        <w:rPr>
          <w:rFonts w:ascii="Arial" w:eastAsiaTheme="minorHAnsi" w:hAnsi="Arial" w:cs="Arial"/>
          <w:sz w:val="22"/>
          <w:szCs w:val="22"/>
          <w:lang w:val="en-US"/>
        </w:rPr>
        <w:t>Values are mean</w:t>
      </w:r>
      <w:r w:rsidRPr="00295A37">
        <w:rPr>
          <w:rFonts w:ascii="Arial" w:eastAsia="MS Gothic" w:hAnsi="Arial" w:cs="Arial"/>
          <w:sz w:val="22"/>
          <w:szCs w:val="22"/>
        </w:rPr>
        <w:t>±</w:t>
      </w:r>
      <w:r w:rsidRPr="00295A37">
        <w:rPr>
          <w:rFonts w:ascii="Arial" w:eastAsiaTheme="minorHAnsi" w:hAnsi="Arial" w:cs="Arial"/>
          <w:sz w:val="22"/>
          <w:szCs w:val="22"/>
          <w:lang w:val="en-US"/>
        </w:rPr>
        <w:t xml:space="preserve">SE. </w:t>
      </w:r>
      <w:proofErr w:type="gramStart"/>
      <w:r w:rsidRPr="00295A37">
        <w:rPr>
          <w:rFonts w:ascii="Arial" w:eastAsia="MS Gothic" w:hAnsi="Arial" w:cs="Arial"/>
          <w:color w:val="000000"/>
          <w:sz w:val="22"/>
          <w:szCs w:val="22"/>
          <w:vertAlign w:val="superscript"/>
        </w:rPr>
        <w:t>a</w:t>
      </w:r>
      <w:proofErr w:type="gramEnd"/>
      <w:r w:rsidRPr="00295A37">
        <w:rPr>
          <w:rFonts w:ascii="Arial" w:eastAsiaTheme="minorHAnsi" w:hAnsi="Arial" w:cs="Arial"/>
          <w:sz w:val="22"/>
          <w:szCs w:val="22"/>
          <w:lang w:val="en-US"/>
        </w:rPr>
        <w:t xml:space="preserve"> p&lt;0.05, </w:t>
      </w:r>
      <w:r w:rsidRPr="00295A37">
        <w:rPr>
          <w:rFonts w:ascii="Arial" w:eastAsia="MS Gothic" w:hAnsi="Arial" w:cs="Arial"/>
          <w:color w:val="000000"/>
          <w:sz w:val="22"/>
          <w:szCs w:val="22"/>
          <w:vertAlign w:val="superscript"/>
        </w:rPr>
        <w:t>b</w:t>
      </w:r>
      <w:r w:rsidRPr="00295A37">
        <w:rPr>
          <w:rFonts w:ascii="Arial" w:eastAsiaTheme="minorHAnsi" w:hAnsi="Arial" w:cs="Arial"/>
          <w:sz w:val="22"/>
          <w:szCs w:val="22"/>
          <w:lang w:val="en-US"/>
        </w:rPr>
        <w:t xml:space="preserve"> p&lt;0.01,</w:t>
      </w:r>
      <w:r w:rsidRPr="00295A37">
        <w:rPr>
          <w:rFonts w:ascii="Arial" w:hAnsi="Arial" w:cs="Arial"/>
          <w:noProof/>
          <w:color w:val="000000" w:themeColor="text1"/>
          <w:sz w:val="22"/>
          <w:szCs w:val="22"/>
        </w:rPr>
        <w:t xml:space="preserve"> </w:t>
      </w:r>
      <w:r w:rsidRPr="00295A37">
        <w:rPr>
          <w:rFonts w:ascii="Arial" w:eastAsia="MS Gothic" w:hAnsi="Arial" w:cs="Arial"/>
          <w:color w:val="000000"/>
          <w:sz w:val="22"/>
          <w:szCs w:val="22"/>
          <w:vertAlign w:val="superscript"/>
        </w:rPr>
        <w:t>d</w:t>
      </w:r>
      <w:r w:rsidRPr="00295A37">
        <w:rPr>
          <w:rFonts w:ascii="Arial" w:eastAsiaTheme="minorHAnsi" w:hAnsi="Arial" w:cs="Arial"/>
          <w:sz w:val="22"/>
          <w:szCs w:val="22"/>
          <w:lang w:val="en-US"/>
        </w:rPr>
        <w:t xml:space="preserve"> p&lt;0.0001</w:t>
      </w:r>
    </w:p>
    <w:p w14:paraId="190F5735" w14:textId="77777777" w:rsidR="00E56E65" w:rsidRDefault="00E56E65" w:rsidP="00E56E65">
      <w:pPr>
        <w:jc w:val="both"/>
        <w:rPr>
          <w:sz w:val="22"/>
          <w:szCs w:val="22"/>
        </w:rPr>
      </w:pPr>
    </w:p>
    <w:p w14:paraId="7C915621" w14:textId="77777777" w:rsidR="00E56E65" w:rsidRDefault="00E56E65" w:rsidP="00E56E65">
      <w:pPr>
        <w:rPr>
          <w:sz w:val="22"/>
          <w:szCs w:val="22"/>
        </w:rPr>
      </w:pPr>
    </w:p>
    <w:p w14:paraId="6EA233EF" w14:textId="77777777" w:rsidR="00E56E65" w:rsidRDefault="00E56E65" w:rsidP="00E56E65">
      <w:pPr>
        <w:rPr>
          <w:sz w:val="22"/>
          <w:szCs w:val="22"/>
        </w:rPr>
      </w:pPr>
    </w:p>
    <w:p w14:paraId="5FAF5314" w14:textId="77777777" w:rsidR="00E56E65" w:rsidRDefault="00E56E65" w:rsidP="00E56E65">
      <w:pPr>
        <w:rPr>
          <w:sz w:val="22"/>
          <w:szCs w:val="22"/>
        </w:rPr>
      </w:pPr>
    </w:p>
    <w:p w14:paraId="64131ED3" w14:textId="77777777" w:rsidR="00E56E65" w:rsidRDefault="00E56E65" w:rsidP="00E56E65">
      <w:pPr>
        <w:rPr>
          <w:sz w:val="22"/>
          <w:szCs w:val="22"/>
        </w:rPr>
      </w:pPr>
    </w:p>
    <w:p w14:paraId="4C926875" w14:textId="77777777" w:rsidR="00E56E65" w:rsidRPr="00150669" w:rsidRDefault="00E56E65" w:rsidP="00E56E65">
      <w:pPr>
        <w:rPr>
          <w:sz w:val="22"/>
          <w:szCs w:val="22"/>
        </w:rPr>
      </w:pPr>
    </w:p>
    <w:p w14:paraId="27BE283F" w14:textId="77777777" w:rsidR="00E56E65" w:rsidRPr="00150669" w:rsidRDefault="00E56E65" w:rsidP="00E56E65">
      <w:pPr>
        <w:rPr>
          <w:sz w:val="22"/>
          <w:szCs w:val="22"/>
        </w:rPr>
      </w:pPr>
    </w:p>
    <w:p w14:paraId="451AC743" w14:textId="77777777" w:rsidR="00E56E65" w:rsidRDefault="00E56E65" w:rsidP="00E56E65">
      <w:pPr>
        <w:rPr>
          <w:sz w:val="22"/>
          <w:szCs w:val="22"/>
        </w:rPr>
      </w:pPr>
    </w:p>
    <w:p w14:paraId="2F5B2F08" w14:textId="77777777" w:rsidR="00E56E65" w:rsidRDefault="00E56E65" w:rsidP="00E56E65">
      <w:pPr>
        <w:rPr>
          <w:sz w:val="22"/>
          <w:szCs w:val="22"/>
        </w:rPr>
      </w:pPr>
      <w:r>
        <w:rPr>
          <w:noProof/>
          <w:lang w:val="en-US"/>
        </w:rPr>
        <w:drawing>
          <wp:inline distT="0" distB="0" distL="0" distR="0" wp14:anchorId="542352E4" wp14:editId="6A2FE059">
            <wp:extent cx="3037840" cy="2345690"/>
            <wp:effectExtent l="0" t="0" r="10160" b="0"/>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37840" cy="2345690"/>
                    </a:xfrm>
                    <a:prstGeom prst="rect">
                      <a:avLst/>
                    </a:prstGeom>
                    <a:noFill/>
                    <a:ln>
                      <a:noFill/>
                    </a:ln>
                  </pic:spPr>
                </pic:pic>
              </a:graphicData>
            </a:graphic>
          </wp:inline>
        </w:drawing>
      </w:r>
      <w:r w:rsidRPr="00150669">
        <w:t xml:space="preserve"> </w:t>
      </w:r>
      <w:r>
        <w:rPr>
          <w:noProof/>
          <w:lang w:val="en-US"/>
        </w:rPr>
        <w:drawing>
          <wp:inline distT="0" distB="0" distL="0" distR="0" wp14:anchorId="49BEA946" wp14:editId="3270AE55">
            <wp:extent cx="2997200" cy="2366010"/>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97200" cy="2366010"/>
                    </a:xfrm>
                    <a:prstGeom prst="rect">
                      <a:avLst/>
                    </a:prstGeom>
                    <a:noFill/>
                    <a:ln>
                      <a:noFill/>
                    </a:ln>
                  </pic:spPr>
                </pic:pic>
              </a:graphicData>
            </a:graphic>
          </wp:inline>
        </w:drawing>
      </w:r>
    </w:p>
    <w:p w14:paraId="582809A4" w14:textId="77777777" w:rsidR="00E56E65" w:rsidRPr="00150669" w:rsidRDefault="00E56E65" w:rsidP="00E56E65">
      <w:pPr>
        <w:rPr>
          <w:sz w:val="22"/>
          <w:szCs w:val="22"/>
        </w:rPr>
      </w:pPr>
    </w:p>
    <w:p w14:paraId="1306BA36" w14:textId="77777777" w:rsidR="00E56E65" w:rsidRDefault="00E56E65" w:rsidP="00E56E65">
      <w:pPr>
        <w:rPr>
          <w:sz w:val="22"/>
          <w:szCs w:val="22"/>
        </w:rPr>
      </w:pPr>
    </w:p>
    <w:p w14:paraId="04227719" w14:textId="77777777" w:rsidR="00E56E65" w:rsidRDefault="00E56E65" w:rsidP="00E56E65">
      <w:pPr>
        <w:ind w:left="1701"/>
        <w:rPr>
          <w:sz w:val="22"/>
          <w:szCs w:val="22"/>
        </w:rPr>
      </w:pPr>
    </w:p>
    <w:p w14:paraId="393FA684" w14:textId="77777777" w:rsidR="00E56E65" w:rsidRDefault="00E56E65" w:rsidP="00E56E65">
      <w:pPr>
        <w:ind w:left="1701"/>
        <w:rPr>
          <w:sz w:val="22"/>
          <w:szCs w:val="22"/>
        </w:rPr>
      </w:pPr>
    </w:p>
    <w:p w14:paraId="59E3E4C7" w14:textId="77777777" w:rsidR="00E56E65" w:rsidRDefault="00E56E65" w:rsidP="00E56E65">
      <w:pPr>
        <w:ind w:left="1701"/>
        <w:rPr>
          <w:sz w:val="22"/>
          <w:szCs w:val="22"/>
        </w:rPr>
      </w:pPr>
    </w:p>
    <w:p w14:paraId="16CC836F" w14:textId="77777777" w:rsidR="00E56E65" w:rsidRDefault="00E56E65" w:rsidP="00E56E65">
      <w:pPr>
        <w:ind w:left="1701"/>
        <w:rPr>
          <w:sz w:val="22"/>
          <w:szCs w:val="22"/>
        </w:rPr>
      </w:pPr>
    </w:p>
    <w:p w14:paraId="3EDAE455" w14:textId="77777777" w:rsidR="009376C3" w:rsidRDefault="009376C3" w:rsidP="00E56E65">
      <w:pPr>
        <w:ind w:left="1701"/>
        <w:rPr>
          <w:sz w:val="22"/>
          <w:szCs w:val="22"/>
        </w:rPr>
      </w:pPr>
    </w:p>
    <w:p w14:paraId="6E7674C1" w14:textId="77777777" w:rsidR="00265D73" w:rsidRDefault="00265D73" w:rsidP="00E56E65">
      <w:pPr>
        <w:ind w:left="1701"/>
        <w:rPr>
          <w:sz w:val="22"/>
          <w:szCs w:val="22"/>
        </w:rPr>
      </w:pPr>
    </w:p>
    <w:p w14:paraId="516A152F" w14:textId="77777777" w:rsidR="009376C3" w:rsidRDefault="009376C3" w:rsidP="004632C8">
      <w:pPr>
        <w:rPr>
          <w:sz w:val="22"/>
          <w:szCs w:val="22"/>
        </w:rPr>
      </w:pPr>
    </w:p>
    <w:p w14:paraId="6DBB9CB0" w14:textId="77777777" w:rsidR="009376C3" w:rsidRDefault="009376C3" w:rsidP="00E56E65">
      <w:pPr>
        <w:ind w:left="1701"/>
        <w:rPr>
          <w:sz w:val="22"/>
          <w:szCs w:val="22"/>
        </w:rPr>
      </w:pPr>
    </w:p>
    <w:p w14:paraId="51770C5D" w14:textId="77777777" w:rsidR="00E56E65" w:rsidRDefault="00E56E65" w:rsidP="004632C8">
      <w:pPr>
        <w:rPr>
          <w:sz w:val="22"/>
          <w:szCs w:val="22"/>
        </w:rPr>
      </w:pPr>
    </w:p>
    <w:p w14:paraId="5F223283" w14:textId="77777777" w:rsidR="00FA7940" w:rsidRDefault="00E56E65" w:rsidP="00FA7940">
      <w:pPr>
        <w:keepNext/>
        <w:ind w:left="1701"/>
      </w:pPr>
      <w:r>
        <w:rPr>
          <w:rFonts w:ascii="Arial" w:hAnsi="Arial" w:cs="Arial"/>
          <w:b/>
          <w:noProof/>
          <w:color w:val="1F497D" w:themeColor="text2"/>
          <w:lang w:val="en-US"/>
        </w:rPr>
        <w:drawing>
          <wp:inline distT="0" distB="0" distL="0" distR="0" wp14:anchorId="27DCCCCB" wp14:editId="5CA96063">
            <wp:extent cx="3261360" cy="2345690"/>
            <wp:effectExtent l="0" t="0" r="0" b="0"/>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62960" cy="2346841"/>
                    </a:xfrm>
                    <a:prstGeom prst="rect">
                      <a:avLst/>
                    </a:prstGeom>
                    <a:noFill/>
                    <a:ln>
                      <a:noFill/>
                    </a:ln>
                  </pic:spPr>
                </pic:pic>
              </a:graphicData>
            </a:graphic>
          </wp:inline>
        </w:drawing>
      </w:r>
    </w:p>
    <w:p w14:paraId="3DF8A68E" w14:textId="77777777" w:rsidR="009376C3" w:rsidRDefault="009376C3" w:rsidP="00FA7940">
      <w:pPr>
        <w:pStyle w:val="Caption"/>
      </w:pPr>
    </w:p>
    <w:p w14:paraId="071A5CB2" w14:textId="77777777" w:rsidR="009376C3" w:rsidRDefault="009376C3" w:rsidP="009376C3">
      <w:pPr>
        <w:pStyle w:val="Caption"/>
        <w:spacing w:line="360" w:lineRule="auto"/>
        <w:jc w:val="both"/>
        <w:rPr>
          <w:rFonts w:ascii="Arial" w:hAnsi="Arial" w:cs="Arial"/>
          <w:color w:val="244061" w:themeColor="accent1" w:themeShade="80"/>
          <w:sz w:val="24"/>
          <w:szCs w:val="24"/>
        </w:rPr>
      </w:pPr>
    </w:p>
    <w:p w14:paraId="1962DA9B" w14:textId="77777777" w:rsidR="00E56E65" w:rsidRPr="009376C3" w:rsidRDefault="00FA7940" w:rsidP="009376C3">
      <w:pPr>
        <w:pStyle w:val="Caption"/>
        <w:spacing w:line="360" w:lineRule="auto"/>
        <w:jc w:val="both"/>
        <w:rPr>
          <w:rFonts w:ascii="Arial" w:hAnsi="Arial" w:cs="Arial"/>
          <w:b w:val="0"/>
          <w:noProof/>
          <w:color w:val="244061" w:themeColor="accent1" w:themeShade="80"/>
          <w:sz w:val="24"/>
          <w:szCs w:val="24"/>
        </w:rPr>
      </w:pPr>
      <w:bookmarkStart w:id="103" w:name="_Toc383544623"/>
      <w:r w:rsidRPr="009376C3">
        <w:rPr>
          <w:rFonts w:ascii="Arial" w:hAnsi="Arial" w:cs="Arial"/>
          <w:color w:val="244061" w:themeColor="accent1" w:themeShade="80"/>
          <w:sz w:val="24"/>
          <w:szCs w:val="24"/>
        </w:rPr>
        <w:t xml:space="preserve">Figure </w:t>
      </w:r>
      <w:r w:rsidRPr="009376C3">
        <w:rPr>
          <w:rFonts w:ascii="Arial" w:hAnsi="Arial" w:cs="Arial"/>
          <w:color w:val="244061" w:themeColor="accent1" w:themeShade="80"/>
          <w:sz w:val="24"/>
          <w:szCs w:val="24"/>
        </w:rPr>
        <w:fldChar w:fldCharType="begin"/>
      </w:r>
      <w:r w:rsidRPr="009376C3">
        <w:rPr>
          <w:rFonts w:ascii="Arial" w:hAnsi="Arial" w:cs="Arial"/>
          <w:color w:val="244061" w:themeColor="accent1" w:themeShade="80"/>
          <w:sz w:val="24"/>
          <w:szCs w:val="24"/>
        </w:rPr>
        <w:instrText xml:space="preserve"> SEQ Figure \* ARABIC </w:instrText>
      </w:r>
      <w:r w:rsidRPr="009376C3">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32</w:t>
      </w:r>
      <w:r w:rsidRPr="009376C3">
        <w:rPr>
          <w:rFonts w:ascii="Arial" w:hAnsi="Arial" w:cs="Arial"/>
          <w:color w:val="244061" w:themeColor="accent1" w:themeShade="80"/>
          <w:sz w:val="24"/>
          <w:szCs w:val="24"/>
        </w:rPr>
        <w:fldChar w:fldCharType="end"/>
      </w:r>
      <w:r w:rsidRPr="009376C3">
        <w:rPr>
          <w:rFonts w:ascii="Arial" w:hAnsi="Arial" w:cs="Arial"/>
          <w:color w:val="244061" w:themeColor="accent1" w:themeShade="80"/>
          <w:sz w:val="24"/>
          <w:szCs w:val="24"/>
        </w:rPr>
        <w:t xml:space="preserve"> </w:t>
      </w:r>
      <w:r w:rsidR="00E56E65" w:rsidRPr="009376C3">
        <w:rPr>
          <w:rFonts w:ascii="Arial" w:hAnsi="Arial" w:cs="Arial"/>
          <w:color w:val="244061" w:themeColor="accent1" w:themeShade="80"/>
          <w:sz w:val="24"/>
          <w:szCs w:val="24"/>
        </w:rPr>
        <w:t xml:space="preserve">Change of loaded tibial bone formation parameters compared with the non-loaded </w:t>
      </w:r>
      <w:r w:rsidR="001F5E17">
        <w:rPr>
          <w:rFonts w:ascii="Arial" w:hAnsi="Arial" w:cs="Arial"/>
          <w:color w:val="244061" w:themeColor="accent1" w:themeShade="80"/>
          <w:sz w:val="24"/>
          <w:szCs w:val="24"/>
        </w:rPr>
        <w:t>(</w:t>
      </w:r>
      <w:r w:rsidR="00E56E65" w:rsidRPr="009376C3">
        <w:rPr>
          <w:rFonts w:ascii="Arial" w:hAnsi="Arial" w:cs="Arial"/>
          <w:color w:val="244061" w:themeColor="accent1" w:themeShade="80"/>
          <w:sz w:val="24"/>
          <w:szCs w:val="24"/>
        </w:rPr>
        <w:t>control</w:t>
      </w:r>
      <w:r w:rsidR="001F5E17">
        <w:rPr>
          <w:rFonts w:ascii="Arial" w:hAnsi="Arial" w:cs="Arial"/>
          <w:color w:val="244061" w:themeColor="accent1" w:themeShade="80"/>
          <w:sz w:val="24"/>
          <w:szCs w:val="24"/>
        </w:rPr>
        <w:t>)</w:t>
      </w:r>
      <w:r w:rsidR="00E56E65" w:rsidRPr="009376C3">
        <w:rPr>
          <w:rFonts w:ascii="Arial" w:hAnsi="Arial" w:cs="Arial"/>
          <w:color w:val="244061" w:themeColor="accent1" w:themeShade="80"/>
          <w:sz w:val="24"/>
          <w:szCs w:val="24"/>
        </w:rPr>
        <w:t xml:space="preserve"> tibiae</w:t>
      </w:r>
      <w:r w:rsidR="00E56E65" w:rsidRPr="009376C3">
        <w:rPr>
          <w:rFonts w:ascii="Arial" w:hAnsi="Arial" w:cs="Arial"/>
          <w:b w:val="0"/>
          <w:color w:val="244061" w:themeColor="accent1" w:themeShade="80"/>
          <w:sz w:val="24"/>
          <w:szCs w:val="24"/>
        </w:rPr>
        <w:t xml:space="preserve"> </w:t>
      </w:r>
      <w:r w:rsidR="00E56E65" w:rsidRPr="009376C3">
        <w:rPr>
          <w:rFonts w:ascii="Arial" w:hAnsi="Arial" w:cs="Arial"/>
          <w:color w:val="244061" w:themeColor="accent1" w:themeShade="80"/>
          <w:sz w:val="24"/>
          <w:szCs w:val="24"/>
        </w:rPr>
        <w:t xml:space="preserve">of 19-week-old fed (n=6) or overnight fasted </w:t>
      </w:r>
      <w:r w:rsidR="002176B1">
        <w:rPr>
          <w:rFonts w:ascii="Arial" w:hAnsi="Arial" w:cs="Arial"/>
          <w:color w:val="244061" w:themeColor="accent1" w:themeShade="80"/>
          <w:sz w:val="24"/>
          <w:szCs w:val="24"/>
        </w:rPr>
        <w:t>2-hour</w:t>
      </w:r>
      <w:r w:rsidR="002176B1" w:rsidRPr="009376C3">
        <w:rPr>
          <w:rFonts w:ascii="Arial" w:hAnsi="Arial" w:cs="Arial"/>
          <w:color w:val="244061" w:themeColor="accent1" w:themeShade="80"/>
          <w:sz w:val="24"/>
          <w:szCs w:val="24"/>
        </w:rPr>
        <w:t xml:space="preserve"> </w:t>
      </w:r>
      <w:r w:rsidR="00E56E65" w:rsidRPr="009376C3">
        <w:rPr>
          <w:rFonts w:ascii="Arial" w:hAnsi="Arial" w:cs="Arial"/>
          <w:color w:val="244061" w:themeColor="accent1" w:themeShade="80"/>
          <w:sz w:val="24"/>
          <w:szCs w:val="24"/>
        </w:rPr>
        <w:t>fed (n=5) male mice</w:t>
      </w:r>
      <w:bookmarkEnd w:id="103"/>
      <w:r w:rsidR="00E56E65" w:rsidRPr="009376C3">
        <w:rPr>
          <w:rFonts w:ascii="Arial" w:hAnsi="Arial" w:cs="Arial"/>
          <w:color w:val="244061" w:themeColor="accent1" w:themeShade="80"/>
          <w:sz w:val="24"/>
          <w:szCs w:val="24"/>
        </w:rPr>
        <w:t xml:space="preserve"> </w:t>
      </w:r>
    </w:p>
    <w:p w14:paraId="006919CB" w14:textId="77777777" w:rsidR="00012227" w:rsidRDefault="00E56E65" w:rsidP="00E56E65">
      <w:pPr>
        <w:spacing w:line="360" w:lineRule="auto"/>
        <w:jc w:val="both"/>
        <w:rPr>
          <w:rFonts w:ascii="Arial" w:hAnsi="Arial" w:cs="Arial"/>
          <w:b/>
          <w:noProof/>
          <w:color w:val="1F497D" w:themeColor="text2"/>
          <w:sz w:val="22"/>
          <w:szCs w:val="22"/>
        </w:rPr>
      </w:pPr>
      <w:r w:rsidRPr="00F32AAD">
        <w:rPr>
          <w:rFonts w:ascii="Arial" w:hAnsi="Arial" w:cs="Arial"/>
          <w:sz w:val="22"/>
          <w:szCs w:val="22"/>
        </w:rPr>
        <w:t>Change in mineral apposition rate (MAR) (B) and bone formation rate (BFR/BS) (C) of loaded right tibiae was significantly higher compared with non-loaded left controls. Mineralising surface (MS) in loaded tibiae o</w:t>
      </w:r>
      <w:r w:rsidR="00012227">
        <w:rPr>
          <w:rFonts w:ascii="Arial" w:hAnsi="Arial" w:cs="Arial"/>
          <w:sz w:val="22"/>
          <w:szCs w:val="22"/>
        </w:rPr>
        <w:t>f fasted 2-hour</w:t>
      </w:r>
      <w:r w:rsidRPr="00F32AAD">
        <w:rPr>
          <w:rFonts w:ascii="Arial" w:hAnsi="Arial" w:cs="Arial"/>
          <w:sz w:val="22"/>
          <w:szCs w:val="22"/>
        </w:rPr>
        <w:t xml:space="preserve"> fed mice increased but not significantly from ad-lib fed mice (A).</w:t>
      </w:r>
      <w:r w:rsidRPr="00F32AAD">
        <w:rPr>
          <w:rFonts w:ascii="Arial" w:hAnsi="Arial" w:cs="Arial"/>
          <w:b/>
          <w:noProof/>
          <w:color w:val="1F497D" w:themeColor="text2"/>
          <w:sz w:val="22"/>
          <w:szCs w:val="22"/>
        </w:rPr>
        <w:t xml:space="preserve"> </w:t>
      </w:r>
    </w:p>
    <w:p w14:paraId="5B0F3E09" w14:textId="77777777" w:rsidR="00E56E65" w:rsidRPr="00F32AAD" w:rsidRDefault="00E56E65" w:rsidP="00E56E65">
      <w:pPr>
        <w:spacing w:line="360" w:lineRule="auto"/>
        <w:jc w:val="both"/>
        <w:rPr>
          <w:rFonts w:ascii="Arial" w:hAnsi="Arial" w:cs="Arial"/>
          <w:b/>
          <w:noProof/>
          <w:color w:val="1F497D" w:themeColor="text2"/>
          <w:sz w:val="22"/>
          <w:szCs w:val="22"/>
        </w:rPr>
      </w:pPr>
      <w:r w:rsidRPr="00F32AAD">
        <w:rPr>
          <w:rFonts w:ascii="Arial" w:eastAsiaTheme="minorHAnsi" w:hAnsi="Arial" w:cs="Arial"/>
          <w:sz w:val="22"/>
          <w:szCs w:val="22"/>
          <w:lang w:val="en-US"/>
        </w:rPr>
        <w:t>Bars represent mean</w:t>
      </w:r>
      <w:r w:rsidRPr="00F32AAD">
        <w:rPr>
          <w:rFonts w:ascii="Arial" w:eastAsia="MS Gothic" w:hAnsi="Arial" w:cs="Arial"/>
          <w:sz w:val="22"/>
          <w:szCs w:val="22"/>
        </w:rPr>
        <w:t>±</w:t>
      </w:r>
      <w:r w:rsidRPr="00F32AAD">
        <w:rPr>
          <w:rFonts w:ascii="Arial" w:eastAsiaTheme="minorHAnsi" w:hAnsi="Arial" w:cs="Arial"/>
          <w:sz w:val="22"/>
          <w:szCs w:val="22"/>
          <w:lang w:val="en-US"/>
        </w:rPr>
        <w:t xml:space="preserve">SE. ** </w:t>
      </w:r>
      <w:proofErr w:type="gramStart"/>
      <w:r w:rsidRPr="00F32AAD">
        <w:rPr>
          <w:rFonts w:ascii="Arial" w:eastAsiaTheme="minorHAnsi" w:hAnsi="Arial" w:cs="Arial"/>
          <w:sz w:val="22"/>
          <w:szCs w:val="22"/>
          <w:lang w:val="en-US"/>
        </w:rPr>
        <w:t>p</w:t>
      </w:r>
      <w:proofErr w:type="gramEnd"/>
      <w:r w:rsidRPr="00F32AAD">
        <w:rPr>
          <w:rFonts w:ascii="Arial" w:eastAsiaTheme="minorHAnsi" w:hAnsi="Arial" w:cs="Arial"/>
          <w:sz w:val="22"/>
          <w:szCs w:val="22"/>
          <w:lang w:val="en-US"/>
        </w:rPr>
        <w:t>&lt;0.01</w:t>
      </w:r>
    </w:p>
    <w:p w14:paraId="72CBCF70" w14:textId="77777777" w:rsidR="00E56E65" w:rsidRDefault="00E56E65" w:rsidP="00E56E65">
      <w:pPr>
        <w:spacing w:line="480" w:lineRule="auto"/>
        <w:jc w:val="both"/>
        <w:rPr>
          <w:rFonts w:ascii="Arial" w:hAnsi="Arial" w:cs="Arial"/>
          <w:b/>
          <w:noProof/>
          <w:color w:val="1F497D" w:themeColor="text2"/>
        </w:rPr>
      </w:pPr>
    </w:p>
    <w:p w14:paraId="0FE1E0B2" w14:textId="77777777" w:rsidR="00530E52" w:rsidRDefault="00530E52" w:rsidP="00B83053">
      <w:pPr>
        <w:pStyle w:val="Heading3"/>
        <w:spacing w:line="480" w:lineRule="auto"/>
        <w:jc w:val="both"/>
        <w:rPr>
          <w:rFonts w:ascii="Arial" w:eastAsia="Times New Roman" w:hAnsi="Arial" w:cs="Arial"/>
          <w:b w:val="0"/>
          <w:bCs w:val="0"/>
          <w:noProof/>
          <w:color w:val="000000" w:themeColor="text1"/>
        </w:rPr>
      </w:pPr>
      <w:bookmarkStart w:id="104" w:name="_Toc383723895"/>
    </w:p>
    <w:p w14:paraId="6775BA71" w14:textId="77777777" w:rsidR="00E56E65" w:rsidRPr="00104933" w:rsidRDefault="00E56E65" w:rsidP="00B83053">
      <w:pPr>
        <w:pStyle w:val="Heading3"/>
        <w:spacing w:line="480" w:lineRule="auto"/>
        <w:jc w:val="both"/>
        <w:rPr>
          <w:rFonts w:ascii="Arial" w:hAnsi="Arial" w:cs="Arial"/>
          <w:noProof/>
          <w:color w:val="auto"/>
        </w:rPr>
      </w:pPr>
      <w:r w:rsidRPr="00104933">
        <w:rPr>
          <w:rFonts w:ascii="Arial" w:hAnsi="Arial" w:cs="Arial"/>
          <w:noProof/>
          <w:color w:val="auto"/>
        </w:rPr>
        <w:t xml:space="preserve">4.2.3 The effect of maximal mechanical loading on tibial trabecular bone mass and architecture of fed or fasted </w:t>
      </w:r>
      <w:r w:rsidR="00506C11">
        <w:rPr>
          <w:rFonts w:ascii="Arial" w:hAnsi="Arial" w:cs="Arial"/>
          <w:noProof/>
          <w:color w:val="auto"/>
        </w:rPr>
        <w:t xml:space="preserve">2-hour </w:t>
      </w:r>
      <w:r w:rsidRPr="00104933">
        <w:rPr>
          <w:rFonts w:ascii="Arial" w:hAnsi="Arial" w:cs="Arial"/>
          <w:noProof/>
          <w:color w:val="auto"/>
        </w:rPr>
        <w:t xml:space="preserve">fed </w:t>
      </w:r>
      <w:r w:rsidR="00506C11">
        <w:rPr>
          <w:rFonts w:ascii="Arial" w:hAnsi="Arial" w:cs="Arial"/>
          <w:noProof/>
          <w:color w:val="auto"/>
        </w:rPr>
        <w:t xml:space="preserve">young </w:t>
      </w:r>
      <w:r w:rsidRPr="00104933">
        <w:rPr>
          <w:rFonts w:ascii="Arial" w:hAnsi="Arial" w:cs="Arial"/>
          <w:noProof/>
          <w:color w:val="auto"/>
        </w:rPr>
        <w:t>mice</w:t>
      </w:r>
      <w:bookmarkEnd w:id="104"/>
    </w:p>
    <w:p w14:paraId="2A7E8095" w14:textId="77777777" w:rsidR="00B83053" w:rsidRDefault="00E56E65" w:rsidP="00B83053">
      <w:pPr>
        <w:spacing w:line="480" w:lineRule="auto"/>
        <w:jc w:val="both"/>
        <w:rPr>
          <w:rFonts w:ascii="Arial" w:hAnsi="Arial" w:cs="Arial"/>
          <w:color w:val="000000" w:themeColor="text1"/>
        </w:rPr>
      </w:pPr>
      <w:r>
        <w:rPr>
          <w:rFonts w:ascii="Arial" w:hAnsi="Arial"/>
          <w:bCs/>
          <w:lang w:val="en-US"/>
        </w:rPr>
        <w:t xml:space="preserve">Analysis of </w:t>
      </w:r>
      <w:r w:rsidRPr="006635E8">
        <w:rPr>
          <w:rFonts w:ascii="Arial" w:eastAsiaTheme="minorHAnsi" w:hAnsi="Arial"/>
          <w:bCs/>
          <w:color w:val="000000" w:themeColor="text1"/>
          <w:lang w:val="en-US"/>
        </w:rPr>
        <w:t>high resolution (</w:t>
      </w:r>
      <w:r w:rsidRPr="006635E8">
        <w:rPr>
          <w:rFonts w:ascii="Arial" w:hAnsi="Arial" w:cs="Arial"/>
          <w:color w:val="000000" w:themeColor="text1"/>
        </w:rPr>
        <w:t>4.3</w:t>
      </w:r>
      <w:r w:rsidRPr="006635E8">
        <w:rPr>
          <w:rFonts w:ascii="Arial" w:hAnsi="Arial" w:cs="Arial"/>
          <w:color w:val="000000" w:themeColor="text1"/>
        </w:rPr>
        <w:sym w:font="Symbol" w:char="F06D"/>
      </w:r>
      <w:r w:rsidRPr="006635E8">
        <w:rPr>
          <w:rFonts w:ascii="Arial" w:hAnsi="Arial" w:cs="Arial"/>
          <w:color w:val="000000" w:themeColor="text1"/>
        </w:rPr>
        <w:t>m</w:t>
      </w:r>
      <w:r w:rsidRPr="006635E8">
        <w:rPr>
          <w:rFonts w:ascii="Arial" w:hAnsi="Arial"/>
          <w:color w:val="000000" w:themeColor="text1"/>
        </w:rPr>
        <w:t>)</w:t>
      </w:r>
      <w:r>
        <w:rPr>
          <w:rFonts w:ascii="Arial" w:hAnsi="Arial"/>
          <w:color w:val="000000" w:themeColor="text1"/>
        </w:rPr>
        <w:t xml:space="preserve"> </w:t>
      </w:r>
      <w:r w:rsidRPr="006635E8">
        <w:rPr>
          <w:rFonts w:ascii="Arial" w:hAnsi="Arial" w:cs="Arial"/>
          <w:color w:val="000000" w:themeColor="text1"/>
        </w:rPr>
        <w:sym w:font="Symbol" w:char="F06D"/>
      </w:r>
      <w:r w:rsidRPr="006635E8">
        <w:rPr>
          <w:rFonts w:ascii="Arial" w:hAnsi="Arial" w:cs="Arial"/>
          <w:color w:val="000000" w:themeColor="text1"/>
        </w:rPr>
        <w:t>CT</w:t>
      </w:r>
      <w:r>
        <w:rPr>
          <w:rFonts w:ascii="Arial" w:eastAsiaTheme="minorHAnsi" w:hAnsi="Arial"/>
          <w:bCs/>
          <w:color w:val="000000" w:themeColor="text1"/>
          <w:lang w:val="en-US"/>
        </w:rPr>
        <w:t xml:space="preserve"> scans</w:t>
      </w:r>
      <w:r w:rsidRPr="006635E8">
        <w:rPr>
          <w:rFonts w:ascii="Arial" w:eastAsiaTheme="minorHAnsi" w:hAnsi="Arial"/>
          <w:bCs/>
          <w:color w:val="000000" w:themeColor="text1"/>
          <w:lang w:val="en-US"/>
        </w:rPr>
        <w:t xml:space="preserve"> </w:t>
      </w:r>
      <w:r>
        <w:rPr>
          <w:rFonts w:ascii="Arial" w:eastAsiaTheme="minorHAnsi" w:hAnsi="Arial"/>
          <w:bCs/>
          <w:color w:val="000000" w:themeColor="text1"/>
          <w:lang w:val="en-US"/>
        </w:rPr>
        <w:t xml:space="preserve">of the </w:t>
      </w:r>
      <w:r>
        <w:rPr>
          <w:rFonts w:ascii="Arial" w:hAnsi="Arial"/>
          <w:bCs/>
          <w:lang w:val="en-US"/>
        </w:rPr>
        <w:t xml:space="preserve">trabecular bone structure of proximal tibial region </w:t>
      </w:r>
      <w:r>
        <w:rPr>
          <w:rFonts w:ascii="Arial" w:hAnsi="Arial" w:cs="Arial"/>
          <w:color w:val="000000" w:themeColor="text1"/>
        </w:rPr>
        <w:t xml:space="preserve">revealed that both fed and fasted fed mice had significantly increased trabecular bone volume fraction and thickness, and decreased pattern factor in the loaded tibiae compared to the internal non-loaded controls. </w:t>
      </w:r>
    </w:p>
    <w:p w14:paraId="52178D73" w14:textId="77777777" w:rsidR="00B83053" w:rsidRDefault="00B83053" w:rsidP="00B83053">
      <w:pPr>
        <w:spacing w:line="480" w:lineRule="auto"/>
        <w:jc w:val="both"/>
        <w:rPr>
          <w:rFonts w:ascii="Arial" w:hAnsi="Arial" w:cs="Arial"/>
          <w:color w:val="000000" w:themeColor="text1"/>
        </w:rPr>
      </w:pPr>
    </w:p>
    <w:p w14:paraId="6C9A4CE4" w14:textId="77777777" w:rsidR="00B83053" w:rsidRDefault="00E56E65" w:rsidP="00B83053">
      <w:pPr>
        <w:spacing w:line="480" w:lineRule="auto"/>
        <w:jc w:val="both"/>
        <w:rPr>
          <w:rFonts w:ascii="Arial" w:hAnsi="Arial" w:cs="Arial"/>
          <w:color w:val="000000" w:themeColor="text1"/>
        </w:rPr>
      </w:pPr>
      <w:r w:rsidRPr="003B6F9D">
        <w:rPr>
          <w:rFonts w:ascii="Arial" w:hAnsi="Arial"/>
          <w:bCs/>
          <w:lang w:val="en-US"/>
        </w:rPr>
        <w:t xml:space="preserve">The trabecular BV/TV increased significantly by </w:t>
      </w:r>
      <w:r w:rsidR="00CF55DD">
        <w:rPr>
          <w:rFonts w:ascii="Arial" w:hAnsi="Arial"/>
          <w:bCs/>
          <w:lang w:val="en-US"/>
        </w:rPr>
        <w:t>48</w:t>
      </w:r>
      <w:r w:rsidRPr="003B6F9D">
        <w:rPr>
          <w:rFonts w:ascii="Arial" w:hAnsi="Arial"/>
          <w:bCs/>
          <w:lang w:val="en-US"/>
        </w:rPr>
        <w:t xml:space="preserve">% </w:t>
      </w:r>
      <w:r>
        <w:rPr>
          <w:rFonts w:ascii="Arial" w:hAnsi="Arial"/>
          <w:bCs/>
          <w:lang w:val="en-US"/>
        </w:rPr>
        <w:t>of</w:t>
      </w:r>
      <w:r w:rsidRPr="003B6F9D">
        <w:rPr>
          <w:rFonts w:ascii="Arial" w:hAnsi="Arial"/>
          <w:bCs/>
          <w:lang w:val="en-US"/>
        </w:rPr>
        <w:t xml:space="preserve"> the</w:t>
      </w:r>
      <w:r>
        <w:rPr>
          <w:rFonts w:ascii="Arial" w:hAnsi="Arial"/>
          <w:bCs/>
          <w:lang w:val="en-US"/>
        </w:rPr>
        <w:t xml:space="preserve"> loaded right tibiae in fed group</w:t>
      </w:r>
      <w:r w:rsidRPr="003B6F9D">
        <w:rPr>
          <w:rFonts w:ascii="Arial" w:hAnsi="Arial"/>
          <w:bCs/>
          <w:lang w:val="en-US"/>
        </w:rPr>
        <w:t xml:space="preserve"> </w:t>
      </w:r>
      <w:r w:rsidR="00CF55DD">
        <w:rPr>
          <w:rFonts w:ascii="Arial" w:hAnsi="Arial"/>
          <w:bCs/>
          <w:lang w:val="en-US"/>
        </w:rPr>
        <w:t xml:space="preserve">and </w:t>
      </w:r>
      <w:r>
        <w:rPr>
          <w:rFonts w:ascii="Arial" w:hAnsi="Arial"/>
          <w:bCs/>
          <w:lang w:val="en-US"/>
        </w:rPr>
        <w:t>5</w:t>
      </w:r>
      <w:r w:rsidR="00CF55DD">
        <w:rPr>
          <w:rFonts w:ascii="Arial" w:hAnsi="Arial"/>
          <w:bCs/>
          <w:lang w:val="en-US"/>
        </w:rPr>
        <w:t>3</w:t>
      </w:r>
      <w:r>
        <w:rPr>
          <w:rFonts w:ascii="Arial" w:hAnsi="Arial"/>
          <w:bCs/>
          <w:lang w:val="en-US"/>
        </w:rPr>
        <w:t>% in fasted fed group</w:t>
      </w:r>
      <w:r w:rsidRPr="003B6F9D">
        <w:rPr>
          <w:rFonts w:ascii="Arial" w:hAnsi="Arial"/>
          <w:bCs/>
          <w:lang w:val="en-US"/>
        </w:rPr>
        <w:t xml:space="preserve"> </w:t>
      </w:r>
      <w:r>
        <w:rPr>
          <w:rFonts w:ascii="Arial" w:hAnsi="Arial"/>
          <w:bCs/>
          <w:lang w:val="en-US"/>
        </w:rPr>
        <w:t>compared with</w:t>
      </w:r>
      <w:r w:rsidRPr="003B6F9D">
        <w:rPr>
          <w:rFonts w:ascii="Arial" w:hAnsi="Arial"/>
          <w:bCs/>
          <w:lang w:val="en-US"/>
        </w:rPr>
        <w:t xml:space="preserve"> the left non-loaded tibiae</w:t>
      </w:r>
      <w:r>
        <w:rPr>
          <w:rFonts w:ascii="Arial" w:hAnsi="Arial"/>
          <w:bCs/>
          <w:lang w:val="en-US"/>
        </w:rPr>
        <w:t xml:space="preserve">. Tb.Pf of the loaded </w:t>
      </w:r>
      <w:r>
        <w:rPr>
          <w:rFonts w:ascii="Arial" w:hAnsi="Arial"/>
          <w:bCs/>
          <w:lang w:val="en-US"/>
        </w:rPr>
        <w:lastRenderedPageBreak/>
        <w:t>right tibiae d</w:t>
      </w:r>
      <w:r w:rsidRPr="003B6F9D">
        <w:rPr>
          <w:rFonts w:ascii="Arial" w:hAnsi="Arial"/>
          <w:bCs/>
          <w:lang w:val="en-US"/>
        </w:rPr>
        <w:t xml:space="preserve">ecreased </w:t>
      </w:r>
      <w:r>
        <w:rPr>
          <w:rFonts w:ascii="Arial" w:hAnsi="Arial"/>
          <w:bCs/>
          <w:lang w:val="en-US"/>
        </w:rPr>
        <w:t xml:space="preserve">significantly </w:t>
      </w:r>
      <w:r w:rsidRPr="003B6F9D">
        <w:rPr>
          <w:rFonts w:ascii="Arial" w:hAnsi="Arial"/>
          <w:bCs/>
          <w:lang w:val="en-US"/>
        </w:rPr>
        <w:t xml:space="preserve">by </w:t>
      </w:r>
      <w:r>
        <w:rPr>
          <w:rFonts w:ascii="Arial" w:hAnsi="Arial"/>
          <w:bCs/>
          <w:lang w:val="en-US"/>
        </w:rPr>
        <w:t xml:space="preserve">29% and 32% </w:t>
      </w:r>
      <w:r w:rsidRPr="003B6F9D">
        <w:rPr>
          <w:rFonts w:ascii="Arial" w:hAnsi="Arial"/>
          <w:bCs/>
          <w:lang w:val="en-US"/>
        </w:rPr>
        <w:t xml:space="preserve">in </w:t>
      </w:r>
      <w:r>
        <w:rPr>
          <w:rFonts w:ascii="Arial" w:hAnsi="Arial"/>
          <w:bCs/>
          <w:lang w:val="en-US"/>
        </w:rPr>
        <w:t>fed and fasted fed groups respectively compared with</w:t>
      </w:r>
      <w:r w:rsidRPr="003B6F9D">
        <w:rPr>
          <w:rFonts w:ascii="Arial" w:hAnsi="Arial"/>
          <w:bCs/>
          <w:lang w:val="en-US"/>
        </w:rPr>
        <w:t xml:space="preserve"> the left non-loaded </w:t>
      </w:r>
      <w:r w:rsidR="00DE5BEE">
        <w:rPr>
          <w:rFonts w:ascii="Arial" w:hAnsi="Arial"/>
          <w:bCs/>
          <w:lang w:val="en-US"/>
        </w:rPr>
        <w:t xml:space="preserve">controls. </w:t>
      </w:r>
      <w:r>
        <w:rPr>
          <w:rFonts w:ascii="Arial" w:hAnsi="Arial"/>
          <w:bCs/>
          <w:lang w:val="en-US"/>
        </w:rPr>
        <w:t>Tb.Th of the right loaded tib</w:t>
      </w:r>
      <w:r w:rsidR="00E3707C">
        <w:rPr>
          <w:rFonts w:ascii="Arial" w:hAnsi="Arial"/>
          <w:bCs/>
          <w:lang w:val="en-US"/>
        </w:rPr>
        <w:t xml:space="preserve">iae increased significantly by </w:t>
      </w:r>
      <w:r w:rsidRPr="003B6F9D">
        <w:rPr>
          <w:rFonts w:ascii="Arial" w:hAnsi="Arial"/>
          <w:bCs/>
          <w:lang w:val="en-US"/>
        </w:rPr>
        <w:t>5</w:t>
      </w:r>
      <w:r w:rsidR="00E3707C">
        <w:rPr>
          <w:rFonts w:ascii="Arial" w:hAnsi="Arial"/>
          <w:bCs/>
          <w:lang w:val="en-US"/>
        </w:rPr>
        <w:t>9</w:t>
      </w:r>
      <w:r w:rsidRPr="003B6F9D">
        <w:rPr>
          <w:rFonts w:ascii="Arial" w:hAnsi="Arial"/>
          <w:bCs/>
          <w:lang w:val="en-US"/>
        </w:rPr>
        <w:t xml:space="preserve">% </w:t>
      </w:r>
      <w:r w:rsidR="00E3707C">
        <w:rPr>
          <w:rFonts w:ascii="Arial" w:hAnsi="Arial"/>
          <w:bCs/>
          <w:lang w:val="en-US"/>
        </w:rPr>
        <w:t>in fed and 34</w:t>
      </w:r>
      <w:r>
        <w:rPr>
          <w:rFonts w:ascii="Arial" w:hAnsi="Arial"/>
          <w:bCs/>
          <w:lang w:val="en-US"/>
        </w:rPr>
        <w:t xml:space="preserve">% in fasted fed mice compared with the </w:t>
      </w:r>
      <w:r w:rsidR="00DE5BEE">
        <w:rPr>
          <w:rFonts w:ascii="Arial" w:hAnsi="Arial"/>
          <w:bCs/>
          <w:lang w:val="en-US"/>
        </w:rPr>
        <w:t xml:space="preserve">non-loaded left tibiae. </w:t>
      </w:r>
      <w:r w:rsidRPr="003B6F9D">
        <w:rPr>
          <w:rFonts w:ascii="Arial" w:hAnsi="Arial"/>
          <w:bCs/>
          <w:lang w:val="en-US"/>
        </w:rPr>
        <w:t xml:space="preserve">There were no significant differences </w:t>
      </w:r>
      <w:r>
        <w:rPr>
          <w:rFonts w:ascii="Arial" w:hAnsi="Arial"/>
          <w:bCs/>
          <w:lang w:val="en-US"/>
        </w:rPr>
        <w:t xml:space="preserve">in Tb.N </w:t>
      </w:r>
      <w:r w:rsidRPr="003B6F9D">
        <w:rPr>
          <w:rFonts w:ascii="Arial" w:hAnsi="Arial"/>
          <w:bCs/>
          <w:lang w:val="en-US"/>
        </w:rPr>
        <w:t xml:space="preserve">between the </w:t>
      </w:r>
      <w:r>
        <w:rPr>
          <w:rFonts w:ascii="Arial" w:hAnsi="Arial"/>
          <w:bCs/>
          <w:lang w:val="en-US"/>
        </w:rPr>
        <w:t xml:space="preserve">bones of </w:t>
      </w:r>
      <w:r w:rsidRPr="003B6F9D">
        <w:rPr>
          <w:rFonts w:ascii="Arial" w:hAnsi="Arial"/>
          <w:bCs/>
          <w:lang w:val="en-US"/>
        </w:rPr>
        <w:t xml:space="preserve">fed mice and those fed </w:t>
      </w:r>
      <w:r>
        <w:rPr>
          <w:rFonts w:ascii="Arial" w:hAnsi="Arial"/>
          <w:bCs/>
          <w:lang w:val="en-US"/>
        </w:rPr>
        <w:t xml:space="preserve">for 2 hours </w:t>
      </w:r>
      <w:r w:rsidR="003965A5">
        <w:rPr>
          <w:rFonts w:ascii="Arial" w:hAnsi="Arial"/>
          <w:bCs/>
          <w:lang w:val="en-US"/>
        </w:rPr>
        <w:t>following overnight fast</w:t>
      </w:r>
      <w:r w:rsidR="00DE5BEE">
        <w:rPr>
          <w:rFonts w:ascii="Arial" w:hAnsi="Arial"/>
          <w:bCs/>
          <w:lang w:val="en-US"/>
        </w:rPr>
        <w:t xml:space="preserve"> (Table 2, section 4.2.1). </w:t>
      </w:r>
      <w:r w:rsidRPr="003B6F9D">
        <w:rPr>
          <w:rFonts w:ascii="Arial" w:hAnsi="Arial"/>
          <w:bCs/>
          <w:lang w:val="en-US"/>
        </w:rPr>
        <w:t xml:space="preserve"> </w:t>
      </w:r>
    </w:p>
    <w:p w14:paraId="7684B80B" w14:textId="77777777" w:rsidR="00E56E65" w:rsidRDefault="00E56E65" w:rsidP="00E56E65">
      <w:pPr>
        <w:spacing w:line="480" w:lineRule="auto"/>
        <w:jc w:val="both"/>
        <w:rPr>
          <w:rFonts w:ascii="Arial" w:hAnsi="Arial"/>
          <w:bCs/>
          <w:lang w:val="en-US"/>
        </w:rPr>
      </w:pPr>
    </w:p>
    <w:p w14:paraId="5C956984" w14:textId="77777777" w:rsidR="00E56E65" w:rsidRDefault="00E56E65" w:rsidP="00E56E65">
      <w:pPr>
        <w:spacing w:line="480" w:lineRule="auto"/>
        <w:jc w:val="both"/>
        <w:rPr>
          <w:rFonts w:ascii="Arial" w:hAnsi="Arial"/>
          <w:bCs/>
          <w:lang w:val="en-US"/>
        </w:rPr>
      </w:pPr>
      <w:r>
        <w:rPr>
          <w:rFonts w:ascii="Arial" w:hAnsi="Arial"/>
          <w:bCs/>
          <w:lang w:val="en-US"/>
        </w:rPr>
        <w:t xml:space="preserve">When compared with trabecular bone parameters from the non-loaded </w:t>
      </w:r>
      <w:r w:rsidR="003A0D83">
        <w:rPr>
          <w:rFonts w:ascii="Arial" w:hAnsi="Arial"/>
          <w:bCs/>
          <w:lang w:val="en-US"/>
        </w:rPr>
        <w:t xml:space="preserve">(control) </w:t>
      </w:r>
      <w:r>
        <w:rPr>
          <w:rFonts w:ascii="Arial" w:hAnsi="Arial"/>
          <w:bCs/>
          <w:lang w:val="en-US"/>
        </w:rPr>
        <w:t xml:space="preserve">tibiae, </w:t>
      </w:r>
      <w:r w:rsidRPr="003B6F9D">
        <w:rPr>
          <w:rFonts w:ascii="Arial" w:hAnsi="Arial"/>
          <w:bCs/>
          <w:lang w:val="en-US"/>
        </w:rPr>
        <w:t xml:space="preserve">BV/TV </w:t>
      </w:r>
      <w:r>
        <w:rPr>
          <w:rFonts w:ascii="Arial" w:hAnsi="Arial"/>
          <w:bCs/>
          <w:lang w:val="en-US"/>
        </w:rPr>
        <w:t>of</w:t>
      </w:r>
      <w:r w:rsidRPr="003B6F9D">
        <w:rPr>
          <w:rFonts w:ascii="Arial" w:hAnsi="Arial"/>
          <w:bCs/>
          <w:lang w:val="en-US"/>
        </w:rPr>
        <w:t xml:space="preserve"> </w:t>
      </w:r>
      <w:r>
        <w:rPr>
          <w:rFonts w:ascii="Arial" w:hAnsi="Arial"/>
          <w:bCs/>
          <w:lang w:val="en-US"/>
        </w:rPr>
        <w:t xml:space="preserve">the right loaded tibiae </w:t>
      </w:r>
      <w:r w:rsidRPr="003B6F9D">
        <w:rPr>
          <w:rFonts w:ascii="Arial" w:hAnsi="Arial"/>
          <w:bCs/>
          <w:lang w:val="en-US"/>
        </w:rPr>
        <w:t xml:space="preserve">was </w:t>
      </w:r>
      <w:r>
        <w:rPr>
          <w:rFonts w:ascii="Arial" w:hAnsi="Arial"/>
          <w:bCs/>
          <w:lang w:val="en-US"/>
        </w:rPr>
        <w:t>significantly increased in fasted fed mice</w:t>
      </w:r>
      <w:r w:rsidRPr="003B6F9D">
        <w:rPr>
          <w:rFonts w:ascii="Arial" w:hAnsi="Arial"/>
          <w:bCs/>
          <w:lang w:val="en-US"/>
        </w:rPr>
        <w:t xml:space="preserve"> </w:t>
      </w:r>
      <w:r>
        <w:rPr>
          <w:rFonts w:ascii="Arial" w:hAnsi="Arial"/>
          <w:bCs/>
          <w:lang w:val="en-US"/>
        </w:rPr>
        <w:t>(</w:t>
      </w:r>
      <w:r w:rsidRPr="003B6F9D">
        <w:rPr>
          <w:rFonts w:ascii="Arial" w:hAnsi="Arial"/>
          <w:bCs/>
          <w:lang w:val="en-US"/>
        </w:rPr>
        <w:t>17.8</w:t>
      </w:r>
      <w:r w:rsidRPr="003B6F9D">
        <w:rPr>
          <w:rFonts w:ascii="Arial" w:eastAsia="MS Gothic" w:hAnsi="Arial" w:cs="Arial"/>
          <w:color w:val="000000"/>
        </w:rPr>
        <w:t>±</w:t>
      </w:r>
      <w:r w:rsidRPr="003B6F9D">
        <w:rPr>
          <w:rFonts w:ascii="Arial" w:hAnsi="Arial"/>
          <w:bCs/>
          <w:lang w:val="en-US"/>
        </w:rPr>
        <w:t>0.5% v</w:t>
      </w:r>
      <w:r>
        <w:rPr>
          <w:rFonts w:ascii="Arial" w:hAnsi="Arial"/>
          <w:bCs/>
          <w:lang w:val="en-US"/>
        </w:rPr>
        <w:t>ersu</w:t>
      </w:r>
      <w:r w:rsidRPr="003B6F9D">
        <w:rPr>
          <w:rFonts w:ascii="Arial" w:hAnsi="Arial"/>
          <w:bCs/>
          <w:lang w:val="en-US"/>
        </w:rPr>
        <w:t>s 11.6</w:t>
      </w:r>
      <w:r w:rsidRPr="003B6F9D">
        <w:rPr>
          <w:rFonts w:ascii="Arial" w:eastAsia="MS Gothic" w:hAnsi="Arial" w:cs="Arial"/>
          <w:color w:val="000000"/>
        </w:rPr>
        <w:t>±</w:t>
      </w:r>
      <w:r>
        <w:rPr>
          <w:rFonts w:ascii="Arial" w:hAnsi="Arial"/>
          <w:bCs/>
          <w:lang w:val="en-US"/>
        </w:rPr>
        <w:t>0.4%, p&lt;0.0001)</w:t>
      </w:r>
      <w:r w:rsidRPr="003B6F9D">
        <w:rPr>
          <w:rFonts w:ascii="Arial" w:hAnsi="Arial"/>
          <w:bCs/>
          <w:lang w:val="en-US"/>
        </w:rPr>
        <w:t xml:space="preserve"> compared with </w:t>
      </w:r>
      <w:r>
        <w:rPr>
          <w:rFonts w:ascii="Arial" w:hAnsi="Arial"/>
          <w:bCs/>
          <w:lang w:val="en-US"/>
        </w:rPr>
        <w:t xml:space="preserve">ad-lib </w:t>
      </w:r>
      <w:r w:rsidRPr="003B6F9D">
        <w:rPr>
          <w:rFonts w:ascii="Arial" w:hAnsi="Arial"/>
          <w:bCs/>
          <w:lang w:val="en-US"/>
        </w:rPr>
        <w:t xml:space="preserve">fed </w:t>
      </w:r>
      <w:r>
        <w:rPr>
          <w:rFonts w:ascii="Arial" w:hAnsi="Arial"/>
          <w:bCs/>
          <w:lang w:val="en-US"/>
        </w:rPr>
        <w:t>mice</w:t>
      </w:r>
      <w:r w:rsidRPr="003B6F9D">
        <w:rPr>
          <w:rFonts w:ascii="Arial" w:hAnsi="Arial"/>
          <w:bCs/>
          <w:lang w:val="en-US"/>
        </w:rPr>
        <w:t xml:space="preserve"> </w:t>
      </w:r>
      <w:r>
        <w:rPr>
          <w:rFonts w:ascii="Arial" w:hAnsi="Arial"/>
          <w:bCs/>
          <w:lang w:val="en-US"/>
        </w:rPr>
        <w:t>(</w:t>
      </w:r>
      <w:r w:rsidRPr="003B6F9D">
        <w:rPr>
          <w:rFonts w:ascii="Arial" w:hAnsi="Arial"/>
          <w:bCs/>
          <w:lang w:val="en-US"/>
        </w:rPr>
        <w:t>18.4</w:t>
      </w:r>
      <w:r w:rsidRPr="003B6F9D">
        <w:rPr>
          <w:rFonts w:ascii="Arial" w:eastAsia="MS Gothic" w:hAnsi="Arial" w:cs="Arial"/>
          <w:color w:val="000000"/>
        </w:rPr>
        <w:t>±</w:t>
      </w:r>
      <w:r w:rsidRPr="003B6F9D">
        <w:rPr>
          <w:rFonts w:ascii="Arial" w:hAnsi="Arial"/>
          <w:bCs/>
          <w:lang w:val="en-US"/>
        </w:rPr>
        <w:t>0.9% v</w:t>
      </w:r>
      <w:r>
        <w:rPr>
          <w:rFonts w:ascii="Arial" w:hAnsi="Arial"/>
          <w:bCs/>
          <w:lang w:val="en-US"/>
        </w:rPr>
        <w:t>ersu</w:t>
      </w:r>
      <w:r w:rsidRPr="003B6F9D">
        <w:rPr>
          <w:rFonts w:ascii="Arial" w:hAnsi="Arial"/>
          <w:bCs/>
          <w:lang w:val="en-US"/>
        </w:rPr>
        <w:t>s 12.4</w:t>
      </w:r>
      <w:r w:rsidRPr="003B6F9D">
        <w:rPr>
          <w:rFonts w:ascii="Arial" w:eastAsia="MS Gothic" w:hAnsi="Arial" w:cs="Arial"/>
          <w:color w:val="000000"/>
        </w:rPr>
        <w:t>±</w:t>
      </w:r>
      <w:r w:rsidR="00982A93">
        <w:rPr>
          <w:rFonts w:ascii="Arial" w:hAnsi="Arial"/>
          <w:bCs/>
          <w:lang w:val="en-US"/>
        </w:rPr>
        <w:t>0.6%, p&lt;0.0001) (Figure 34</w:t>
      </w:r>
      <w:r>
        <w:rPr>
          <w:rFonts w:ascii="Arial" w:hAnsi="Arial"/>
          <w:bCs/>
          <w:lang w:val="en-US"/>
        </w:rPr>
        <w:t xml:space="preserve">A), whereas </w:t>
      </w:r>
      <w:r w:rsidRPr="003B6F9D">
        <w:rPr>
          <w:rFonts w:ascii="Arial" w:hAnsi="Arial"/>
          <w:bCs/>
          <w:lang w:val="en-US"/>
        </w:rPr>
        <w:t xml:space="preserve">Tb.Th </w:t>
      </w:r>
      <w:r>
        <w:rPr>
          <w:rFonts w:ascii="Arial" w:hAnsi="Arial"/>
          <w:bCs/>
          <w:lang w:val="en-US"/>
        </w:rPr>
        <w:t>of</w:t>
      </w:r>
      <w:r w:rsidRPr="003B6F9D">
        <w:rPr>
          <w:rFonts w:ascii="Arial" w:hAnsi="Arial"/>
          <w:bCs/>
          <w:lang w:val="en-US"/>
        </w:rPr>
        <w:t xml:space="preserve"> </w:t>
      </w:r>
      <w:r>
        <w:rPr>
          <w:rFonts w:ascii="Arial" w:hAnsi="Arial"/>
          <w:bCs/>
          <w:lang w:val="en-US"/>
        </w:rPr>
        <w:t xml:space="preserve">the right tibiae in fasted </w:t>
      </w:r>
      <w:r w:rsidRPr="003B6F9D">
        <w:rPr>
          <w:rFonts w:ascii="Arial" w:hAnsi="Arial"/>
          <w:bCs/>
          <w:lang w:val="en-US"/>
        </w:rPr>
        <w:t>fed mice increased by 0.05</w:t>
      </w:r>
      <w:r>
        <w:rPr>
          <w:rFonts w:ascii="Arial" w:eastAsia="MS Gothic" w:hAnsi="Arial" w:cs="Arial"/>
          <w:color w:val="000000"/>
        </w:rPr>
        <w:t>±</w:t>
      </w:r>
      <w:r w:rsidRPr="003B6F9D">
        <w:rPr>
          <w:rFonts w:ascii="Arial" w:eastAsia="MS Gothic" w:hAnsi="Arial" w:cs="Arial"/>
          <w:color w:val="000000"/>
        </w:rPr>
        <w:t>0.002mm v</w:t>
      </w:r>
      <w:r>
        <w:rPr>
          <w:rFonts w:ascii="Arial" w:eastAsia="MS Gothic" w:hAnsi="Arial" w:cs="Arial"/>
          <w:color w:val="000000"/>
        </w:rPr>
        <w:t>ersu</w:t>
      </w:r>
      <w:r w:rsidRPr="003B6F9D">
        <w:rPr>
          <w:rFonts w:ascii="Arial" w:eastAsia="MS Gothic" w:hAnsi="Arial" w:cs="Arial"/>
          <w:color w:val="000000"/>
        </w:rPr>
        <w:t>s 0.04mm</w:t>
      </w:r>
      <w:r>
        <w:rPr>
          <w:rFonts w:ascii="Arial" w:eastAsia="MS Gothic" w:hAnsi="Arial" w:cs="Arial"/>
          <w:color w:val="000000"/>
        </w:rPr>
        <w:t>±0.002mm, p&lt;0.0001</w:t>
      </w:r>
      <w:r w:rsidRPr="003B6F9D">
        <w:rPr>
          <w:rFonts w:ascii="Arial" w:eastAsia="MS Gothic" w:hAnsi="Arial" w:cs="Arial"/>
          <w:color w:val="000000"/>
        </w:rPr>
        <w:t xml:space="preserve"> compared with </w:t>
      </w:r>
      <w:r>
        <w:rPr>
          <w:rFonts w:ascii="Arial" w:eastAsia="MS Gothic" w:hAnsi="Arial" w:cs="Arial"/>
          <w:color w:val="000000"/>
        </w:rPr>
        <w:t xml:space="preserve">the increase </w:t>
      </w:r>
      <w:r w:rsidRPr="003B6F9D">
        <w:rPr>
          <w:rFonts w:ascii="Arial" w:eastAsia="MS Gothic" w:hAnsi="Arial" w:cs="Arial"/>
          <w:color w:val="000000"/>
        </w:rPr>
        <w:t>in the fed group</w:t>
      </w:r>
      <w:r>
        <w:rPr>
          <w:rFonts w:ascii="Arial" w:eastAsia="MS Gothic" w:hAnsi="Arial" w:cs="Arial"/>
          <w:color w:val="000000"/>
        </w:rPr>
        <w:t xml:space="preserve"> (</w:t>
      </w:r>
      <w:r w:rsidRPr="003B6F9D">
        <w:rPr>
          <w:rFonts w:ascii="Arial" w:eastAsia="MS Gothic" w:hAnsi="Arial" w:cs="Arial"/>
          <w:color w:val="000000"/>
        </w:rPr>
        <w:t>0</w:t>
      </w:r>
      <w:r>
        <w:rPr>
          <w:rFonts w:ascii="Arial" w:eastAsia="MS Gothic" w:hAnsi="Arial" w:cs="Arial"/>
          <w:color w:val="000000"/>
        </w:rPr>
        <w:t xml:space="preserve">.05±0.001mm versus 0.03±0.002mm, </w:t>
      </w:r>
      <w:r w:rsidRPr="003B6F9D">
        <w:rPr>
          <w:rFonts w:ascii="Arial" w:eastAsia="MS Gothic" w:hAnsi="Arial" w:cs="Arial"/>
          <w:color w:val="000000"/>
        </w:rPr>
        <w:t>p&lt;0.0001)</w:t>
      </w:r>
      <w:r w:rsidR="00982A93">
        <w:rPr>
          <w:rFonts w:ascii="Arial" w:eastAsia="MS Gothic" w:hAnsi="Arial" w:cs="Arial"/>
          <w:color w:val="000000"/>
        </w:rPr>
        <w:t xml:space="preserve"> (Figure 34</w:t>
      </w:r>
      <w:r>
        <w:rPr>
          <w:rFonts w:ascii="Arial" w:eastAsia="MS Gothic" w:hAnsi="Arial" w:cs="Arial"/>
          <w:color w:val="000000"/>
        </w:rPr>
        <w:t>D)</w:t>
      </w:r>
      <w:r w:rsidRPr="003B6F9D">
        <w:rPr>
          <w:rFonts w:ascii="Arial" w:eastAsia="MS Gothic" w:hAnsi="Arial" w:cs="Arial"/>
          <w:color w:val="000000"/>
        </w:rPr>
        <w:t>.</w:t>
      </w:r>
      <w:r>
        <w:rPr>
          <w:rFonts w:ascii="Arial" w:hAnsi="Arial"/>
          <w:bCs/>
          <w:lang w:val="en-US"/>
        </w:rPr>
        <w:t xml:space="preserve"> </w:t>
      </w:r>
      <w:r w:rsidRPr="003B6F9D">
        <w:rPr>
          <w:rFonts w:ascii="Arial" w:hAnsi="Arial"/>
          <w:bCs/>
          <w:lang w:val="en-US"/>
        </w:rPr>
        <w:t xml:space="preserve">Tb.Pf </w:t>
      </w:r>
      <w:r>
        <w:rPr>
          <w:rFonts w:ascii="Arial" w:hAnsi="Arial"/>
          <w:bCs/>
          <w:lang w:val="en-US"/>
        </w:rPr>
        <w:t>of</w:t>
      </w:r>
      <w:r w:rsidRPr="003B6F9D">
        <w:rPr>
          <w:rFonts w:ascii="Arial" w:hAnsi="Arial"/>
          <w:bCs/>
          <w:lang w:val="en-US"/>
        </w:rPr>
        <w:t xml:space="preserve"> the loaded right tibiae </w:t>
      </w:r>
      <w:r>
        <w:rPr>
          <w:rFonts w:ascii="Arial" w:hAnsi="Arial"/>
          <w:bCs/>
          <w:lang w:val="en-US"/>
        </w:rPr>
        <w:t xml:space="preserve">significantly </w:t>
      </w:r>
      <w:r w:rsidRPr="003B6F9D">
        <w:rPr>
          <w:rFonts w:ascii="Arial" w:hAnsi="Arial"/>
          <w:bCs/>
          <w:lang w:val="en-US"/>
        </w:rPr>
        <w:t xml:space="preserve">decreased in </w:t>
      </w:r>
      <w:r>
        <w:rPr>
          <w:rFonts w:ascii="Arial" w:hAnsi="Arial"/>
          <w:bCs/>
          <w:lang w:val="en-US"/>
        </w:rPr>
        <w:t xml:space="preserve">both fasted </w:t>
      </w:r>
      <w:r w:rsidRPr="003B6F9D">
        <w:rPr>
          <w:rFonts w:ascii="Arial" w:hAnsi="Arial"/>
          <w:bCs/>
          <w:lang w:val="en-US"/>
        </w:rPr>
        <w:t>fed and fed groups compared to the left non-loaded tibiae</w:t>
      </w:r>
      <w:r>
        <w:rPr>
          <w:rFonts w:ascii="Arial" w:hAnsi="Arial"/>
          <w:bCs/>
          <w:lang w:val="en-US"/>
        </w:rPr>
        <w:t xml:space="preserve"> </w:t>
      </w:r>
      <w:r w:rsidRPr="003B6F9D">
        <w:rPr>
          <w:rFonts w:ascii="Arial" w:hAnsi="Arial"/>
          <w:bCs/>
          <w:lang w:val="en-US"/>
        </w:rPr>
        <w:t>(16.4</w:t>
      </w:r>
      <w:r w:rsidRPr="003B6F9D">
        <w:rPr>
          <w:rFonts w:ascii="Arial" w:eastAsia="MS Gothic" w:hAnsi="Arial" w:cs="Arial"/>
          <w:color w:val="000000"/>
        </w:rPr>
        <w:t>±</w:t>
      </w:r>
      <w:r>
        <w:rPr>
          <w:rFonts w:ascii="Arial" w:eastAsia="MS Gothic" w:hAnsi="Arial" w:cs="Arial"/>
          <w:color w:val="000000"/>
        </w:rPr>
        <w:t>1.2</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vertAlign w:val="superscript"/>
        </w:rPr>
        <w:t xml:space="preserve"> </w:t>
      </w:r>
      <w:r w:rsidRPr="003B6F9D">
        <w:rPr>
          <w:rFonts w:ascii="Arial" w:eastAsia="MS Gothic" w:hAnsi="Arial" w:cs="Arial"/>
          <w:color w:val="000000"/>
        </w:rPr>
        <w:t>v</w:t>
      </w:r>
      <w:r>
        <w:rPr>
          <w:rFonts w:ascii="Arial" w:eastAsia="MS Gothic" w:hAnsi="Arial" w:cs="Arial"/>
          <w:color w:val="000000"/>
        </w:rPr>
        <w:t>ersus 24.1±1.9</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hAnsi="Arial"/>
          <w:bCs/>
          <w:lang w:val="en-US"/>
        </w:rPr>
        <w:t>, p&lt;0.01</w:t>
      </w:r>
      <w:r w:rsidRPr="003B6F9D">
        <w:rPr>
          <w:rFonts w:ascii="Arial" w:hAnsi="Arial"/>
          <w:bCs/>
          <w:lang w:val="en-US"/>
        </w:rPr>
        <w:t xml:space="preserve"> and 15.1</w:t>
      </w:r>
      <w:r>
        <w:rPr>
          <w:rFonts w:ascii="Arial" w:eastAsia="MS Gothic" w:hAnsi="Arial" w:cs="Arial"/>
          <w:color w:val="000000"/>
        </w:rPr>
        <w:t>±0.9</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vertAlign w:val="superscript"/>
        </w:rPr>
        <w:t xml:space="preserve"> </w:t>
      </w:r>
      <w:r w:rsidRPr="003B6F9D">
        <w:rPr>
          <w:rFonts w:ascii="Arial" w:eastAsia="MS Gothic" w:hAnsi="Arial" w:cs="Arial"/>
          <w:color w:val="000000"/>
        </w:rPr>
        <w:t>v</w:t>
      </w:r>
      <w:r>
        <w:rPr>
          <w:rFonts w:ascii="Arial" w:eastAsia="MS Gothic" w:hAnsi="Arial" w:cs="Arial"/>
          <w:color w:val="000000"/>
        </w:rPr>
        <w:t>ersus 21.3±1.1</w:t>
      </w:r>
      <w:r w:rsidRPr="003B6F9D">
        <w:rPr>
          <w:rFonts w:ascii="Arial" w:eastAsia="MS Gothic" w:hAnsi="Arial" w:cs="Arial"/>
          <w:color w:val="000000"/>
        </w:rPr>
        <w:t>mm</w:t>
      </w:r>
      <w:r w:rsidRPr="003B6F9D">
        <w:rPr>
          <w:rFonts w:ascii="Arial" w:eastAsia="MS Gothic" w:hAnsi="Arial" w:cs="Arial"/>
          <w:color w:val="000000"/>
          <w:vertAlign w:val="superscript"/>
        </w:rPr>
        <w:t>-1</w:t>
      </w:r>
      <w:r w:rsidR="00982A93">
        <w:rPr>
          <w:rFonts w:ascii="Arial" w:hAnsi="Arial"/>
          <w:bCs/>
          <w:lang w:val="en-US"/>
        </w:rPr>
        <w:t>, p&lt;0.05 respectively) (Figure 34</w:t>
      </w:r>
      <w:r>
        <w:rPr>
          <w:rFonts w:ascii="Arial" w:hAnsi="Arial"/>
          <w:bCs/>
          <w:lang w:val="en-US"/>
        </w:rPr>
        <w:t>C)</w:t>
      </w:r>
      <w:r w:rsidRPr="003B6F9D">
        <w:rPr>
          <w:rFonts w:ascii="Arial" w:hAnsi="Arial"/>
          <w:bCs/>
          <w:lang w:val="en-US"/>
        </w:rPr>
        <w:t>.</w:t>
      </w:r>
      <w:r>
        <w:rPr>
          <w:rFonts w:ascii="Arial" w:hAnsi="Arial"/>
          <w:bCs/>
          <w:lang w:val="en-US"/>
        </w:rPr>
        <w:t xml:space="preserve"> The increase of Tb.N of loaded right tibiae in both groups was not significantly higher than the non-loaded left controls (fasted fed: 3.4</w:t>
      </w:r>
      <w:r>
        <w:rPr>
          <w:rFonts w:ascii="Arial" w:eastAsia="MS Gothic" w:hAnsi="Arial" w:cs="Arial"/>
          <w:color w:val="000000"/>
        </w:rPr>
        <w:t>±0.1</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vertAlign w:val="superscript"/>
        </w:rPr>
        <w:t xml:space="preserve"> </w:t>
      </w:r>
      <w:r w:rsidRPr="003B6F9D">
        <w:rPr>
          <w:rFonts w:ascii="Arial" w:eastAsia="MS Gothic" w:hAnsi="Arial" w:cs="Arial"/>
          <w:color w:val="000000"/>
        </w:rPr>
        <w:t>v</w:t>
      </w:r>
      <w:r>
        <w:rPr>
          <w:rFonts w:ascii="Arial" w:eastAsia="MS Gothic" w:hAnsi="Arial" w:cs="Arial"/>
          <w:color w:val="000000"/>
        </w:rPr>
        <w:t>ersus 3.0±0.2</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rPr>
        <w:t xml:space="preserve">, </w:t>
      </w:r>
      <w:r>
        <w:rPr>
          <w:rFonts w:ascii="Arial" w:hAnsi="Arial"/>
          <w:bCs/>
          <w:lang w:val="en-US"/>
        </w:rPr>
        <w:t>p&gt;0.05; fed: 3.6</w:t>
      </w:r>
      <w:r>
        <w:rPr>
          <w:rFonts w:ascii="Arial" w:eastAsia="MS Gothic" w:hAnsi="Arial" w:cs="Arial"/>
          <w:color w:val="000000"/>
        </w:rPr>
        <w:t>±0.2</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vertAlign w:val="superscript"/>
        </w:rPr>
        <w:t xml:space="preserve"> </w:t>
      </w:r>
      <w:r w:rsidRPr="003B6F9D">
        <w:rPr>
          <w:rFonts w:ascii="Arial" w:eastAsia="MS Gothic" w:hAnsi="Arial" w:cs="Arial"/>
          <w:color w:val="000000"/>
        </w:rPr>
        <w:t>v</w:t>
      </w:r>
      <w:r>
        <w:rPr>
          <w:rFonts w:ascii="Arial" w:eastAsia="MS Gothic" w:hAnsi="Arial" w:cs="Arial"/>
          <w:color w:val="000000"/>
        </w:rPr>
        <w:t>ersus</w:t>
      </w:r>
      <w:r>
        <w:rPr>
          <w:rFonts w:ascii="Arial" w:hAnsi="Arial"/>
          <w:bCs/>
          <w:lang w:val="en-US"/>
        </w:rPr>
        <w:t xml:space="preserve"> 3.5</w:t>
      </w:r>
      <w:r>
        <w:rPr>
          <w:rFonts w:ascii="Arial" w:eastAsia="MS Gothic" w:hAnsi="Arial" w:cs="Arial"/>
          <w:color w:val="000000"/>
        </w:rPr>
        <w:t>±0.2</w:t>
      </w:r>
      <w:r w:rsidRPr="003B6F9D">
        <w:rPr>
          <w:rFonts w:ascii="Arial" w:eastAsia="MS Gothic" w:hAnsi="Arial" w:cs="Arial"/>
          <w:color w:val="000000"/>
        </w:rPr>
        <w:t>mm</w:t>
      </w:r>
      <w:r w:rsidRPr="003B6F9D">
        <w:rPr>
          <w:rFonts w:ascii="Arial" w:eastAsia="MS Gothic" w:hAnsi="Arial" w:cs="Arial"/>
          <w:color w:val="000000"/>
          <w:vertAlign w:val="superscript"/>
        </w:rPr>
        <w:t>-1</w:t>
      </w:r>
      <w:r w:rsidR="00982A93">
        <w:rPr>
          <w:rFonts w:ascii="Arial" w:hAnsi="Arial"/>
          <w:bCs/>
          <w:lang w:val="en-US"/>
        </w:rPr>
        <w:t>, p&gt;0.05) (Figure 34</w:t>
      </w:r>
      <w:r>
        <w:rPr>
          <w:rFonts w:ascii="Arial" w:hAnsi="Arial"/>
          <w:bCs/>
          <w:lang w:val="en-US"/>
        </w:rPr>
        <w:t>B).</w:t>
      </w:r>
    </w:p>
    <w:p w14:paraId="6AFDDFF7" w14:textId="77777777" w:rsidR="00E56E65" w:rsidRPr="003B6F9D" w:rsidRDefault="00E56E65" w:rsidP="00E56E65">
      <w:pPr>
        <w:spacing w:line="480" w:lineRule="auto"/>
        <w:jc w:val="both"/>
        <w:rPr>
          <w:rFonts w:ascii="Arial" w:hAnsi="Arial"/>
          <w:bCs/>
          <w:lang w:val="en-US"/>
        </w:rPr>
      </w:pPr>
    </w:p>
    <w:p w14:paraId="2885FFF7" w14:textId="77777777" w:rsidR="00E56E65" w:rsidRDefault="00E56E65" w:rsidP="00E56E65">
      <w:pPr>
        <w:spacing w:line="480" w:lineRule="auto"/>
        <w:jc w:val="both"/>
        <w:rPr>
          <w:rFonts w:ascii="Arial" w:hAnsi="Arial"/>
          <w:bCs/>
          <w:lang w:val="en-US"/>
        </w:rPr>
      </w:pPr>
      <w:r>
        <w:rPr>
          <w:rFonts w:ascii="Arial" w:hAnsi="Arial"/>
          <w:bCs/>
          <w:lang w:val="en-US"/>
        </w:rPr>
        <w:t>The increase in load-related response of right tibia</w:t>
      </w:r>
      <w:r w:rsidR="006E7B8C">
        <w:rPr>
          <w:rFonts w:ascii="Arial" w:hAnsi="Arial"/>
          <w:bCs/>
          <w:lang w:val="en-US"/>
        </w:rPr>
        <w:t>l</w:t>
      </w:r>
      <w:r>
        <w:rPr>
          <w:rFonts w:ascii="Arial" w:hAnsi="Arial"/>
          <w:bCs/>
          <w:lang w:val="en-US"/>
        </w:rPr>
        <w:t xml:space="preserve"> trabecular bone parameters of fasted fed mice was higher, but not significantly from the loaded right tibiae of fed mice. The structural changes of the trabecular bone of loaded tibiae, the thicker trabeculae are visible in the 3D model images from both f</w:t>
      </w:r>
      <w:r w:rsidR="00982A93">
        <w:rPr>
          <w:rFonts w:ascii="Arial" w:hAnsi="Arial"/>
          <w:bCs/>
          <w:lang w:val="en-US"/>
        </w:rPr>
        <w:t>ed and fasted fed mice, Figure 33</w:t>
      </w:r>
      <w:r>
        <w:rPr>
          <w:rFonts w:ascii="Arial" w:hAnsi="Arial"/>
          <w:bCs/>
          <w:lang w:val="en-US"/>
        </w:rPr>
        <w:t>.</w:t>
      </w:r>
    </w:p>
    <w:p w14:paraId="37B97CAD" w14:textId="77777777" w:rsidR="00E56E65" w:rsidRDefault="00E56E65" w:rsidP="00E56E65">
      <w:pPr>
        <w:spacing w:line="480" w:lineRule="auto"/>
        <w:jc w:val="both"/>
        <w:rPr>
          <w:rFonts w:ascii="Arial" w:hAnsi="Arial"/>
          <w:bCs/>
          <w:lang w:val="en-US"/>
        </w:rPr>
      </w:pPr>
    </w:p>
    <w:p w14:paraId="61F0B96F" w14:textId="77777777" w:rsidR="009207C1" w:rsidRDefault="009207C1" w:rsidP="00E56E65">
      <w:pPr>
        <w:spacing w:line="480" w:lineRule="auto"/>
        <w:jc w:val="both"/>
        <w:rPr>
          <w:rFonts w:ascii="Arial" w:hAnsi="Arial"/>
          <w:bCs/>
          <w:lang w:val="en-US"/>
        </w:rPr>
      </w:pPr>
    </w:p>
    <w:p w14:paraId="6B06C731" w14:textId="77777777" w:rsidR="009207C1" w:rsidRPr="009207C1" w:rsidRDefault="009207C1" w:rsidP="009207C1">
      <w:pPr>
        <w:rPr>
          <w:rFonts w:ascii="Arial" w:hAnsi="Arial"/>
          <w:lang w:val="en-US"/>
        </w:rPr>
      </w:pPr>
    </w:p>
    <w:p w14:paraId="7E1483E8" w14:textId="77777777" w:rsidR="009207C1" w:rsidRPr="009207C1" w:rsidRDefault="009207C1" w:rsidP="009207C1">
      <w:pPr>
        <w:rPr>
          <w:rFonts w:ascii="Arial" w:hAnsi="Arial"/>
          <w:lang w:val="en-US"/>
        </w:rPr>
      </w:pPr>
    </w:p>
    <w:p w14:paraId="741544B4" w14:textId="77777777" w:rsidR="009207C1" w:rsidRDefault="009207C1" w:rsidP="009207C1">
      <w:pPr>
        <w:rPr>
          <w:rFonts w:ascii="Arial" w:hAnsi="Arial"/>
          <w:lang w:val="en-US"/>
        </w:rPr>
      </w:pPr>
    </w:p>
    <w:p w14:paraId="6EF99D1B" w14:textId="77777777" w:rsidR="00265D73" w:rsidRDefault="00265D73" w:rsidP="009207C1">
      <w:pPr>
        <w:rPr>
          <w:rFonts w:ascii="Arial" w:hAnsi="Arial"/>
          <w:lang w:val="en-US"/>
        </w:rPr>
      </w:pPr>
    </w:p>
    <w:p w14:paraId="790D0E6A" w14:textId="77777777" w:rsidR="000F7FEA" w:rsidRPr="009207C1" w:rsidRDefault="000F7FEA" w:rsidP="009207C1">
      <w:pPr>
        <w:rPr>
          <w:rFonts w:ascii="Arial" w:hAnsi="Arial"/>
          <w:lang w:val="en-US"/>
        </w:rPr>
      </w:pPr>
      <w:r w:rsidRPr="000F7FEA">
        <w:rPr>
          <w:rFonts w:ascii="Arial" w:hAnsi="Arial"/>
          <w:noProof/>
          <w:lang w:val="en-US"/>
        </w:rPr>
        <w:drawing>
          <wp:inline distT="0" distB="0" distL="0" distR="0" wp14:anchorId="68E38B3B" wp14:editId="7C614B65">
            <wp:extent cx="5362689" cy="4398010"/>
            <wp:effectExtent l="0" t="0" r="0" b="0"/>
            <wp:docPr id="2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lum bright="5000"/>
                      <a:extLst>
                        <a:ext uri="{28A0092B-C50C-407E-A947-70E740481C1C}">
                          <a14:useLocalDpi xmlns:a14="http://schemas.microsoft.com/office/drawing/2010/main" val="0"/>
                        </a:ext>
                      </a:extLst>
                    </a:blip>
                    <a:srcRect/>
                    <a:stretch>
                      <a:fillRect/>
                    </a:stretch>
                  </pic:blipFill>
                  <pic:spPr bwMode="auto">
                    <a:xfrm>
                      <a:off x="0" y="0"/>
                      <a:ext cx="5363405" cy="4398598"/>
                    </a:xfrm>
                    <a:prstGeom prst="rect">
                      <a:avLst/>
                    </a:prstGeom>
                    <a:noFill/>
                    <a:ln>
                      <a:noFill/>
                    </a:ln>
                  </pic:spPr>
                </pic:pic>
              </a:graphicData>
            </a:graphic>
          </wp:inline>
        </w:drawing>
      </w:r>
    </w:p>
    <w:p w14:paraId="04EEF139" w14:textId="77777777" w:rsidR="00B83053" w:rsidRDefault="00B83053" w:rsidP="00B83053">
      <w:pPr>
        <w:pStyle w:val="Caption"/>
        <w:jc w:val="both"/>
        <w:rPr>
          <w:b w:val="0"/>
          <w:bCs w:val="0"/>
          <w:color w:val="auto"/>
          <w:sz w:val="24"/>
          <w:szCs w:val="24"/>
        </w:rPr>
      </w:pPr>
    </w:p>
    <w:p w14:paraId="5DA8BCCC" w14:textId="77777777" w:rsidR="000F7FEA" w:rsidRPr="000F7FEA" w:rsidRDefault="000F7FEA" w:rsidP="000F7FEA"/>
    <w:p w14:paraId="2D5FB494" w14:textId="77777777" w:rsidR="00E56E65" w:rsidRPr="00EC5538" w:rsidRDefault="00B83053" w:rsidP="000F514C">
      <w:pPr>
        <w:pStyle w:val="Caption"/>
        <w:spacing w:line="360" w:lineRule="auto"/>
        <w:jc w:val="both"/>
        <w:rPr>
          <w:rFonts w:ascii="Arial" w:hAnsi="Arial" w:cs="Arial"/>
          <w:bCs w:val="0"/>
          <w:color w:val="244061" w:themeColor="accent1" w:themeShade="80"/>
          <w:sz w:val="24"/>
          <w:szCs w:val="24"/>
          <w:lang w:val="en-US"/>
        </w:rPr>
      </w:pPr>
      <w:bookmarkStart w:id="105" w:name="_Toc383544624"/>
      <w:r w:rsidRPr="00EC5538">
        <w:rPr>
          <w:rFonts w:ascii="Arial" w:hAnsi="Arial" w:cs="Arial"/>
          <w:color w:val="244061" w:themeColor="accent1" w:themeShade="80"/>
          <w:sz w:val="24"/>
          <w:szCs w:val="24"/>
        </w:rPr>
        <w:t xml:space="preserve">Figure </w:t>
      </w:r>
      <w:r w:rsidRPr="00EC5538">
        <w:rPr>
          <w:rFonts w:ascii="Arial" w:hAnsi="Arial" w:cs="Arial"/>
          <w:color w:val="244061" w:themeColor="accent1" w:themeShade="80"/>
          <w:sz w:val="24"/>
          <w:szCs w:val="24"/>
        </w:rPr>
        <w:fldChar w:fldCharType="begin"/>
      </w:r>
      <w:r w:rsidRPr="00EC5538">
        <w:rPr>
          <w:rFonts w:ascii="Arial" w:hAnsi="Arial" w:cs="Arial"/>
          <w:color w:val="244061" w:themeColor="accent1" w:themeShade="80"/>
          <w:sz w:val="24"/>
          <w:szCs w:val="24"/>
        </w:rPr>
        <w:instrText xml:space="preserve"> SEQ Figure \* ARABIC </w:instrText>
      </w:r>
      <w:r w:rsidRPr="00EC5538">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33</w:t>
      </w:r>
      <w:r w:rsidRPr="00EC5538">
        <w:rPr>
          <w:rFonts w:ascii="Arial" w:hAnsi="Arial" w:cs="Arial"/>
          <w:color w:val="244061" w:themeColor="accent1" w:themeShade="80"/>
          <w:sz w:val="24"/>
          <w:szCs w:val="24"/>
        </w:rPr>
        <w:fldChar w:fldCharType="end"/>
      </w:r>
      <w:r w:rsidRPr="00EC5538">
        <w:rPr>
          <w:rFonts w:ascii="Arial" w:hAnsi="Arial" w:cs="Arial"/>
          <w:color w:val="244061" w:themeColor="accent1" w:themeShade="80"/>
          <w:sz w:val="24"/>
          <w:szCs w:val="24"/>
        </w:rPr>
        <w:t xml:space="preserve"> </w:t>
      </w:r>
      <w:r w:rsidR="00E56E65" w:rsidRPr="00EC5538">
        <w:rPr>
          <w:rFonts w:ascii="Arial" w:hAnsi="Arial" w:cs="Arial"/>
          <w:color w:val="244061" w:themeColor="accent1" w:themeShade="80"/>
          <w:sz w:val="24"/>
          <w:szCs w:val="24"/>
        </w:rPr>
        <w:t>Trabecular bone response to mechanical loading</w:t>
      </w:r>
      <w:bookmarkEnd w:id="105"/>
    </w:p>
    <w:p w14:paraId="4B9F5CC5" w14:textId="77777777" w:rsidR="00E56E65" w:rsidRPr="002B0557" w:rsidRDefault="003F1CEF" w:rsidP="00E56E65">
      <w:pPr>
        <w:spacing w:line="360" w:lineRule="auto"/>
        <w:jc w:val="both"/>
        <w:rPr>
          <w:rFonts w:ascii="Arial" w:hAnsi="Arial" w:cs="Arial"/>
          <w:sz w:val="22"/>
          <w:szCs w:val="22"/>
        </w:rPr>
      </w:pPr>
      <w:r>
        <w:rPr>
          <w:rFonts w:ascii="Arial" w:hAnsi="Arial" w:cs="Arial"/>
          <w:sz w:val="22"/>
          <w:szCs w:val="22"/>
        </w:rPr>
        <w:t>Representative</w:t>
      </w:r>
      <w:r w:rsidR="009B2D02">
        <w:rPr>
          <w:rFonts w:ascii="Arial" w:hAnsi="Arial" w:cs="Arial"/>
          <w:sz w:val="22"/>
          <w:szCs w:val="22"/>
        </w:rPr>
        <w:t xml:space="preserve"> 3D</w:t>
      </w:r>
      <w:r w:rsidR="00E56E65" w:rsidRPr="00A94FE6">
        <w:rPr>
          <w:rFonts w:ascii="Arial" w:hAnsi="Arial" w:cs="Arial"/>
          <w:sz w:val="22"/>
          <w:szCs w:val="22"/>
        </w:rPr>
        <w:t xml:space="preserve"> images of </w:t>
      </w:r>
      <w:r w:rsidR="00E56E65">
        <w:rPr>
          <w:rFonts w:ascii="Arial" w:hAnsi="Arial" w:cs="Arial"/>
          <w:sz w:val="22"/>
          <w:szCs w:val="22"/>
        </w:rPr>
        <w:t xml:space="preserve">1mm-thick </w:t>
      </w:r>
      <w:r w:rsidR="00E56E65" w:rsidRPr="00A94FE6">
        <w:rPr>
          <w:rFonts w:ascii="Arial" w:hAnsi="Arial" w:cs="Arial"/>
          <w:sz w:val="22"/>
          <w:szCs w:val="22"/>
        </w:rPr>
        <w:t xml:space="preserve">trabecular bone </w:t>
      </w:r>
      <w:r w:rsidR="00E56E65">
        <w:rPr>
          <w:rFonts w:ascii="Arial" w:hAnsi="Arial" w:cs="Arial"/>
          <w:sz w:val="22"/>
          <w:szCs w:val="22"/>
        </w:rPr>
        <w:t xml:space="preserve">region 0.2mm below the growth plate of </w:t>
      </w:r>
      <w:r w:rsidR="00E56E65" w:rsidRPr="00A94FE6">
        <w:rPr>
          <w:rFonts w:ascii="Arial" w:hAnsi="Arial" w:cs="Arial"/>
          <w:sz w:val="22"/>
          <w:szCs w:val="22"/>
        </w:rPr>
        <w:t xml:space="preserve">loaded (right) and non-loaded tibiae (left) of fed and fed </w:t>
      </w:r>
      <w:r w:rsidR="00E56E65">
        <w:rPr>
          <w:rFonts w:ascii="Arial" w:hAnsi="Arial" w:cs="Arial"/>
          <w:sz w:val="22"/>
          <w:szCs w:val="22"/>
        </w:rPr>
        <w:t xml:space="preserve">for 2 hours </w:t>
      </w:r>
      <w:r w:rsidR="00E56E65" w:rsidRPr="00A94FE6">
        <w:rPr>
          <w:rFonts w:ascii="Arial" w:hAnsi="Arial" w:cs="Arial"/>
          <w:sz w:val="22"/>
          <w:szCs w:val="22"/>
        </w:rPr>
        <w:t>following</w:t>
      </w:r>
      <w:r w:rsidR="00265D73">
        <w:rPr>
          <w:rFonts w:ascii="Arial" w:hAnsi="Arial" w:cs="Arial"/>
          <w:sz w:val="22"/>
          <w:szCs w:val="22"/>
        </w:rPr>
        <w:t xml:space="preserve"> overnight fast</w:t>
      </w:r>
      <w:r w:rsidR="00E56E65">
        <w:rPr>
          <w:rFonts w:ascii="Arial" w:hAnsi="Arial" w:cs="Arial"/>
          <w:sz w:val="22"/>
          <w:szCs w:val="22"/>
        </w:rPr>
        <w:t xml:space="preserve"> young </w:t>
      </w:r>
      <w:r w:rsidR="00E56E65" w:rsidRPr="00A94FE6">
        <w:rPr>
          <w:rFonts w:ascii="Arial" w:hAnsi="Arial" w:cs="Arial"/>
          <w:sz w:val="22"/>
          <w:szCs w:val="22"/>
        </w:rPr>
        <w:t>male mice</w:t>
      </w:r>
      <w:r w:rsidR="00E56E65">
        <w:rPr>
          <w:rFonts w:ascii="Arial" w:hAnsi="Arial" w:cs="Arial"/>
          <w:sz w:val="22"/>
          <w:szCs w:val="22"/>
        </w:rPr>
        <w:t xml:space="preserve">. The contralateral non-loaded left tibiae were used as internal controls. Scale bar </w:t>
      </w:r>
      <w:r w:rsidR="00E56E65" w:rsidRPr="002B0557">
        <w:rPr>
          <w:rFonts w:ascii="Arial" w:hAnsi="Arial" w:cs="Arial"/>
          <w:sz w:val="22"/>
          <w:szCs w:val="22"/>
        </w:rPr>
        <w:t xml:space="preserve">= </w:t>
      </w:r>
      <w:r w:rsidR="00E56E65" w:rsidRPr="000F514C">
        <w:rPr>
          <w:rFonts w:ascii="Arial" w:hAnsi="Arial" w:cs="Arial"/>
          <w:sz w:val="22"/>
          <w:szCs w:val="22"/>
        </w:rPr>
        <w:t>100</w:t>
      </w:r>
      <w:r w:rsidR="00E56E65" w:rsidRPr="000F514C">
        <w:rPr>
          <w:rFonts w:ascii="Arial" w:hAnsi="Arial" w:cs="Arial"/>
          <w:color w:val="000000" w:themeColor="text1"/>
          <w:sz w:val="22"/>
          <w:szCs w:val="22"/>
        </w:rPr>
        <w:sym w:font="Symbol" w:char="F06D"/>
      </w:r>
      <w:r w:rsidR="00E56E65" w:rsidRPr="000F514C">
        <w:rPr>
          <w:rFonts w:ascii="Arial" w:hAnsi="Arial" w:cs="Arial"/>
          <w:color w:val="000000" w:themeColor="text1"/>
          <w:sz w:val="22"/>
          <w:szCs w:val="22"/>
        </w:rPr>
        <w:t>m</w:t>
      </w:r>
    </w:p>
    <w:p w14:paraId="3BB6C496" w14:textId="77777777" w:rsidR="00E56E65" w:rsidRDefault="00E56E65" w:rsidP="00E56E65">
      <w:pPr>
        <w:spacing w:line="360" w:lineRule="auto"/>
        <w:jc w:val="both"/>
        <w:rPr>
          <w:rFonts w:ascii="Arial" w:hAnsi="Arial" w:cs="Arial"/>
          <w:i/>
          <w:sz w:val="22"/>
          <w:szCs w:val="22"/>
        </w:rPr>
      </w:pPr>
    </w:p>
    <w:p w14:paraId="6DA09238" w14:textId="77777777" w:rsidR="00E56E65" w:rsidRDefault="00E56E65" w:rsidP="00E56E65">
      <w:pPr>
        <w:spacing w:line="360" w:lineRule="auto"/>
        <w:jc w:val="both"/>
        <w:rPr>
          <w:rFonts w:ascii="Arial" w:hAnsi="Arial" w:cs="Arial"/>
          <w:i/>
          <w:sz w:val="22"/>
          <w:szCs w:val="22"/>
        </w:rPr>
      </w:pPr>
    </w:p>
    <w:p w14:paraId="4416657B" w14:textId="77777777" w:rsidR="00E56E65" w:rsidRDefault="00E56E65" w:rsidP="00E56E65">
      <w:pPr>
        <w:spacing w:line="480" w:lineRule="auto"/>
        <w:jc w:val="both"/>
        <w:rPr>
          <w:rFonts w:ascii="Arial" w:hAnsi="Arial" w:cs="Arial"/>
          <w:b/>
          <w:noProof/>
          <w:color w:val="000000" w:themeColor="text1"/>
        </w:rPr>
      </w:pPr>
    </w:p>
    <w:p w14:paraId="2A3FF255" w14:textId="77777777" w:rsidR="009B2D02" w:rsidRDefault="009B2D02" w:rsidP="00E56E65">
      <w:pPr>
        <w:spacing w:line="480" w:lineRule="auto"/>
        <w:jc w:val="both"/>
        <w:rPr>
          <w:rFonts w:ascii="Arial" w:hAnsi="Arial" w:cs="Arial"/>
          <w:b/>
          <w:noProof/>
          <w:color w:val="000000" w:themeColor="text1"/>
        </w:rPr>
      </w:pPr>
    </w:p>
    <w:p w14:paraId="724067C4" w14:textId="77777777" w:rsidR="009B2D02" w:rsidRPr="009B2D02" w:rsidRDefault="009B2D02" w:rsidP="009B2D02">
      <w:pPr>
        <w:rPr>
          <w:rFonts w:ascii="Arial" w:hAnsi="Arial" w:cs="Arial"/>
        </w:rPr>
      </w:pPr>
    </w:p>
    <w:p w14:paraId="2BD9AF95" w14:textId="77777777" w:rsidR="009B2D02" w:rsidRPr="009B2D02" w:rsidRDefault="009B2D02" w:rsidP="009B2D02">
      <w:pPr>
        <w:rPr>
          <w:rFonts w:ascii="Arial" w:hAnsi="Arial" w:cs="Arial"/>
        </w:rPr>
      </w:pPr>
    </w:p>
    <w:p w14:paraId="5931B7D3" w14:textId="77777777" w:rsidR="009B2D02" w:rsidRPr="009B2D02" w:rsidRDefault="009B2D02" w:rsidP="009B2D02">
      <w:pPr>
        <w:rPr>
          <w:rFonts w:ascii="Arial" w:hAnsi="Arial" w:cs="Arial"/>
        </w:rPr>
      </w:pPr>
    </w:p>
    <w:p w14:paraId="63660B8B" w14:textId="77777777" w:rsidR="009B2D02" w:rsidRPr="009B2D02" w:rsidRDefault="009B2D02" w:rsidP="009B2D02">
      <w:pPr>
        <w:rPr>
          <w:rFonts w:ascii="Arial" w:hAnsi="Arial" w:cs="Arial"/>
        </w:rPr>
      </w:pPr>
    </w:p>
    <w:p w14:paraId="5CD5B0EE" w14:textId="77777777" w:rsidR="009B2D02" w:rsidRPr="009B2D02" w:rsidRDefault="009B2D02" w:rsidP="009B2D02">
      <w:pPr>
        <w:rPr>
          <w:rFonts w:ascii="Arial" w:hAnsi="Arial" w:cs="Arial"/>
        </w:rPr>
      </w:pPr>
    </w:p>
    <w:p w14:paraId="0CF187B6" w14:textId="77777777" w:rsidR="009B2D02" w:rsidRPr="009B2D02" w:rsidRDefault="009B2D02" w:rsidP="009B2D02">
      <w:pPr>
        <w:rPr>
          <w:rFonts w:ascii="Arial" w:hAnsi="Arial" w:cs="Arial"/>
        </w:rPr>
      </w:pPr>
    </w:p>
    <w:p w14:paraId="28EFFE27" w14:textId="77777777" w:rsidR="009B2D02" w:rsidRPr="009B2D02" w:rsidRDefault="009B2D02" w:rsidP="009B2D02">
      <w:pPr>
        <w:rPr>
          <w:rFonts w:ascii="Arial" w:hAnsi="Arial" w:cs="Arial"/>
        </w:rPr>
      </w:pPr>
    </w:p>
    <w:p w14:paraId="19F5D804" w14:textId="77777777" w:rsidR="009B2D02" w:rsidRPr="009B2D02" w:rsidRDefault="009B2D02" w:rsidP="009B2D02">
      <w:pPr>
        <w:rPr>
          <w:rFonts w:ascii="Arial" w:hAnsi="Arial" w:cs="Arial"/>
        </w:rPr>
      </w:pPr>
    </w:p>
    <w:p w14:paraId="076CCDA0" w14:textId="77777777" w:rsidR="009B2D02" w:rsidRPr="009B2D02" w:rsidRDefault="009B2D02" w:rsidP="009B2D02">
      <w:pPr>
        <w:rPr>
          <w:rFonts w:ascii="Arial" w:hAnsi="Arial" w:cs="Arial"/>
        </w:rPr>
      </w:pPr>
    </w:p>
    <w:p w14:paraId="74192121" w14:textId="77777777" w:rsidR="009B2D02" w:rsidRPr="009B2D02" w:rsidRDefault="009B2D02" w:rsidP="00530E52">
      <w:pPr>
        <w:rPr>
          <w:rFonts w:ascii="Arial" w:hAnsi="Arial" w:cs="Arial"/>
        </w:rPr>
      </w:pPr>
    </w:p>
    <w:p w14:paraId="0318DD10" w14:textId="77777777" w:rsidR="00E56E65" w:rsidRDefault="00E56E65" w:rsidP="00E56E65">
      <w:pPr>
        <w:spacing w:line="480" w:lineRule="auto"/>
        <w:jc w:val="both"/>
        <w:rPr>
          <w:rFonts w:ascii="Arial" w:hAnsi="Arial" w:cs="Arial"/>
          <w:b/>
          <w:noProof/>
          <w:color w:val="000000" w:themeColor="text1"/>
        </w:rPr>
      </w:pPr>
      <w:r>
        <w:rPr>
          <w:rFonts w:ascii="Arial" w:hAnsi="Arial" w:cs="Arial"/>
          <w:b/>
          <w:noProof/>
          <w:color w:val="000000" w:themeColor="text1"/>
          <w:lang w:val="en-US"/>
        </w:rPr>
        <w:drawing>
          <wp:inline distT="0" distB="0" distL="0" distR="0" wp14:anchorId="3B965049" wp14:editId="1092DE42">
            <wp:extent cx="3176521" cy="2926080"/>
            <wp:effectExtent l="0" t="0" r="0" b="0"/>
            <wp:docPr id="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76772" cy="2926311"/>
                    </a:xfrm>
                    <a:prstGeom prst="rect">
                      <a:avLst/>
                    </a:prstGeom>
                    <a:noFill/>
                    <a:ln>
                      <a:noFill/>
                    </a:ln>
                  </pic:spPr>
                </pic:pic>
              </a:graphicData>
            </a:graphic>
          </wp:inline>
        </w:drawing>
      </w:r>
      <w:r w:rsidRPr="00BA4BB3">
        <w:rPr>
          <w:rFonts w:ascii="Arial" w:hAnsi="Arial" w:cs="Arial"/>
          <w:b/>
          <w:noProof/>
          <w:color w:val="000000" w:themeColor="text1"/>
          <w:lang w:val="en-US"/>
        </w:rPr>
        <w:t xml:space="preserve"> </w:t>
      </w:r>
      <w:r>
        <w:rPr>
          <w:rFonts w:ascii="Arial" w:hAnsi="Arial" w:cs="Arial"/>
          <w:b/>
          <w:noProof/>
          <w:color w:val="000000" w:themeColor="text1"/>
          <w:lang w:val="en-US"/>
        </w:rPr>
        <w:drawing>
          <wp:inline distT="0" distB="0" distL="0" distR="0" wp14:anchorId="6D65465E" wp14:editId="61496D6C">
            <wp:extent cx="2868561" cy="2624455"/>
            <wp:effectExtent l="0" t="0" r="1905" b="0"/>
            <wp:docPr id="9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69010" cy="2624866"/>
                    </a:xfrm>
                    <a:prstGeom prst="rect">
                      <a:avLst/>
                    </a:prstGeom>
                    <a:noFill/>
                    <a:ln>
                      <a:noFill/>
                    </a:ln>
                  </pic:spPr>
                </pic:pic>
              </a:graphicData>
            </a:graphic>
          </wp:inline>
        </w:drawing>
      </w:r>
    </w:p>
    <w:p w14:paraId="6BE55BD8" w14:textId="77777777" w:rsidR="00E56E65" w:rsidRDefault="00E56E65" w:rsidP="00E56E65">
      <w:pPr>
        <w:spacing w:line="480" w:lineRule="auto"/>
        <w:jc w:val="both"/>
        <w:rPr>
          <w:rFonts w:ascii="Arial" w:hAnsi="Arial" w:cs="Arial"/>
          <w:b/>
          <w:noProof/>
          <w:color w:val="000000" w:themeColor="text1"/>
        </w:rPr>
      </w:pPr>
    </w:p>
    <w:p w14:paraId="59014DAE" w14:textId="77777777" w:rsidR="00B83053" w:rsidRDefault="00E56E65" w:rsidP="00B83053">
      <w:pPr>
        <w:keepNext/>
        <w:spacing w:line="480" w:lineRule="auto"/>
        <w:ind w:left="142" w:firstLine="284"/>
        <w:jc w:val="both"/>
      </w:pPr>
      <w:r>
        <w:rPr>
          <w:noProof/>
          <w:lang w:val="en-US"/>
        </w:rPr>
        <w:drawing>
          <wp:inline distT="0" distB="0" distL="0" distR="0" wp14:anchorId="58F7AA04" wp14:editId="304236DE">
            <wp:extent cx="2805953" cy="2498646"/>
            <wp:effectExtent l="0" t="0" r="0" b="0"/>
            <wp:docPr id="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06755" cy="2499360"/>
                    </a:xfrm>
                    <a:prstGeom prst="rect">
                      <a:avLst/>
                    </a:prstGeom>
                    <a:noFill/>
                    <a:ln>
                      <a:noFill/>
                    </a:ln>
                  </pic:spPr>
                </pic:pic>
              </a:graphicData>
            </a:graphic>
          </wp:inline>
        </w:drawing>
      </w:r>
      <w:r w:rsidRPr="00273A74">
        <w:t xml:space="preserve"> </w:t>
      </w:r>
      <w:r>
        <w:rPr>
          <w:noProof/>
          <w:lang w:val="en-US"/>
        </w:rPr>
        <w:drawing>
          <wp:inline distT="0" distB="0" distL="0" distR="0" wp14:anchorId="773FAD33" wp14:editId="60E47376">
            <wp:extent cx="2994211" cy="2499360"/>
            <wp:effectExtent l="0" t="0" r="3175" b="0"/>
            <wp:docPr id="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94211" cy="2499360"/>
                    </a:xfrm>
                    <a:prstGeom prst="rect">
                      <a:avLst/>
                    </a:prstGeom>
                    <a:noFill/>
                    <a:ln>
                      <a:noFill/>
                    </a:ln>
                  </pic:spPr>
                </pic:pic>
              </a:graphicData>
            </a:graphic>
          </wp:inline>
        </w:drawing>
      </w:r>
    </w:p>
    <w:p w14:paraId="220DDF75" w14:textId="77777777" w:rsidR="009B2D02" w:rsidRDefault="009B2D02" w:rsidP="00B83053">
      <w:pPr>
        <w:pStyle w:val="Caption"/>
        <w:jc w:val="both"/>
      </w:pPr>
    </w:p>
    <w:p w14:paraId="09425DC7" w14:textId="77777777" w:rsidR="00E56E65" w:rsidRPr="009B2D02" w:rsidRDefault="00B83053" w:rsidP="009B2D02">
      <w:pPr>
        <w:pStyle w:val="Caption"/>
        <w:spacing w:line="360" w:lineRule="auto"/>
        <w:jc w:val="both"/>
        <w:rPr>
          <w:rFonts w:ascii="Arial" w:hAnsi="Arial" w:cs="Arial"/>
          <w:b w:val="0"/>
          <w:noProof/>
          <w:color w:val="244061" w:themeColor="accent1" w:themeShade="80"/>
          <w:sz w:val="24"/>
          <w:szCs w:val="24"/>
        </w:rPr>
      </w:pPr>
      <w:bookmarkStart w:id="106" w:name="_Toc383544625"/>
      <w:r w:rsidRPr="009B2D02">
        <w:rPr>
          <w:rFonts w:ascii="Arial" w:hAnsi="Arial" w:cs="Arial"/>
          <w:color w:val="244061" w:themeColor="accent1" w:themeShade="80"/>
          <w:sz w:val="24"/>
          <w:szCs w:val="24"/>
        </w:rPr>
        <w:t xml:space="preserve">Figure </w:t>
      </w:r>
      <w:r w:rsidRPr="009B2D02">
        <w:rPr>
          <w:rFonts w:ascii="Arial" w:hAnsi="Arial" w:cs="Arial"/>
          <w:color w:val="244061" w:themeColor="accent1" w:themeShade="80"/>
          <w:sz w:val="24"/>
          <w:szCs w:val="24"/>
        </w:rPr>
        <w:fldChar w:fldCharType="begin"/>
      </w:r>
      <w:r w:rsidRPr="009B2D02">
        <w:rPr>
          <w:rFonts w:ascii="Arial" w:hAnsi="Arial" w:cs="Arial"/>
          <w:color w:val="244061" w:themeColor="accent1" w:themeShade="80"/>
          <w:sz w:val="24"/>
          <w:szCs w:val="24"/>
        </w:rPr>
        <w:instrText xml:space="preserve"> SEQ Figure \* ARABIC </w:instrText>
      </w:r>
      <w:r w:rsidRPr="009B2D02">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34</w:t>
      </w:r>
      <w:r w:rsidRPr="009B2D02">
        <w:rPr>
          <w:rFonts w:ascii="Arial" w:hAnsi="Arial" w:cs="Arial"/>
          <w:color w:val="244061" w:themeColor="accent1" w:themeShade="80"/>
          <w:sz w:val="24"/>
          <w:szCs w:val="24"/>
        </w:rPr>
        <w:fldChar w:fldCharType="end"/>
      </w:r>
      <w:bookmarkStart w:id="107" w:name="_Toc300073360"/>
      <w:r w:rsidRPr="009B2D02">
        <w:rPr>
          <w:rFonts w:ascii="Arial" w:hAnsi="Arial" w:cs="Arial"/>
          <w:b w:val="0"/>
          <w:noProof/>
          <w:color w:val="244061" w:themeColor="accent1" w:themeShade="80"/>
          <w:sz w:val="24"/>
          <w:szCs w:val="24"/>
        </w:rPr>
        <w:t xml:space="preserve"> </w:t>
      </w:r>
      <w:r w:rsidR="00E56E65" w:rsidRPr="009B2D02">
        <w:rPr>
          <w:rFonts w:ascii="Arial" w:hAnsi="Arial" w:cs="Arial"/>
          <w:color w:val="244061" w:themeColor="accent1" w:themeShade="80"/>
          <w:sz w:val="24"/>
          <w:szCs w:val="24"/>
        </w:rPr>
        <w:t xml:space="preserve">Trabecular bone mass and architecture measured at the proximal region of the </w:t>
      </w:r>
      <w:r w:rsidR="00E56E65" w:rsidRPr="009B2D02">
        <w:rPr>
          <w:rFonts w:ascii="Arial" w:eastAsiaTheme="minorHAnsi" w:hAnsi="Arial" w:cs="Arial"/>
          <w:bCs w:val="0"/>
          <w:color w:val="244061" w:themeColor="accent1" w:themeShade="80"/>
          <w:sz w:val="24"/>
          <w:szCs w:val="24"/>
          <w:lang w:val="en-US"/>
        </w:rPr>
        <w:t xml:space="preserve">left non-loaded (control) and </w:t>
      </w:r>
      <w:r w:rsidR="00E56E65" w:rsidRPr="009B2D02">
        <w:rPr>
          <w:rFonts w:ascii="Arial" w:hAnsi="Arial" w:cs="Arial"/>
          <w:color w:val="244061" w:themeColor="accent1" w:themeShade="80"/>
          <w:sz w:val="24"/>
          <w:szCs w:val="24"/>
        </w:rPr>
        <w:t xml:space="preserve">right </w:t>
      </w:r>
      <w:r w:rsidR="00E56E65" w:rsidRPr="009B2D02">
        <w:rPr>
          <w:rFonts w:ascii="Arial" w:eastAsiaTheme="minorHAnsi" w:hAnsi="Arial" w:cs="Arial"/>
          <w:bCs w:val="0"/>
          <w:color w:val="244061" w:themeColor="accent1" w:themeShade="80"/>
          <w:sz w:val="24"/>
          <w:szCs w:val="24"/>
          <w:lang w:val="en-US"/>
        </w:rPr>
        <w:t xml:space="preserve">loaded tibiae with maximal loading regimen of 19-week-old fed (n=7) or overnight fasted </w:t>
      </w:r>
      <w:r w:rsidR="002176B1">
        <w:rPr>
          <w:rFonts w:ascii="Arial" w:eastAsiaTheme="minorHAnsi" w:hAnsi="Arial" w:cs="Arial"/>
          <w:bCs w:val="0"/>
          <w:color w:val="244061" w:themeColor="accent1" w:themeShade="80"/>
          <w:sz w:val="24"/>
          <w:szCs w:val="24"/>
          <w:lang w:val="en-US"/>
        </w:rPr>
        <w:t>2-hour</w:t>
      </w:r>
      <w:r w:rsidR="002176B1" w:rsidRPr="009B2D02">
        <w:rPr>
          <w:rFonts w:ascii="Arial" w:eastAsiaTheme="minorHAnsi" w:hAnsi="Arial" w:cs="Arial"/>
          <w:bCs w:val="0"/>
          <w:color w:val="244061" w:themeColor="accent1" w:themeShade="80"/>
          <w:sz w:val="24"/>
          <w:szCs w:val="24"/>
          <w:lang w:val="en-US"/>
        </w:rPr>
        <w:t xml:space="preserve"> </w:t>
      </w:r>
      <w:r w:rsidR="00E56E65" w:rsidRPr="009B2D02">
        <w:rPr>
          <w:rFonts w:ascii="Arial" w:eastAsiaTheme="minorHAnsi" w:hAnsi="Arial" w:cs="Arial"/>
          <w:bCs w:val="0"/>
          <w:color w:val="244061" w:themeColor="accent1" w:themeShade="80"/>
          <w:sz w:val="24"/>
          <w:szCs w:val="24"/>
          <w:lang w:val="en-US"/>
        </w:rPr>
        <w:t>fed (n=6) male mice</w:t>
      </w:r>
      <w:bookmarkEnd w:id="106"/>
      <w:r w:rsidR="00E56E65" w:rsidRPr="009B2D02">
        <w:rPr>
          <w:rFonts w:ascii="Arial" w:eastAsiaTheme="minorHAnsi" w:hAnsi="Arial" w:cs="Arial"/>
          <w:bCs w:val="0"/>
          <w:color w:val="244061" w:themeColor="accent1" w:themeShade="80"/>
          <w:sz w:val="24"/>
          <w:szCs w:val="24"/>
          <w:lang w:val="en-US"/>
        </w:rPr>
        <w:t xml:space="preserve"> </w:t>
      </w:r>
      <w:bookmarkEnd w:id="107"/>
    </w:p>
    <w:p w14:paraId="52145FB4" w14:textId="77777777" w:rsidR="00E56E65" w:rsidRDefault="00E56E65" w:rsidP="00E56E65">
      <w:pPr>
        <w:spacing w:line="360" w:lineRule="auto"/>
        <w:jc w:val="both"/>
        <w:rPr>
          <w:rFonts w:ascii="Arial" w:eastAsiaTheme="minorHAnsi" w:hAnsi="Arial" w:cs="Arial"/>
          <w:sz w:val="22"/>
          <w:szCs w:val="22"/>
          <w:lang w:val="en-US"/>
        </w:rPr>
      </w:pPr>
      <w:r>
        <w:rPr>
          <w:rFonts w:ascii="Arial" w:eastAsiaTheme="minorHAnsi" w:hAnsi="Arial" w:cs="Arial"/>
          <w:sz w:val="22"/>
          <w:szCs w:val="22"/>
          <w:lang w:val="en-US"/>
        </w:rPr>
        <w:t>Mechanical l</w:t>
      </w:r>
      <w:r w:rsidRPr="004D06C6">
        <w:rPr>
          <w:rFonts w:ascii="Arial" w:eastAsiaTheme="minorHAnsi" w:hAnsi="Arial" w:cs="Arial"/>
          <w:sz w:val="22"/>
          <w:szCs w:val="22"/>
          <w:lang w:val="en-US"/>
        </w:rPr>
        <w:t>oading induc</w:t>
      </w:r>
      <w:r>
        <w:rPr>
          <w:rFonts w:ascii="Arial" w:eastAsiaTheme="minorHAnsi" w:hAnsi="Arial" w:cs="Arial"/>
          <w:sz w:val="22"/>
          <w:szCs w:val="22"/>
          <w:lang w:val="en-US"/>
        </w:rPr>
        <w:t xml:space="preserve">ed significant increase in trabecular BV/TV and Tb.Th and decrease in Tb.Pf </w:t>
      </w:r>
      <w:r w:rsidRPr="004D06C6">
        <w:rPr>
          <w:rFonts w:ascii="Arial" w:eastAsiaTheme="minorHAnsi" w:hAnsi="Arial" w:cs="Arial"/>
          <w:sz w:val="22"/>
          <w:szCs w:val="22"/>
          <w:lang w:val="en-US"/>
        </w:rPr>
        <w:t>in</w:t>
      </w:r>
      <w:r>
        <w:rPr>
          <w:rFonts w:ascii="Arial" w:eastAsiaTheme="minorHAnsi" w:hAnsi="Arial" w:cs="Arial"/>
          <w:sz w:val="22"/>
          <w:szCs w:val="22"/>
          <w:lang w:val="en-US"/>
        </w:rPr>
        <w:t xml:space="preserve"> the</w:t>
      </w:r>
      <w:r w:rsidRPr="004D06C6">
        <w:rPr>
          <w:rFonts w:ascii="Arial" w:eastAsiaTheme="minorHAnsi" w:hAnsi="Arial" w:cs="Arial"/>
          <w:sz w:val="22"/>
          <w:szCs w:val="22"/>
          <w:lang w:val="en-US"/>
        </w:rPr>
        <w:t xml:space="preserve"> right loaded tibiae compared wi</w:t>
      </w:r>
      <w:r>
        <w:rPr>
          <w:rFonts w:ascii="Arial" w:eastAsiaTheme="minorHAnsi" w:hAnsi="Arial" w:cs="Arial"/>
          <w:sz w:val="22"/>
          <w:szCs w:val="22"/>
          <w:lang w:val="en-US"/>
        </w:rPr>
        <w:t xml:space="preserve">th the left unloaded tibiae </w:t>
      </w:r>
      <w:r w:rsidRPr="004D06C6">
        <w:rPr>
          <w:rFonts w:ascii="Arial" w:eastAsiaTheme="minorHAnsi" w:hAnsi="Arial" w:cs="Arial"/>
          <w:sz w:val="22"/>
          <w:szCs w:val="22"/>
          <w:lang w:val="en-US"/>
        </w:rPr>
        <w:t>in both groups</w:t>
      </w:r>
      <w:r>
        <w:rPr>
          <w:rFonts w:ascii="Arial" w:eastAsiaTheme="minorHAnsi" w:hAnsi="Arial" w:cs="Arial"/>
          <w:sz w:val="22"/>
          <w:szCs w:val="22"/>
          <w:lang w:val="en-US"/>
        </w:rPr>
        <w:t xml:space="preserve"> (A, C, D), </w:t>
      </w:r>
      <w:r w:rsidRPr="002E0EF7">
        <w:rPr>
          <w:rFonts w:ascii="Arial" w:hAnsi="Arial"/>
          <w:bCs/>
          <w:sz w:val="22"/>
          <w:szCs w:val="22"/>
          <w:lang w:val="en-US"/>
        </w:rPr>
        <w:t xml:space="preserve">but there were no </w:t>
      </w:r>
      <w:r>
        <w:rPr>
          <w:rFonts w:ascii="Arial" w:hAnsi="Arial"/>
          <w:bCs/>
          <w:sz w:val="22"/>
          <w:szCs w:val="22"/>
          <w:lang w:val="en-US"/>
        </w:rPr>
        <w:t xml:space="preserve">significant </w:t>
      </w:r>
      <w:r w:rsidRPr="002E0EF7">
        <w:rPr>
          <w:rFonts w:ascii="Arial" w:hAnsi="Arial"/>
          <w:bCs/>
          <w:sz w:val="22"/>
          <w:szCs w:val="22"/>
          <w:lang w:val="en-US"/>
        </w:rPr>
        <w:t>differences between the two groups</w:t>
      </w:r>
      <w:r w:rsidRPr="002E0EF7">
        <w:rPr>
          <w:rFonts w:ascii="Arial" w:eastAsiaTheme="minorHAnsi" w:hAnsi="Arial" w:cs="Arial"/>
          <w:sz w:val="22"/>
          <w:szCs w:val="22"/>
          <w:lang w:val="en-US"/>
        </w:rPr>
        <w:t>.</w:t>
      </w:r>
      <w:r>
        <w:rPr>
          <w:rFonts w:ascii="Arial" w:eastAsiaTheme="minorHAnsi" w:hAnsi="Arial" w:cs="Arial"/>
          <w:sz w:val="22"/>
          <w:szCs w:val="22"/>
          <w:lang w:val="en-US"/>
        </w:rPr>
        <w:t xml:space="preserve"> There was</w:t>
      </w:r>
      <w:r w:rsidRPr="004D06C6">
        <w:rPr>
          <w:rFonts w:ascii="Arial" w:eastAsiaTheme="minorHAnsi" w:hAnsi="Arial" w:cs="Arial"/>
          <w:sz w:val="22"/>
          <w:szCs w:val="22"/>
          <w:lang w:val="en-US"/>
        </w:rPr>
        <w:t xml:space="preserve"> no significant </w:t>
      </w:r>
      <w:r>
        <w:rPr>
          <w:rFonts w:ascii="Arial" w:eastAsiaTheme="minorHAnsi" w:hAnsi="Arial" w:cs="Arial"/>
          <w:sz w:val="22"/>
          <w:szCs w:val="22"/>
          <w:lang w:val="en-US"/>
        </w:rPr>
        <w:t>increase</w:t>
      </w:r>
      <w:r w:rsidRPr="004D06C6">
        <w:rPr>
          <w:rFonts w:ascii="Arial" w:eastAsiaTheme="minorHAnsi" w:hAnsi="Arial" w:cs="Arial"/>
          <w:sz w:val="22"/>
          <w:szCs w:val="22"/>
          <w:lang w:val="en-US"/>
        </w:rPr>
        <w:t xml:space="preserve"> </w:t>
      </w:r>
      <w:r>
        <w:rPr>
          <w:rFonts w:ascii="Arial" w:eastAsiaTheme="minorHAnsi" w:hAnsi="Arial" w:cs="Arial"/>
          <w:sz w:val="22"/>
          <w:szCs w:val="22"/>
          <w:lang w:val="en-US"/>
        </w:rPr>
        <w:t xml:space="preserve">in Tb.N </w:t>
      </w:r>
      <w:r w:rsidRPr="004D06C6">
        <w:rPr>
          <w:rFonts w:ascii="Arial" w:eastAsiaTheme="minorHAnsi" w:hAnsi="Arial" w:cs="Arial"/>
          <w:sz w:val="22"/>
          <w:szCs w:val="22"/>
          <w:lang w:val="en-US"/>
        </w:rPr>
        <w:t>measured within and between the experimental groups</w:t>
      </w:r>
      <w:r>
        <w:rPr>
          <w:rFonts w:ascii="Arial" w:eastAsiaTheme="minorHAnsi" w:hAnsi="Arial" w:cs="Arial"/>
          <w:sz w:val="22"/>
          <w:szCs w:val="22"/>
          <w:lang w:val="en-US"/>
        </w:rPr>
        <w:t xml:space="preserve"> (B). Bars represent mean</w:t>
      </w:r>
      <w:r w:rsidRPr="004D06C6">
        <w:rPr>
          <w:rFonts w:ascii="Arial" w:eastAsia="MS Gothic" w:hAnsi="Arial" w:cs="Arial"/>
          <w:sz w:val="22"/>
          <w:szCs w:val="22"/>
        </w:rPr>
        <w:t>±</w:t>
      </w:r>
      <w:r w:rsidRPr="004D06C6">
        <w:rPr>
          <w:rFonts w:ascii="Arial" w:eastAsiaTheme="minorHAnsi" w:hAnsi="Arial" w:cs="Arial"/>
          <w:sz w:val="22"/>
          <w:szCs w:val="22"/>
          <w:lang w:val="en-US"/>
        </w:rPr>
        <w:t xml:space="preserve">SE. </w:t>
      </w:r>
    </w:p>
    <w:p w14:paraId="72A85002" w14:textId="77777777" w:rsidR="00E56E65" w:rsidRPr="00EE5EEB" w:rsidRDefault="00E56E65" w:rsidP="00E56E65">
      <w:pPr>
        <w:spacing w:line="360" w:lineRule="auto"/>
        <w:jc w:val="both"/>
        <w:rPr>
          <w:rFonts w:ascii="Arial" w:eastAsiaTheme="minorHAnsi" w:hAnsi="Arial" w:cs="Arial"/>
          <w:sz w:val="22"/>
          <w:szCs w:val="22"/>
          <w:lang w:val="en-US"/>
        </w:rPr>
      </w:pPr>
      <w:r>
        <w:rPr>
          <w:rFonts w:ascii="Arial" w:eastAsiaTheme="minorHAnsi" w:hAnsi="Arial" w:cs="Arial"/>
          <w:sz w:val="22"/>
          <w:szCs w:val="22"/>
          <w:lang w:val="en-US"/>
        </w:rPr>
        <w:t xml:space="preserve">* </w:t>
      </w:r>
      <w:proofErr w:type="gramStart"/>
      <w:r>
        <w:rPr>
          <w:rFonts w:ascii="Arial" w:eastAsiaTheme="minorHAnsi" w:hAnsi="Arial" w:cs="Arial"/>
          <w:sz w:val="22"/>
          <w:szCs w:val="22"/>
          <w:lang w:val="en-US"/>
        </w:rPr>
        <w:t>p</w:t>
      </w:r>
      <w:proofErr w:type="gramEnd"/>
      <w:r>
        <w:rPr>
          <w:rFonts w:ascii="Arial" w:eastAsiaTheme="minorHAnsi" w:hAnsi="Arial" w:cs="Arial"/>
          <w:sz w:val="22"/>
          <w:szCs w:val="22"/>
          <w:lang w:val="en-US"/>
        </w:rPr>
        <w:t>&lt;0.05, ** p&lt;0.01, **** p&lt;0.0001</w:t>
      </w:r>
    </w:p>
    <w:p w14:paraId="3E1251D7" w14:textId="77777777" w:rsidR="00E56E65" w:rsidRDefault="00E56E65" w:rsidP="00E56E65">
      <w:pPr>
        <w:spacing w:line="480" w:lineRule="auto"/>
        <w:jc w:val="both"/>
        <w:rPr>
          <w:rFonts w:ascii="Arial" w:hAnsi="Arial" w:cs="Arial"/>
          <w:b/>
          <w:noProof/>
          <w:color w:val="000000" w:themeColor="text1"/>
        </w:rPr>
      </w:pPr>
    </w:p>
    <w:p w14:paraId="5FDA7B59" w14:textId="77777777" w:rsidR="00E56E65" w:rsidRPr="002956F4" w:rsidRDefault="00E56E65" w:rsidP="002956F4">
      <w:pPr>
        <w:pStyle w:val="Heading3"/>
        <w:spacing w:line="480" w:lineRule="auto"/>
        <w:jc w:val="both"/>
        <w:rPr>
          <w:rFonts w:ascii="Arial" w:hAnsi="Arial" w:cs="Arial"/>
          <w:noProof/>
          <w:color w:val="auto"/>
        </w:rPr>
      </w:pPr>
      <w:bookmarkStart w:id="108" w:name="_Toc383723896"/>
      <w:r w:rsidRPr="002956F4">
        <w:rPr>
          <w:rFonts w:ascii="Arial" w:hAnsi="Arial" w:cs="Arial"/>
          <w:noProof/>
          <w:color w:val="auto"/>
        </w:rPr>
        <w:lastRenderedPageBreak/>
        <w:t xml:space="preserve">4.2.4 The effect of maximal mechanical loading on tibial cortical bone mass and architecture of fed or fasted </w:t>
      </w:r>
      <w:r w:rsidR="00063CF6">
        <w:rPr>
          <w:rFonts w:ascii="Arial" w:hAnsi="Arial" w:cs="Arial"/>
          <w:noProof/>
          <w:color w:val="auto"/>
        </w:rPr>
        <w:t xml:space="preserve">1-hour fed young </w:t>
      </w:r>
      <w:r w:rsidRPr="002956F4">
        <w:rPr>
          <w:rFonts w:ascii="Arial" w:hAnsi="Arial" w:cs="Arial"/>
          <w:noProof/>
          <w:color w:val="auto"/>
        </w:rPr>
        <w:t>mice</w:t>
      </w:r>
      <w:bookmarkEnd w:id="108"/>
    </w:p>
    <w:p w14:paraId="5BBAE1CB" w14:textId="77777777" w:rsidR="00E56E65" w:rsidRDefault="00BE2AB4" w:rsidP="00E56E65">
      <w:pPr>
        <w:spacing w:line="480" w:lineRule="auto"/>
        <w:jc w:val="both"/>
        <w:rPr>
          <w:rFonts w:ascii="Arial" w:hAnsi="Arial" w:cs="Arial"/>
        </w:rPr>
      </w:pPr>
      <w:r w:rsidRPr="00BE2AB4">
        <w:rPr>
          <w:rFonts w:ascii="Arial" w:hAnsi="Arial" w:cs="Arial"/>
          <w:b/>
          <w:i/>
        </w:rPr>
        <w:t>Experimental details:</w:t>
      </w:r>
      <w:r>
        <w:rPr>
          <w:rFonts w:ascii="Arial" w:hAnsi="Arial" w:cs="Arial"/>
        </w:rPr>
        <w:t xml:space="preserve"> </w:t>
      </w:r>
      <w:r w:rsidR="00E56E65">
        <w:rPr>
          <w:rFonts w:ascii="Arial" w:hAnsi="Arial" w:cs="Arial"/>
        </w:rPr>
        <w:t xml:space="preserve">We determined that food ingestion for 2 hours following overnight fast altered bone’s adaptive response to maximal mechanical loading with 13N force in 19-week-old male </w:t>
      </w:r>
      <w:r w:rsidR="00354BA8">
        <w:rPr>
          <w:rFonts w:ascii="Arial" w:hAnsi="Arial" w:cs="Arial"/>
        </w:rPr>
        <w:t xml:space="preserve">C57BL/6 </w:t>
      </w:r>
      <w:r w:rsidR="00E56E65">
        <w:rPr>
          <w:rFonts w:ascii="Arial" w:hAnsi="Arial" w:cs="Arial"/>
        </w:rPr>
        <w:t xml:space="preserve">mice. To </w:t>
      </w:r>
      <w:r w:rsidR="00E56E65">
        <w:rPr>
          <w:rFonts w:ascii="Arial" w:hAnsi="Arial" w:cs="Arial"/>
          <w:noProof/>
          <w:color w:val="000000" w:themeColor="text1"/>
        </w:rPr>
        <w:t xml:space="preserve">explore intricate </w:t>
      </w:r>
      <w:r w:rsidR="00E56E65" w:rsidRPr="00644AC1">
        <w:rPr>
          <w:rFonts w:ascii="Arial" w:hAnsi="Arial" w:cs="Arial"/>
          <w:noProof/>
          <w:color w:val="000000" w:themeColor="text1"/>
        </w:rPr>
        <w:t xml:space="preserve">interactions between </w:t>
      </w:r>
      <w:r w:rsidR="00E56E65">
        <w:rPr>
          <w:rFonts w:ascii="Arial" w:hAnsi="Arial" w:cs="Arial"/>
          <w:noProof/>
          <w:color w:val="000000" w:themeColor="text1"/>
        </w:rPr>
        <w:t>mechanical loading and feeding/fasting</w:t>
      </w:r>
      <w:r w:rsidR="00E56E65">
        <w:rPr>
          <w:rFonts w:ascii="Arial" w:hAnsi="Arial" w:cs="Arial"/>
        </w:rPr>
        <w:t xml:space="preserve"> and determine the </w:t>
      </w:r>
      <w:r w:rsidR="00E56E65" w:rsidRPr="00B0093F">
        <w:rPr>
          <w:rFonts w:ascii="Arial" w:hAnsi="Arial" w:cs="Arial"/>
        </w:rPr>
        <w:t xml:space="preserve">optimal </w:t>
      </w:r>
      <w:r w:rsidR="00E56E65">
        <w:rPr>
          <w:rFonts w:ascii="Arial" w:hAnsi="Arial" w:cs="Arial"/>
        </w:rPr>
        <w:t xml:space="preserve">timing of feeding we next examined the effect of 1-hour food ingestion following overnight 16 hours long fast on bone’s osteogenic response to 2-week maximal mechanical loading in young male </w:t>
      </w:r>
      <w:r w:rsidR="00354BA8">
        <w:rPr>
          <w:rFonts w:ascii="Arial" w:hAnsi="Arial" w:cs="Arial"/>
        </w:rPr>
        <w:t xml:space="preserve">C57BL/6 </w:t>
      </w:r>
      <w:r w:rsidR="00E56E65">
        <w:rPr>
          <w:rFonts w:ascii="Arial" w:hAnsi="Arial" w:cs="Arial"/>
        </w:rPr>
        <w:t xml:space="preserve">mice. </w:t>
      </w:r>
    </w:p>
    <w:p w14:paraId="2B750822" w14:textId="77777777" w:rsidR="00E56E65" w:rsidRDefault="00E56E65" w:rsidP="00E56E65">
      <w:pPr>
        <w:spacing w:line="480" w:lineRule="auto"/>
        <w:jc w:val="both"/>
        <w:rPr>
          <w:rFonts w:ascii="Arial" w:hAnsi="Arial" w:cs="Arial"/>
          <w:color w:val="000000" w:themeColor="text1"/>
        </w:rPr>
      </w:pPr>
    </w:p>
    <w:p w14:paraId="43C5BC98" w14:textId="77777777" w:rsidR="00761F66" w:rsidRDefault="00E56E65" w:rsidP="00E56E65">
      <w:pPr>
        <w:spacing w:line="480" w:lineRule="auto"/>
        <w:jc w:val="both"/>
        <w:rPr>
          <w:rFonts w:ascii="Arial" w:hAnsi="Arial" w:cs="Arial"/>
          <w:color w:val="000000" w:themeColor="text1"/>
        </w:rPr>
      </w:pPr>
      <w:r w:rsidRPr="004B5544">
        <w:rPr>
          <w:rFonts w:ascii="Arial" w:hAnsi="Arial"/>
          <w:bCs/>
          <w:lang w:val="en-US"/>
        </w:rPr>
        <w:t>C</w:t>
      </w:r>
      <w:r w:rsidR="00701CB6">
        <w:rPr>
          <w:rFonts w:ascii="Arial" w:hAnsi="Arial"/>
          <w:bCs/>
          <w:lang w:val="en-US"/>
        </w:rPr>
        <w:t xml:space="preserve">t.Ar </w:t>
      </w:r>
      <w:r>
        <w:rPr>
          <w:rFonts w:ascii="Arial" w:hAnsi="Arial"/>
          <w:bCs/>
          <w:lang w:val="en-US"/>
        </w:rPr>
        <w:t xml:space="preserve">measured by </w:t>
      </w:r>
      <w:r w:rsidRPr="00813E3C">
        <w:rPr>
          <w:rFonts w:ascii="Arial" w:hAnsi="Arial" w:cs="Arial"/>
          <w:color w:val="000000" w:themeColor="text1"/>
        </w:rPr>
        <w:sym w:font="Symbol" w:char="F06D"/>
      </w:r>
      <w:r>
        <w:rPr>
          <w:rFonts w:ascii="Arial" w:hAnsi="Arial"/>
          <w:bCs/>
          <w:lang w:val="en-US"/>
        </w:rPr>
        <w:t xml:space="preserve">CT at the mid-shaft </w:t>
      </w:r>
      <w:r w:rsidRPr="004B5544">
        <w:rPr>
          <w:rFonts w:ascii="Arial" w:hAnsi="Arial"/>
          <w:bCs/>
          <w:lang w:val="en-US"/>
        </w:rPr>
        <w:t xml:space="preserve">of the right loaded tibiae significantly increased by </w:t>
      </w:r>
      <w:r>
        <w:rPr>
          <w:rFonts w:ascii="Arial" w:hAnsi="Arial"/>
          <w:bCs/>
          <w:lang w:val="en-US"/>
        </w:rPr>
        <w:t>17</w:t>
      </w:r>
      <w:r w:rsidRPr="004B5544">
        <w:rPr>
          <w:rFonts w:ascii="Arial" w:hAnsi="Arial"/>
          <w:bCs/>
          <w:lang w:val="en-US"/>
        </w:rPr>
        <w:t>% in fed</w:t>
      </w:r>
      <w:r>
        <w:rPr>
          <w:rFonts w:ascii="Arial" w:hAnsi="Arial"/>
          <w:bCs/>
          <w:lang w:val="en-US"/>
        </w:rPr>
        <w:t xml:space="preserve"> mice (p&lt;0.001)</w:t>
      </w:r>
      <w:r w:rsidRPr="004B5544">
        <w:rPr>
          <w:rFonts w:ascii="Arial" w:hAnsi="Arial"/>
          <w:bCs/>
          <w:lang w:val="en-US"/>
        </w:rPr>
        <w:t xml:space="preserve"> and </w:t>
      </w:r>
      <w:r>
        <w:rPr>
          <w:rFonts w:ascii="Arial" w:hAnsi="Arial"/>
          <w:bCs/>
          <w:lang w:val="en-US"/>
        </w:rPr>
        <w:t>by 10</w:t>
      </w:r>
      <w:r w:rsidR="000032B1">
        <w:rPr>
          <w:rFonts w:ascii="Arial" w:hAnsi="Arial"/>
          <w:bCs/>
          <w:lang w:val="en-US"/>
        </w:rPr>
        <w:t>% in fasted 1-</w:t>
      </w:r>
      <w:r w:rsidRPr="004B5544">
        <w:rPr>
          <w:rFonts w:ascii="Arial" w:hAnsi="Arial"/>
          <w:bCs/>
          <w:lang w:val="en-US"/>
        </w:rPr>
        <w:t xml:space="preserve">hour fed </w:t>
      </w:r>
      <w:r>
        <w:rPr>
          <w:rFonts w:ascii="Arial" w:hAnsi="Arial"/>
          <w:bCs/>
          <w:lang w:val="en-US"/>
        </w:rPr>
        <w:t xml:space="preserve">mice (p&lt;0.05) </w:t>
      </w:r>
      <w:r w:rsidRPr="004B5544">
        <w:rPr>
          <w:rFonts w:ascii="Arial" w:hAnsi="Arial"/>
          <w:bCs/>
          <w:lang w:val="en-US"/>
        </w:rPr>
        <w:t xml:space="preserve">compared with the left </w:t>
      </w:r>
      <w:r>
        <w:rPr>
          <w:rFonts w:ascii="Arial" w:hAnsi="Arial"/>
          <w:bCs/>
          <w:lang w:val="en-US"/>
        </w:rPr>
        <w:t xml:space="preserve">non-loaded </w:t>
      </w:r>
      <w:r w:rsidRPr="004B5544">
        <w:rPr>
          <w:rFonts w:ascii="Arial" w:hAnsi="Arial"/>
          <w:bCs/>
          <w:lang w:val="en-US"/>
        </w:rPr>
        <w:t>tibiae</w:t>
      </w:r>
      <w:r w:rsidR="00733C7A">
        <w:rPr>
          <w:rFonts w:ascii="Arial" w:hAnsi="Arial"/>
          <w:bCs/>
          <w:lang w:val="en-US"/>
        </w:rPr>
        <w:t xml:space="preserve"> (Figure 35A)</w:t>
      </w:r>
      <w:r w:rsidRPr="004B5544">
        <w:rPr>
          <w:rFonts w:ascii="Arial" w:hAnsi="Arial"/>
          <w:bCs/>
          <w:lang w:val="en-US"/>
        </w:rPr>
        <w:t xml:space="preserve">, whereas </w:t>
      </w:r>
      <w:r w:rsidR="00701CB6">
        <w:rPr>
          <w:rFonts w:ascii="Arial" w:hAnsi="Arial"/>
          <w:bCs/>
          <w:lang w:val="en-US"/>
        </w:rPr>
        <w:t xml:space="preserve">Ct.Th </w:t>
      </w:r>
      <w:r w:rsidRPr="004B5544">
        <w:rPr>
          <w:rFonts w:ascii="Arial" w:hAnsi="Arial"/>
          <w:bCs/>
          <w:lang w:val="en-US"/>
        </w:rPr>
        <w:t xml:space="preserve">of the right tibiae significantly increased by </w:t>
      </w:r>
      <w:r>
        <w:rPr>
          <w:rFonts w:ascii="Arial" w:hAnsi="Arial"/>
          <w:bCs/>
          <w:lang w:val="en-US"/>
        </w:rPr>
        <w:t>17</w:t>
      </w:r>
      <w:r w:rsidRPr="004B5544">
        <w:rPr>
          <w:rFonts w:ascii="Arial" w:hAnsi="Arial"/>
          <w:bCs/>
          <w:lang w:val="en-US"/>
        </w:rPr>
        <w:t xml:space="preserve">% in ad-lib fed mice </w:t>
      </w:r>
      <w:r>
        <w:rPr>
          <w:rFonts w:ascii="Arial" w:hAnsi="Arial"/>
          <w:bCs/>
          <w:lang w:val="en-US"/>
        </w:rPr>
        <w:t>(p&lt;0.001)</w:t>
      </w:r>
      <w:r w:rsidRPr="004B5544">
        <w:rPr>
          <w:rFonts w:ascii="Arial" w:hAnsi="Arial"/>
          <w:bCs/>
          <w:lang w:val="en-US"/>
        </w:rPr>
        <w:t xml:space="preserve"> and by </w:t>
      </w:r>
      <w:r>
        <w:rPr>
          <w:rFonts w:ascii="Arial" w:hAnsi="Arial"/>
          <w:bCs/>
          <w:lang w:val="en-US"/>
        </w:rPr>
        <w:t>13</w:t>
      </w:r>
      <w:r w:rsidR="00343B88">
        <w:rPr>
          <w:rFonts w:ascii="Arial" w:hAnsi="Arial"/>
          <w:bCs/>
          <w:lang w:val="en-US"/>
        </w:rPr>
        <w:t>% in fasted 1-</w:t>
      </w:r>
      <w:r w:rsidRPr="004B5544">
        <w:rPr>
          <w:rFonts w:ascii="Arial" w:hAnsi="Arial"/>
          <w:bCs/>
          <w:lang w:val="en-US"/>
        </w:rPr>
        <w:t xml:space="preserve">hour fed </w:t>
      </w:r>
      <w:r>
        <w:rPr>
          <w:rFonts w:ascii="Arial" w:hAnsi="Arial"/>
          <w:bCs/>
          <w:lang w:val="en-US"/>
        </w:rPr>
        <w:t>mice (p&lt;0.01)</w:t>
      </w:r>
      <w:r w:rsidRPr="004B5544">
        <w:rPr>
          <w:rFonts w:ascii="Arial" w:hAnsi="Arial"/>
          <w:bCs/>
          <w:lang w:val="en-US"/>
        </w:rPr>
        <w:t xml:space="preserve"> </w:t>
      </w:r>
      <w:r>
        <w:rPr>
          <w:rFonts w:ascii="Arial" w:hAnsi="Arial"/>
          <w:bCs/>
          <w:lang w:val="en-US"/>
        </w:rPr>
        <w:t>compared with the left non-loaded</w:t>
      </w:r>
      <w:r w:rsidRPr="004B5544">
        <w:rPr>
          <w:rFonts w:ascii="Arial" w:hAnsi="Arial"/>
          <w:bCs/>
          <w:lang w:val="en-US"/>
        </w:rPr>
        <w:t xml:space="preserve"> controls</w:t>
      </w:r>
      <w:r w:rsidR="00733C7A">
        <w:rPr>
          <w:rFonts w:ascii="Arial" w:hAnsi="Arial"/>
          <w:bCs/>
          <w:lang w:val="en-US"/>
        </w:rPr>
        <w:t xml:space="preserve"> (Figure 35D)</w:t>
      </w:r>
      <w:r w:rsidRPr="00767637">
        <w:rPr>
          <w:rFonts w:ascii="Arial" w:hAnsi="Arial"/>
          <w:bCs/>
          <w:i/>
          <w:lang w:val="en-US"/>
        </w:rPr>
        <w:t xml:space="preserve">. </w:t>
      </w:r>
      <w:r w:rsidRPr="006F5CCD">
        <w:rPr>
          <w:rFonts w:ascii="Arial" w:hAnsi="Arial" w:cs="Arial"/>
          <w:color w:val="000000" w:themeColor="text1"/>
        </w:rPr>
        <w:t>Tt.Ar</w:t>
      </w:r>
      <w:r w:rsidRPr="00767637">
        <w:rPr>
          <w:rFonts w:ascii="Arial" w:hAnsi="Arial" w:cs="Arial"/>
          <w:i/>
          <w:color w:val="000000" w:themeColor="text1"/>
        </w:rPr>
        <w:t xml:space="preserve"> </w:t>
      </w:r>
      <w:r>
        <w:rPr>
          <w:rFonts w:ascii="Arial" w:hAnsi="Arial" w:cs="Arial"/>
          <w:color w:val="000000" w:themeColor="text1"/>
        </w:rPr>
        <w:t xml:space="preserve">increased </w:t>
      </w:r>
      <w:r w:rsidRPr="006F5CCD">
        <w:rPr>
          <w:rFonts w:ascii="Arial" w:hAnsi="Arial" w:cs="Arial"/>
          <w:color w:val="000000" w:themeColor="text1"/>
        </w:rPr>
        <w:t>and Ma.Ar</w:t>
      </w:r>
      <w:r>
        <w:rPr>
          <w:rFonts w:ascii="Arial" w:hAnsi="Arial" w:cs="Arial"/>
          <w:color w:val="000000" w:themeColor="text1"/>
        </w:rPr>
        <w:t xml:space="preserve"> decreased in the r</w:t>
      </w:r>
      <w:r w:rsidR="00343B88">
        <w:rPr>
          <w:rFonts w:ascii="Arial" w:hAnsi="Arial" w:cs="Arial"/>
          <w:color w:val="000000" w:themeColor="text1"/>
        </w:rPr>
        <w:t>ight tibiae of fed and fasted 1-</w:t>
      </w:r>
      <w:r>
        <w:rPr>
          <w:rFonts w:ascii="Arial" w:hAnsi="Arial" w:cs="Arial"/>
          <w:color w:val="000000" w:themeColor="text1"/>
        </w:rPr>
        <w:t>hour fed mice, but not significantly from the left c</w:t>
      </w:r>
      <w:r w:rsidR="00D25EEF">
        <w:rPr>
          <w:rFonts w:ascii="Arial" w:hAnsi="Arial" w:cs="Arial"/>
          <w:color w:val="000000" w:themeColor="text1"/>
        </w:rPr>
        <w:t>ontrol tibiae (p&gt;0.05), Figure 35</w:t>
      </w:r>
      <w:r w:rsidR="00733C7A">
        <w:rPr>
          <w:rFonts w:ascii="Arial" w:hAnsi="Arial" w:cs="Arial"/>
          <w:color w:val="000000" w:themeColor="text1"/>
        </w:rPr>
        <w:t>B, C</w:t>
      </w:r>
      <w:r>
        <w:rPr>
          <w:rFonts w:ascii="Arial" w:hAnsi="Arial" w:cs="Arial"/>
          <w:color w:val="000000" w:themeColor="text1"/>
        </w:rPr>
        <w:t>.</w:t>
      </w:r>
      <w:r w:rsidR="005916B9">
        <w:rPr>
          <w:rFonts w:ascii="Arial" w:hAnsi="Arial" w:cs="Arial"/>
          <w:color w:val="000000" w:themeColor="text1"/>
        </w:rPr>
        <w:t xml:space="preserve"> </w:t>
      </w:r>
    </w:p>
    <w:p w14:paraId="13E0EE8F" w14:textId="77777777" w:rsidR="00761F66" w:rsidRDefault="00761F66" w:rsidP="00E56E65">
      <w:pPr>
        <w:spacing w:line="480" w:lineRule="auto"/>
        <w:jc w:val="both"/>
        <w:rPr>
          <w:rFonts w:ascii="Arial" w:hAnsi="Arial" w:cs="Arial"/>
          <w:color w:val="000000" w:themeColor="text1"/>
        </w:rPr>
      </w:pPr>
    </w:p>
    <w:p w14:paraId="372CA789" w14:textId="77777777" w:rsidR="00E56E65" w:rsidRPr="00626764" w:rsidRDefault="00E56E65" w:rsidP="00E56E65">
      <w:pPr>
        <w:spacing w:line="480" w:lineRule="auto"/>
        <w:jc w:val="both"/>
        <w:rPr>
          <w:rFonts w:ascii="Arial" w:hAnsi="Arial" w:cs="Arial"/>
          <w:bCs/>
          <w:lang w:val="en-US"/>
        </w:rPr>
      </w:pPr>
      <w:r>
        <w:rPr>
          <w:rFonts w:ascii="Arial" w:hAnsi="Arial"/>
          <w:bCs/>
          <w:lang w:val="en-US"/>
        </w:rPr>
        <w:t>Unlike the previous study, t</w:t>
      </w:r>
      <w:r w:rsidRPr="004B5544">
        <w:rPr>
          <w:rFonts w:ascii="Arial" w:hAnsi="Arial"/>
          <w:bCs/>
          <w:lang w:val="en-US"/>
        </w:rPr>
        <w:t xml:space="preserve">here were no significant differences in any cortical bone parameters of the </w:t>
      </w:r>
      <w:r>
        <w:rPr>
          <w:rFonts w:ascii="Arial" w:hAnsi="Arial"/>
          <w:bCs/>
          <w:lang w:val="en-US"/>
        </w:rPr>
        <w:t xml:space="preserve">loaded </w:t>
      </w:r>
      <w:r w:rsidRPr="004B5544">
        <w:rPr>
          <w:rFonts w:ascii="Arial" w:hAnsi="Arial"/>
          <w:bCs/>
          <w:lang w:val="en-US"/>
        </w:rPr>
        <w:t>right tibiae between the two experimental groups</w:t>
      </w:r>
      <w:r w:rsidR="00626764">
        <w:rPr>
          <w:rFonts w:ascii="Arial" w:hAnsi="Arial"/>
          <w:bCs/>
          <w:lang w:val="en-US"/>
        </w:rPr>
        <w:t xml:space="preserve"> </w:t>
      </w:r>
      <w:r w:rsidR="00626764">
        <w:rPr>
          <w:rFonts w:ascii="Arial" w:hAnsi="Arial" w:cs="Arial"/>
          <w:bCs/>
          <w:lang w:val="en-US"/>
        </w:rPr>
        <w:t>(Figure 35)</w:t>
      </w:r>
      <w:r w:rsidR="00626764" w:rsidRPr="00DD07AF">
        <w:rPr>
          <w:rFonts w:ascii="Arial" w:hAnsi="Arial" w:cs="Arial"/>
          <w:bCs/>
          <w:lang w:val="en-US"/>
        </w:rPr>
        <w:t xml:space="preserve">. </w:t>
      </w:r>
      <w:r>
        <w:rPr>
          <w:rFonts w:ascii="Arial" w:hAnsi="Arial" w:cs="Arial"/>
          <w:color w:val="000000" w:themeColor="text1"/>
        </w:rPr>
        <w:t>The quantitative da</w:t>
      </w:r>
      <w:r w:rsidR="000032B1">
        <w:rPr>
          <w:rFonts w:ascii="Arial" w:hAnsi="Arial" w:cs="Arial"/>
          <w:color w:val="000000" w:themeColor="text1"/>
        </w:rPr>
        <w:t>ta are summarised in the Table 4</w:t>
      </w:r>
      <w:r>
        <w:rPr>
          <w:rFonts w:ascii="Arial" w:hAnsi="Arial" w:cs="Arial"/>
          <w:color w:val="000000" w:themeColor="text1"/>
        </w:rPr>
        <w:t xml:space="preserve">. </w:t>
      </w:r>
    </w:p>
    <w:p w14:paraId="47240677" w14:textId="77777777" w:rsidR="00E56E65" w:rsidRDefault="00E56E65" w:rsidP="00E56E65">
      <w:pPr>
        <w:spacing w:line="480" w:lineRule="auto"/>
        <w:jc w:val="both"/>
        <w:rPr>
          <w:rFonts w:ascii="Arial" w:hAnsi="Arial" w:cs="Arial"/>
          <w:b/>
          <w:noProof/>
          <w:color w:val="000000" w:themeColor="text1"/>
        </w:rPr>
      </w:pPr>
    </w:p>
    <w:p w14:paraId="4C18D8F3" w14:textId="77777777" w:rsidR="00E56E65" w:rsidRDefault="00E56E65" w:rsidP="00E56E65">
      <w:pPr>
        <w:spacing w:line="480" w:lineRule="auto"/>
        <w:jc w:val="both"/>
        <w:rPr>
          <w:rFonts w:ascii="Arial" w:hAnsi="Arial" w:cs="Arial"/>
          <w:b/>
          <w:noProof/>
          <w:color w:val="000000" w:themeColor="text1"/>
        </w:rPr>
      </w:pPr>
    </w:p>
    <w:p w14:paraId="7047B452" w14:textId="77777777" w:rsidR="00E56E65" w:rsidRDefault="00E56E65" w:rsidP="00E56E65">
      <w:pPr>
        <w:spacing w:line="360" w:lineRule="auto"/>
        <w:jc w:val="both"/>
        <w:rPr>
          <w:rFonts w:ascii="Arial" w:hAnsi="Arial" w:cs="Arial"/>
          <w:b/>
          <w:color w:val="1F497D" w:themeColor="text2"/>
        </w:rPr>
      </w:pPr>
    </w:p>
    <w:p w14:paraId="09DDAA06" w14:textId="77777777" w:rsidR="000032B1" w:rsidRDefault="000032B1" w:rsidP="00E56E65">
      <w:pPr>
        <w:spacing w:line="360" w:lineRule="auto"/>
        <w:jc w:val="both"/>
        <w:rPr>
          <w:rFonts w:ascii="Arial" w:hAnsi="Arial" w:cs="Arial"/>
          <w:b/>
          <w:color w:val="1F497D" w:themeColor="text2"/>
        </w:rPr>
      </w:pPr>
    </w:p>
    <w:p w14:paraId="17D061F4" w14:textId="77777777" w:rsidR="000032B1" w:rsidRDefault="000032B1" w:rsidP="00E56E65">
      <w:pPr>
        <w:spacing w:line="360" w:lineRule="auto"/>
        <w:jc w:val="both"/>
        <w:rPr>
          <w:rFonts w:ascii="Arial" w:hAnsi="Arial" w:cs="Arial"/>
          <w:b/>
          <w:color w:val="1F497D" w:themeColor="text2"/>
        </w:rPr>
      </w:pPr>
    </w:p>
    <w:p w14:paraId="304A82D7" w14:textId="77777777" w:rsidR="00E56E65" w:rsidRDefault="00E56E65" w:rsidP="00E56E65">
      <w:pPr>
        <w:spacing w:line="360" w:lineRule="auto"/>
        <w:jc w:val="both"/>
        <w:rPr>
          <w:rFonts w:ascii="Arial" w:eastAsiaTheme="minorHAnsi" w:hAnsi="Arial" w:cs="Arial"/>
          <w:b/>
          <w:bCs/>
          <w:color w:val="000000" w:themeColor="text1"/>
          <w:lang w:val="en-US"/>
        </w:rPr>
      </w:pPr>
    </w:p>
    <w:p w14:paraId="358A4A99" w14:textId="77777777" w:rsidR="00E56E65" w:rsidRDefault="00E56E65" w:rsidP="00E56E65">
      <w:pPr>
        <w:rPr>
          <w:rFonts w:ascii="Arial" w:eastAsiaTheme="minorHAnsi" w:hAnsi="Arial" w:cs="Arial"/>
          <w:lang w:val="en-US"/>
        </w:rPr>
      </w:pPr>
    </w:p>
    <w:p w14:paraId="155C96EB" w14:textId="77777777" w:rsidR="00AD1D6B" w:rsidRDefault="00AD1D6B" w:rsidP="000032B1">
      <w:pPr>
        <w:spacing w:line="360" w:lineRule="auto"/>
        <w:jc w:val="both"/>
        <w:rPr>
          <w:rFonts w:ascii="Arial" w:hAnsi="Arial" w:cs="Arial"/>
          <w:b/>
          <w:color w:val="244061" w:themeColor="accent1" w:themeShade="80"/>
        </w:rPr>
      </w:pPr>
    </w:p>
    <w:p w14:paraId="1C1665DA" w14:textId="77777777" w:rsidR="000032B1" w:rsidRPr="004632C8" w:rsidRDefault="000032B1" w:rsidP="004632C8">
      <w:pPr>
        <w:pStyle w:val="Caption"/>
        <w:spacing w:line="360" w:lineRule="auto"/>
        <w:jc w:val="both"/>
        <w:rPr>
          <w:rFonts w:ascii="Arial" w:hAnsi="Arial"/>
          <w:color w:val="244061" w:themeColor="accent1" w:themeShade="80"/>
          <w:sz w:val="24"/>
          <w:szCs w:val="24"/>
        </w:rPr>
      </w:pPr>
      <w:bookmarkStart w:id="109" w:name="_Toc383545830"/>
      <w:r w:rsidRPr="004632C8">
        <w:rPr>
          <w:rFonts w:ascii="Arial" w:hAnsi="Arial"/>
          <w:color w:val="244061" w:themeColor="accent1" w:themeShade="80"/>
          <w:sz w:val="24"/>
          <w:szCs w:val="24"/>
        </w:rPr>
        <w:lastRenderedPageBreak/>
        <w:t xml:space="preserve">Table </w:t>
      </w:r>
      <w:r w:rsidRPr="004632C8">
        <w:rPr>
          <w:rFonts w:ascii="Arial" w:hAnsi="Arial"/>
          <w:color w:val="244061" w:themeColor="accent1" w:themeShade="80"/>
          <w:sz w:val="24"/>
          <w:szCs w:val="24"/>
        </w:rPr>
        <w:fldChar w:fldCharType="begin"/>
      </w:r>
      <w:r w:rsidRPr="004632C8">
        <w:rPr>
          <w:rFonts w:ascii="Arial" w:hAnsi="Arial"/>
          <w:color w:val="244061" w:themeColor="accent1" w:themeShade="80"/>
          <w:sz w:val="24"/>
          <w:szCs w:val="24"/>
        </w:rPr>
        <w:instrText xml:space="preserve"> SEQ Table \* ARABIC </w:instrText>
      </w:r>
      <w:r w:rsidRPr="004632C8">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4</w:t>
      </w:r>
      <w:r w:rsidRPr="004632C8">
        <w:rPr>
          <w:rFonts w:ascii="Arial" w:hAnsi="Arial"/>
          <w:color w:val="244061" w:themeColor="accent1" w:themeShade="80"/>
          <w:sz w:val="24"/>
          <w:szCs w:val="24"/>
        </w:rPr>
        <w:fldChar w:fldCharType="end"/>
      </w:r>
      <w:r w:rsidRPr="004632C8">
        <w:rPr>
          <w:rFonts w:ascii="Arial" w:hAnsi="Arial"/>
          <w:color w:val="244061" w:themeColor="accent1" w:themeShade="80"/>
          <w:sz w:val="24"/>
          <w:szCs w:val="24"/>
        </w:rPr>
        <w:t xml:space="preserve"> Quantitative results of </w:t>
      </w:r>
      <w:r w:rsidRPr="004632C8">
        <w:rPr>
          <w:rFonts w:ascii="Arial" w:hAnsi="Arial"/>
          <w:color w:val="244061" w:themeColor="accent1" w:themeShade="80"/>
          <w:sz w:val="24"/>
          <w:szCs w:val="24"/>
        </w:rPr>
        <w:sym w:font="Symbol" w:char="F06D"/>
      </w:r>
      <w:r w:rsidRPr="004632C8">
        <w:rPr>
          <w:rFonts w:ascii="Arial" w:hAnsi="Arial"/>
          <w:color w:val="244061" w:themeColor="accent1" w:themeShade="80"/>
          <w:sz w:val="24"/>
          <w:szCs w:val="24"/>
        </w:rPr>
        <w:t xml:space="preserve">CT analysis of tibial cortical </w:t>
      </w:r>
      <w:r w:rsidR="0064694D">
        <w:rPr>
          <w:rFonts w:ascii="Arial" w:hAnsi="Arial"/>
          <w:color w:val="244061" w:themeColor="accent1" w:themeShade="80"/>
          <w:sz w:val="24"/>
          <w:szCs w:val="24"/>
        </w:rPr>
        <w:t xml:space="preserve">and trabecular </w:t>
      </w:r>
      <w:r w:rsidRPr="004632C8">
        <w:rPr>
          <w:rFonts w:ascii="Arial" w:hAnsi="Arial"/>
          <w:color w:val="244061" w:themeColor="accent1" w:themeShade="80"/>
          <w:sz w:val="24"/>
          <w:szCs w:val="24"/>
        </w:rPr>
        <w:t xml:space="preserve">bone parameters after maximal mechanical loading of fed or fed for 1 </w:t>
      </w:r>
      <w:r w:rsidR="00D37612">
        <w:rPr>
          <w:rFonts w:ascii="Arial" w:hAnsi="Arial"/>
          <w:color w:val="244061" w:themeColor="accent1" w:themeShade="80"/>
          <w:sz w:val="24"/>
          <w:szCs w:val="24"/>
        </w:rPr>
        <w:t>hour following overnight fast</w:t>
      </w:r>
      <w:r w:rsidRPr="004632C8">
        <w:rPr>
          <w:rFonts w:ascii="Arial" w:hAnsi="Arial"/>
          <w:color w:val="244061" w:themeColor="accent1" w:themeShade="80"/>
          <w:sz w:val="24"/>
          <w:szCs w:val="24"/>
        </w:rPr>
        <w:t xml:space="preserve"> young male mice</w:t>
      </w:r>
      <w:bookmarkEnd w:id="109"/>
    </w:p>
    <w:p w14:paraId="224E23AE" w14:textId="77777777" w:rsidR="000032B1" w:rsidRDefault="000032B1" w:rsidP="000032B1">
      <w:pPr>
        <w:pStyle w:val="Caption"/>
        <w:keepNext/>
      </w:pPr>
    </w:p>
    <w:tbl>
      <w:tblPr>
        <w:tblW w:w="9889" w:type="dxa"/>
        <w:tblBorders>
          <w:top w:val="single" w:sz="4" w:space="0" w:color="auto"/>
        </w:tblBorders>
        <w:tblLayout w:type="fixed"/>
        <w:tblLook w:val="04A0" w:firstRow="1" w:lastRow="0" w:firstColumn="1" w:lastColumn="0" w:noHBand="0" w:noVBand="1"/>
      </w:tblPr>
      <w:tblGrid>
        <w:gridCol w:w="1951"/>
        <w:gridCol w:w="1418"/>
        <w:gridCol w:w="1559"/>
        <w:gridCol w:w="992"/>
        <w:gridCol w:w="1418"/>
        <w:gridCol w:w="1559"/>
        <w:gridCol w:w="992"/>
      </w:tblGrid>
      <w:tr w:rsidR="00E56E65" w14:paraId="5F9DEDB7" w14:textId="77777777" w:rsidTr="00E56E65">
        <w:tc>
          <w:tcPr>
            <w:tcW w:w="1951" w:type="dxa"/>
          </w:tcPr>
          <w:p w14:paraId="2ABB88A1" w14:textId="77777777" w:rsidR="00E56E65" w:rsidRPr="00946100" w:rsidRDefault="00E56E65" w:rsidP="00E56E65">
            <w:pPr>
              <w:spacing w:line="480" w:lineRule="auto"/>
              <w:jc w:val="center"/>
              <w:rPr>
                <w:rFonts w:ascii="Arial" w:hAnsi="Arial" w:cs="Arial"/>
                <w:sz w:val="22"/>
                <w:szCs w:val="22"/>
              </w:rPr>
            </w:pPr>
          </w:p>
        </w:tc>
        <w:tc>
          <w:tcPr>
            <w:tcW w:w="3969" w:type="dxa"/>
            <w:gridSpan w:val="3"/>
            <w:tcBorders>
              <w:bottom w:val="single" w:sz="4" w:space="0" w:color="auto"/>
              <w:right w:val="single" w:sz="4" w:space="0" w:color="auto"/>
            </w:tcBorders>
          </w:tcPr>
          <w:p w14:paraId="777547BA"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Fed</w:t>
            </w:r>
          </w:p>
        </w:tc>
        <w:tc>
          <w:tcPr>
            <w:tcW w:w="3969" w:type="dxa"/>
            <w:gridSpan w:val="3"/>
            <w:tcBorders>
              <w:top w:val="single" w:sz="4" w:space="0" w:color="auto"/>
              <w:left w:val="single" w:sz="4" w:space="0" w:color="auto"/>
              <w:bottom w:val="nil"/>
            </w:tcBorders>
          </w:tcPr>
          <w:p w14:paraId="694D9019" w14:textId="77777777" w:rsidR="00E56E65" w:rsidRPr="00946100" w:rsidRDefault="00E56E65" w:rsidP="00E56E65">
            <w:pPr>
              <w:tabs>
                <w:tab w:val="left" w:pos="1328"/>
              </w:tabs>
              <w:spacing w:line="480" w:lineRule="auto"/>
              <w:jc w:val="center"/>
              <w:rPr>
                <w:rFonts w:ascii="Arial" w:hAnsi="Arial" w:cs="Arial"/>
                <w:sz w:val="22"/>
                <w:szCs w:val="22"/>
              </w:rPr>
            </w:pPr>
            <w:r w:rsidRPr="00946100">
              <w:rPr>
                <w:rFonts w:ascii="Arial" w:hAnsi="Arial" w:cs="Arial"/>
                <w:b/>
                <w:color w:val="000000"/>
                <w:sz w:val="22"/>
                <w:szCs w:val="22"/>
              </w:rPr>
              <w:t>Fasted Fed 2hrs</w:t>
            </w:r>
          </w:p>
        </w:tc>
      </w:tr>
      <w:tr w:rsidR="00E56E65" w14:paraId="7573241B" w14:textId="77777777" w:rsidTr="00E56E65">
        <w:tc>
          <w:tcPr>
            <w:tcW w:w="1951" w:type="dxa"/>
            <w:tcBorders>
              <w:bottom w:val="single" w:sz="4" w:space="0" w:color="auto"/>
            </w:tcBorders>
          </w:tcPr>
          <w:p w14:paraId="48B56F21" w14:textId="77777777" w:rsidR="00E56E65" w:rsidRPr="00946100" w:rsidRDefault="00E56E65" w:rsidP="00E56E65">
            <w:pPr>
              <w:spacing w:line="480" w:lineRule="auto"/>
              <w:jc w:val="center"/>
              <w:rPr>
                <w:rFonts w:ascii="Arial" w:hAnsi="Arial" w:cs="Arial"/>
                <w:sz w:val="22"/>
                <w:szCs w:val="22"/>
              </w:rPr>
            </w:pPr>
          </w:p>
        </w:tc>
        <w:tc>
          <w:tcPr>
            <w:tcW w:w="1418" w:type="dxa"/>
            <w:tcBorders>
              <w:top w:val="single" w:sz="4" w:space="0" w:color="auto"/>
              <w:bottom w:val="single" w:sz="4" w:space="0" w:color="auto"/>
            </w:tcBorders>
          </w:tcPr>
          <w:p w14:paraId="7375232C" w14:textId="77777777" w:rsidR="00E56E65" w:rsidRPr="00946100" w:rsidRDefault="00E56E65" w:rsidP="00E56E65">
            <w:pPr>
              <w:tabs>
                <w:tab w:val="left" w:pos="704"/>
              </w:tabs>
              <w:spacing w:line="480" w:lineRule="auto"/>
              <w:jc w:val="center"/>
              <w:rPr>
                <w:rFonts w:ascii="Arial" w:hAnsi="Arial" w:cs="Arial"/>
                <w:sz w:val="22"/>
                <w:szCs w:val="22"/>
              </w:rPr>
            </w:pPr>
            <w:r w:rsidRPr="00946100">
              <w:rPr>
                <w:rFonts w:ascii="Arial" w:hAnsi="Arial" w:cs="Arial"/>
                <w:b/>
                <w:color w:val="000000"/>
                <w:sz w:val="22"/>
                <w:szCs w:val="22"/>
              </w:rPr>
              <w:t>Loaded</w:t>
            </w:r>
          </w:p>
        </w:tc>
        <w:tc>
          <w:tcPr>
            <w:tcW w:w="1559" w:type="dxa"/>
            <w:tcBorders>
              <w:top w:val="single" w:sz="4" w:space="0" w:color="auto"/>
              <w:bottom w:val="single" w:sz="4" w:space="0" w:color="auto"/>
            </w:tcBorders>
          </w:tcPr>
          <w:p w14:paraId="6FD3352F"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Non-loaded</w:t>
            </w:r>
          </w:p>
        </w:tc>
        <w:tc>
          <w:tcPr>
            <w:tcW w:w="992" w:type="dxa"/>
            <w:tcBorders>
              <w:top w:val="nil"/>
              <w:bottom w:val="single" w:sz="4" w:space="0" w:color="auto"/>
              <w:right w:val="single" w:sz="4" w:space="0" w:color="auto"/>
            </w:tcBorders>
          </w:tcPr>
          <w:p w14:paraId="14AC42FD" w14:textId="77777777" w:rsidR="00E56E65" w:rsidRPr="00946100" w:rsidRDefault="00E56E65" w:rsidP="00E56E65">
            <w:pPr>
              <w:spacing w:line="480" w:lineRule="auto"/>
              <w:jc w:val="center"/>
              <w:rPr>
                <w:rFonts w:ascii="Arial" w:hAnsi="Arial" w:cs="Arial"/>
                <w:sz w:val="22"/>
                <w:szCs w:val="22"/>
              </w:rPr>
            </w:pPr>
            <w:proofErr w:type="gramStart"/>
            <w:r w:rsidRPr="00946100">
              <w:rPr>
                <w:rFonts w:ascii="Arial" w:hAnsi="Arial" w:cs="Arial"/>
                <w:b/>
                <w:color w:val="000000"/>
                <w:sz w:val="22"/>
                <w:szCs w:val="22"/>
              </w:rPr>
              <w:t>p</w:t>
            </w:r>
            <w:proofErr w:type="gramEnd"/>
            <w:r w:rsidRPr="00946100">
              <w:rPr>
                <w:rFonts w:ascii="Arial" w:hAnsi="Arial" w:cs="Arial"/>
                <w:b/>
                <w:color w:val="000000"/>
                <w:sz w:val="22"/>
                <w:szCs w:val="22"/>
              </w:rPr>
              <w:t xml:space="preserve"> value</w:t>
            </w:r>
          </w:p>
        </w:tc>
        <w:tc>
          <w:tcPr>
            <w:tcW w:w="1418" w:type="dxa"/>
            <w:tcBorders>
              <w:top w:val="single" w:sz="4" w:space="0" w:color="auto"/>
              <w:left w:val="single" w:sz="4" w:space="0" w:color="auto"/>
              <w:bottom w:val="single" w:sz="4" w:space="0" w:color="auto"/>
            </w:tcBorders>
          </w:tcPr>
          <w:p w14:paraId="2F92A194"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Loaded</w:t>
            </w:r>
          </w:p>
        </w:tc>
        <w:tc>
          <w:tcPr>
            <w:tcW w:w="1559" w:type="dxa"/>
            <w:tcBorders>
              <w:top w:val="single" w:sz="4" w:space="0" w:color="auto"/>
              <w:bottom w:val="single" w:sz="4" w:space="0" w:color="auto"/>
            </w:tcBorders>
          </w:tcPr>
          <w:p w14:paraId="274D710D"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Non-loaded</w:t>
            </w:r>
          </w:p>
        </w:tc>
        <w:tc>
          <w:tcPr>
            <w:tcW w:w="992" w:type="dxa"/>
            <w:tcBorders>
              <w:top w:val="single" w:sz="4" w:space="0" w:color="auto"/>
              <w:bottom w:val="single" w:sz="4" w:space="0" w:color="auto"/>
            </w:tcBorders>
          </w:tcPr>
          <w:p w14:paraId="60F6C1BC" w14:textId="77777777" w:rsidR="00E56E65" w:rsidRPr="00946100" w:rsidRDefault="00E56E65" w:rsidP="00E56E65">
            <w:pPr>
              <w:spacing w:line="480" w:lineRule="auto"/>
              <w:jc w:val="center"/>
              <w:rPr>
                <w:rFonts w:ascii="Arial" w:hAnsi="Arial" w:cs="Arial"/>
                <w:sz w:val="22"/>
                <w:szCs w:val="22"/>
              </w:rPr>
            </w:pPr>
            <w:proofErr w:type="gramStart"/>
            <w:r>
              <w:rPr>
                <w:rFonts w:ascii="Arial" w:hAnsi="Arial" w:cs="Arial"/>
                <w:b/>
                <w:color w:val="000000"/>
                <w:sz w:val="22"/>
                <w:szCs w:val="22"/>
              </w:rPr>
              <w:t>p</w:t>
            </w:r>
            <w:proofErr w:type="gramEnd"/>
            <w:r>
              <w:rPr>
                <w:rFonts w:ascii="Arial" w:hAnsi="Arial" w:cs="Arial"/>
                <w:b/>
                <w:color w:val="000000"/>
                <w:sz w:val="22"/>
                <w:szCs w:val="22"/>
              </w:rPr>
              <w:t>-</w:t>
            </w:r>
            <w:r w:rsidRPr="00946100">
              <w:rPr>
                <w:rFonts w:ascii="Arial" w:hAnsi="Arial" w:cs="Arial"/>
                <w:b/>
                <w:color w:val="000000"/>
                <w:sz w:val="22"/>
                <w:szCs w:val="22"/>
              </w:rPr>
              <w:t>value</w:t>
            </w:r>
          </w:p>
        </w:tc>
      </w:tr>
      <w:tr w:rsidR="00E56E65" w14:paraId="1D10D0F7" w14:textId="77777777" w:rsidTr="00E56E65">
        <w:tc>
          <w:tcPr>
            <w:tcW w:w="1951" w:type="dxa"/>
            <w:tcBorders>
              <w:top w:val="single" w:sz="4" w:space="0" w:color="auto"/>
            </w:tcBorders>
          </w:tcPr>
          <w:p w14:paraId="5D3D25B4" w14:textId="77777777" w:rsidR="00E56E65" w:rsidRPr="00946100" w:rsidRDefault="00CD56DE" w:rsidP="00E56E65">
            <w:pPr>
              <w:tabs>
                <w:tab w:val="left" w:pos="720"/>
              </w:tabs>
              <w:spacing w:line="480" w:lineRule="auto"/>
              <w:jc w:val="center"/>
              <w:rPr>
                <w:rFonts w:ascii="Arial" w:hAnsi="Arial" w:cs="Arial"/>
                <w:sz w:val="22"/>
                <w:szCs w:val="22"/>
              </w:rPr>
            </w:pPr>
            <w:r w:rsidRPr="00196387">
              <w:rPr>
                <w:rFonts w:ascii="Arial" w:hAnsi="Arial" w:cs="Arial"/>
                <w:b/>
                <w:color w:val="000000"/>
                <w:sz w:val="22"/>
                <w:szCs w:val="22"/>
              </w:rPr>
              <w:t>Cortical bone</w:t>
            </w:r>
          </w:p>
        </w:tc>
        <w:tc>
          <w:tcPr>
            <w:tcW w:w="1418" w:type="dxa"/>
            <w:tcBorders>
              <w:top w:val="single" w:sz="4" w:space="0" w:color="auto"/>
            </w:tcBorders>
          </w:tcPr>
          <w:p w14:paraId="0DDC5B03" w14:textId="77777777" w:rsidR="00E56E65" w:rsidRPr="00946100" w:rsidRDefault="00E56E65" w:rsidP="00E56E65">
            <w:pPr>
              <w:spacing w:line="480" w:lineRule="auto"/>
              <w:jc w:val="center"/>
              <w:rPr>
                <w:rFonts w:ascii="Arial" w:hAnsi="Arial" w:cs="Arial"/>
                <w:sz w:val="22"/>
                <w:szCs w:val="22"/>
              </w:rPr>
            </w:pPr>
          </w:p>
        </w:tc>
        <w:tc>
          <w:tcPr>
            <w:tcW w:w="1559" w:type="dxa"/>
            <w:tcBorders>
              <w:top w:val="single" w:sz="4" w:space="0" w:color="auto"/>
            </w:tcBorders>
          </w:tcPr>
          <w:p w14:paraId="599C35CA" w14:textId="77777777" w:rsidR="00E56E65" w:rsidRPr="00946100" w:rsidRDefault="00E56E65" w:rsidP="00E56E65">
            <w:pPr>
              <w:spacing w:line="480" w:lineRule="auto"/>
              <w:jc w:val="center"/>
              <w:rPr>
                <w:rFonts w:ascii="Arial" w:hAnsi="Arial" w:cs="Arial"/>
                <w:sz w:val="22"/>
                <w:szCs w:val="22"/>
              </w:rPr>
            </w:pPr>
          </w:p>
        </w:tc>
        <w:tc>
          <w:tcPr>
            <w:tcW w:w="992" w:type="dxa"/>
            <w:tcBorders>
              <w:top w:val="single" w:sz="4" w:space="0" w:color="auto"/>
            </w:tcBorders>
          </w:tcPr>
          <w:p w14:paraId="58C86CF5" w14:textId="77777777" w:rsidR="00E56E65" w:rsidRPr="00946100" w:rsidRDefault="00E56E65" w:rsidP="00E56E65">
            <w:pPr>
              <w:spacing w:line="480" w:lineRule="auto"/>
              <w:jc w:val="center"/>
              <w:rPr>
                <w:rFonts w:ascii="Arial" w:hAnsi="Arial" w:cs="Arial"/>
                <w:sz w:val="22"/>
                <w:szCs w:val="22"/>
              </w:rPr>
            </w:pPr>
          </w:p>
        </w:tc>
        <w:tc>
          <w:tcPr>
            <w:tcW w:w="1418" w:type="dxa"/>
            <w:tcBorders>
              <w:top w:val="single" w:sz="4" w:space="0" w:color="auto"/>
            </w:tcBorders>
          </w:tcPr>
          <w:p w14:paraId="1C08E665" w14:textId="77777777" w:rsidR="00E56E65" w:rsidRPr="00946100" w:rsidRDefault="00E56E65" w:rsidP="00E56E65">
            <w:pPr>
              <w:spacing w:line="480" w:lineRule="auto"/>
              <w:jc w:val="center"/>
              <w:rPr>
                <w:rFonts w:ascii="Arial" w:hAnsi="Arial" w:cs="Arial"/>
                <w:sz w:val="22"/>
                <w:szCs w:val="22"/>
              </w:rPr>
            </w:pPr>
          </w:p>
        </w:tc>
        <w:tc>
          <w:tcPr>
            <w:tcW w:w="1559" w:type="dxa"/>
            <w:tcBorders>
              <w:top w:val="single" w:sz="4" w:space="0" w:color="auto"/>
            </w:tcBorders>
          </w:tcPr>
          <w:p w14:paraId="1C7B800B" w14:textId="77777777" w:rsidR="00E56E65" w:rsidRPr="00946100" w:rsidRDefault="00E56E65" w:rsidP="00E56E65">
            <w:pPr>
              <w:spacing w:line="480" w:lineRule="auto"/>
              <w:jc w:val="center"/>
              <w:rPr>
                <w:rFonts w:ascii="Arial" w:hAnsi="Arial" w:cs="Arial"/>
                <w:sz w:val="22"/>
                <w:szCs w:val="22"/>
              </w:rPr>
            </w:pPr>
          </w:p>
        </w:tc>
        <w:tc>
          <w:tcPr>
            <w:tcW w:w="992" w:type="dxa"/>
            <w:tcBorders>
              <w:top w:val="single" w:sz="4" w:space="0" w:color="auto"/>
            </w:tcBorders>
          </w:tcPr>
          <w:p w14:paraId="48EBE72F" w14:textId="77777777" w:rsidR="00E56E65" w:rsidRPr="00946100" w:rsidRDefault="00E56E65" w:rsidP="00E56E65">
            <w:pPr>
              <w:spacing w:line="480" w:lineRule="auto"/>
              <w:jc w:val="center"/>
              <w:rPr>
                <w:rFonts w:ascii="Arial" w:hAnsi="Arial" w:cs="Arial"/>
                <w:sz w:val="22"/>
                <w:szCs w:val="22"/>
              </w:rPr>
            </w:pPr>
          </w:p>
        </w:tc>
      </w:tr>
      <w:tr w:rsidR="00CD56DE" w14:paraId="587987C2" w14:textId="77777777" w:rsidTr="00E56E65">
        <w:tc>
          <w:tcPr>
            <w:tcW w:w="1951" w:type="dxa"/>
          </w:tcPr>
          <w:p w14:paraId="292D53DF"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Ct.Ar (mm</w:t>
            </w:r>
            <w:r w:rsidRPr="006C2FC2">
              <w:rPr>
                <w:rFonts w:ascii="Arial" w:hAnsi="Arial" w:cs="Arial"/>
                <w:color w:val="000000"/>
                <w:sz w:val="22"/>
                <w:szCs w:val="22"/>
                <w:vertAlign w:val="superscript"/>
              </w:rPr>
              <w:t>2</w:t>
            </w:r>
            <w:r w:rsidRPr="00196387">
              <w:rPr>
                <w:rFonts w:ascii="Arial" w:hAnsi="Arial" w:cs="Arial"/>
                <w:color w:val="000000"/>
                <w:sz w:val="22"/>
                <w:szCs w:val="22"/>
              </w:rPr>
              <w:t>)</w:t>
            </w:r>
          </w:p>
        </w:tc>
        <w:tc>
          <w:tcPr>
            <w:tcW w:w="1418" w:type="dxa"/>
          </w:tcPr>
          <w:p w14:paraId="4AF75812"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0.77</w:t>
            </w:r>
            <w:r w:rsidRPr="00196387">
              <w:rPr>
                <w:rFonts w:ascii="Arial" w:hAnsi="Arial" w:cs="Arial"/>
                <w:color w:val="000000"/>
                <w:sz w:val="22"/>
                <w:szCs w:val="22"/>
              </w:rPr>
              <w:t>±0.01</w:t>
            </w:r>
          </w:p>
        </w:tc>
        <w:tc>
          <w:tcPr>
            <w:tcW w:w="1559" w:type="dxa"/>
          </w:tcPr>
          <w:p w14:paraId="0DFA7E03"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0.66</w:t>
            </w:r>
            <w:r w:rsidRPr="00196387">
              <w:rPr>
                <w:rFonts w:ascii="Arial" w:hAnsi="Arial" w:cs="Arial"/>
                <w:color w:val="000000"/>
                <w:sz w:val="22"/>
                <w:szCs w:val="22"/>
              </w:rPr>
              <w:t>±0.01</w:t>
            </w:r>
          </w:p>
        </w:tc>
        <w:tc>
          <w:tcPr>
            <w:tcW w:w="992" w:type="dxa"/>
          </w:tcPr>
          <w:p w14:paraId="5DC0F9E7" w14:textId="77777777" w:rsidR="00CD56DE" w:rsidRPr="00196387" w:rsidRDefault="00CD56DE" w:rsidP="00E56E65">
            <w:pPr>
              <w:spacing w:line="480" w:lineRule="auto"/>
              <w:jc w:val="center"/>
              <w:rPr>
                <w:rFonts w:ascii="Arial" w:hAnsi="Arial" w:cs="Arial"/>
                <w:sz w:val="22"/>
                <w:szCs w:val="22"/>
              </w:rPr>
            </w:pPr>
            <w:proofErr w:type="gramStart"/>
            <w:r>
              <w:rPr>
                <w:rFonts w:ascii="Arial" w:hAnsi="Arial" w:cs="Arial"/>
                <w:sz w:val="22"/>
                <w:szCs w:val="22"/>
              </w:rPr>
              <w:t>c</w:t>
            </w:r>
            <w:proofErr w:type="gramEnd"/>
          </w:p>
        </w:tc>
        <w:tc>
          <w:tcPr>
            <w:tcW w:w="1418" w:type="dxa"/>
          </w:tcPr>
          <w:p w14:paraId="4F3FF154"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0.75±0.0</w:t>
            </w:r>
            <w:r>
              <w:rPr>
                <w:rFonts w:ascii="Arial" w:hAnsi="Arial" w:cs="Arial"/>
                <w:color w:val="000000"/>
                <w:sz w:val="22"/>
                <w:szCs w:val="22"/>
              </w:rPr>
              <w:t>09</w:t>
            </w:r>
          </w:p>
        </w:tc>
        <w:tc>
          <w:tcPr>
            <w:tcW w:w="1559" w:type="dxa"/>
          </w:tcPr>
          <w:p w14:paraId="6319F842"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0.68</w:t>
            </w:r>
            <w:r w:rsidRPr="00196387">
              <w:rPr>
                <w:rFonts w:ascii="Arial" w:hAnsi="Arial" w:cs="Arial"/>
                <w:color w:val="000000"/>
                <w:sz w:val="22"/>
                <w:szCs w:val="22"/>
              </w:rPr>
              <w:t>±0.02</w:t>
            </w:r>
          </w:p>
        </w:tc>
        <w:tc>
          <w:tcPr>
            <w:tcW w:w="992" w:type="dxa"/>
          </w:tcPr>
          <w:p w14:paraId="7655E686" w14:textId="77777777" w:rsidR="00CD56DE" w:rsidRPr="00196387" w:rsidRDefault="00CD56DE" w:rsidP="00E56E65">
            <w:pPr>
              <w:spacing w:line="480" w:lineRule="auto"/>
              <w:jc w:val="center"/>
              <w:rPr>
                <w:rFonts w:ascii="Arial" w:hAnsi="Arial" w:cs="Arial"/>
                <w:sz w:val="22"/>
                <w:szCs w:val="22"/>
              </w:rPr>
            </w:pPr>
            <w:proofErr w:type="gramStart"/>
            <w:r>
              <w:rPr>
                <w:rFonts w:ascii="Arial" w:hAnsi="Arial" w:cs="Arial"/>
                <w:sz w:val="22"/>
                <w:szCs w:val="22"/>
              </w:rPr>
              <w:t>a</w:t>
            </w:r>
            <w:proofErr w:type="gramEnd"/>
          </w:p>
        </w:tc>
      </w:tr>
      <w:tr w:rsidR="00CD56DE" w14:paraId="7884088E" w14:textId="77777777" w:rsidTr="00E56E65">
        <w:tc>
          <w:tcPr>
            <w:tcW w:w="1951" w:type="dxa"/>
          </w:tcPr>
          <w:p w14:paraId="4959F8AA"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Tt.Ar (mm</w:t>
            </w:r>
            <w:r w:rsidRPr="006C2FC2">
              <w:rPr>
                <w:rFonts w:ascii="Arial" w:hAnsi="Arial" w:cs="Arial"/>
                <w:color w:val="000000"/>
                <w:sz w:val="22"/>
                <w:szCs w:val="22"/>
                <w:vertAlign w:val="superscript"/>
              </w:rPr>
              <w:t>2</w:t>
            </w:r>
            <w:r w:rsidRPr="00196387">
              <w:rPr>
                <w:rFonts w:ascii="Arial" w:hAnsi="Arial" w:cs="Arial"/>
                <w:color w:val="000000"/>
                <w:sz w:val="22"/>
                <w:szCs w:val="22"/>
              </w:rPr>
              <w:t>)</w:t>
            </w:r>
          </w:p>
        </w:tc>
        <w:tc>
          <w:tcPr>
            <w:tcW w:w="1418" w:type="dxa"/>
          </w:tcPr>
          <w:p w14:paraId="1BA56DC6"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1.23</w:t>
            </w:r>
            <w:r w:rsidRPr="00196387">
              <w:rPr>
                <w:rFonts w:ascii="Arial" w:hAnsi="Arial" w:cs="Arial"/>
                <w:color w:val="000000"/>
                <w:sz w:val="22"/>
                <w:szCs w:val="22"/>
              </w:rPr>
              <w:t>±0.0</w:t>
            </w:r>
            <w:r>
              <w:rPr>
                <w:rFonts w:ascii="Arial" w:hAnsi="Arial" w:cs="Arial"/>
                <w:color w:val="000000"/>
                <w:sz w:val="22"/>
                <w:szCs w:val="22"/>
              </w:rPr>
              <w:t>3</w:t>
            </w:r>
          </w:p>
        </w:tc>
        <w:tc>
          <w:tcPr>
            <w:tcW w:w="1559" w:type="dxa"/>
          </w:tcPr>
          <w:p w14:paraId="3470FA81"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1.15</w:t>
            </w:r>
            <w:r w:rsidRPr="00196387">
              <w:rPr>
                <w:rFonts w:ascii="Arial" w:hAnsi="Arial" w:cs="Arial"/>
                <w:color w:val="000000"/>
                <w:sz w:val="22"/>
                <w:szCs w:val="22"/>
              </w:rPr>
              <w:t>±0.0</w:t>
            </w:r>
            <w:r>
              <w:rPr>
                <w:rFonts w:ascii="Arial" w:hAnsi="Arial" w:cs="Arial"/>
                <w:color w:val="000000"/>
                <w:sz w:val="22"/>
                <w:szCs w:val="22"/>
              </w:rPr>
              <w:t>3</w:t>
            </w:r>
          </w:p>
        </w:tc>
        <w:tc>
          <w:tcPr>
            <w:tcW w:w="992" w:type="dxa"/>
          </w:tcPr>
          <w:p w14:paraId="6D46FBD4" w14:textId="77777777" w:rsidR="00CD56DE" w:rsidRPr="00196387" w:rsidRDefault="00CD56DE" w:rsidP="00E56E65">
            <w:pPr>
              <w:spacing w:line="480" w:lineRule="auto"/>
              <w:jc w:val="center"/>
              <w:rPr>
                <w:rFonts w:ascii="Arial" w:hAnsi="Arial" w:cs="Arial"/>
                <w:sz w:val="22"/>
                <w:szCs w:val="22"/>
              </w:rPr>
            </w:pPr>
          </w:p>
        </w:tc>
        <w:tc>
          <w:tcPr>
            <w:tcW w:w="1418" w:type="dxa"/>
          </w:tcPr>
          <w:p w14:paraId="5737F378"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1.22</w:t>
            </w:r>
            <w:r w:rsidRPr="00196387">
              <w:rPr>
                <w:rFonts w:ascii="Arial" w:hAnsi="Arial" w:cs="Arial"/>
                <w:color w:val="000000"/>
                <w:sz w:val="22"/>
                <w:szCs w:val="22"/>
              </w:rPr>
              <w:t>±0.0</w:t>
            </w:r>
            <w:r>
              <w:rPr>
                <w:rFonts w:ascii="Arial" w:hAnsi="Arial" w:cs="Arial"/>
                <w:color w:val="000000"/>
                <w:sz w:val="22"/>
                <w:szCs w:val="22"/>
              </w:rPr>
              <w:t>2</w:t>
            </w:r>
          </w:p>
        </w:tc>
        <w:tc>
          <w:tcPr>
            <w:tcW w:w="1559" w:type="dxa"/>
          </w:tcPr>
          <w:p w14:paraId="18841B63"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1.18</w:t>
            </w:r>
            <w:r w:rsidRPr="00196387">
              <w:rPr>
                <w:rFonts w:ascii="Arial" w:hAnsi="Arial" w:cs="Arial"/>
                <w:color w:val="000000"/>
                <w:sz w:val="22"/>
                <w:szCs w:val="22"/>
              </w:rPr>
              <w:t>±0.0</w:t>
            </w:r>
            <w:r>
              <w:rPr>
                <w:rFonts w:ascii="Arial" w:hAnsi="Arial" w:cs="Arial"/>
                <w:color w:val="000000"/>
                <w:sz w:val="22"/>
                <w:szCs w:val="22"/>
              </w:rPr>
              <w:t>4</w:t>
            </w:r>
          </w:p>
        </w:tc>
        <w:tc>
          <w:tcPr>
            <w:tcW w:w="992" w:type="dxa"/>
          </w:tcPr>
          <w:p w14:paraId="1F1B61CF" w14:textId="77777777" w:rsidR="00CD56DE" w:rsidRPr="00196387" w:rsidRDefault="00CD56DE" w:rsidP="00E56E65">
            <w:pPr>
              <w:spacing w:line="480" w:lineRule="auto"/>
              <w:jc w:val="center"/>
              <w:rPr>
                <w:rFonts w:ascii="Arial" w:hAnsi="Arial" w:cs="Arial"/>
                <w:sz w:val="22"/>
                <w:szCs w:val="22"/>
              </w:rPr>
            </w:pPr>
          </w:p>
        </w:tc>
      </w:tr>
      <w:tr w:rsidR="00CD56DE" w14:paraId="2679367F" w14:textId="77777777" w:rsidTr="00E56E65">
        <w:tc>
          <w:tcPr>
            <w:tcW w:w="1951" w:type="dxa"/>
          </w:tcPr>
          <w:p w14:paraId="7C491EED"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Ma.Ar (mm</w:t>
            </w:r>
            <w:r w:rsidRPr="006C2FC2">
              <w:rPr>
                <w:rFonts w:ascii="Arial" w:hAnsi="Arial" w:cs="Arial"/>
                <w:color w:val="000000"/>
                <w:sz w:val="22"/>
                <w:szCs w:val="22"/>
                <w:vertAlign w:val="superscript"/>
              </w:rPr>
              <w:t>2</w:t>
            </w:r>
            <w:r w:rsidRPr="00196387">
              <w:rPr>
                <w:rFonts w:ascii="Arial" w:hAnsi="Arial" w:cs="Arial"/>
                <w:color w:val="000000"/>
                <w:sz w:val="22"/>
                <w:szCs w:val="22"/>
              </w:rPr>
              <w:t>)</w:t>
            </w:r>
          </w:p>
        </w:tc>
        <w:tc>
          <w:tcPr>
            <w:tcW w:w="1418" w:type="dxa"/>
          </w:tcPr>
          <w:p w14:paraId="1C34674E"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0.46±0.01</w:t>
            </w:r>
          </w:p>
        </w:tc>
        <w:tc>
          <w:tcPr>
            <w:tcW w:w="1559" w:type="dxa"/>
          </w:tcPr>
          <w:p w14:paraId="216BE2E5"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0.49±0.02</w:t>
            </w:r>
          </w:p>
        </w:tc>
        <w:tc>
          <w:tcPr>
            <w:tcW w:w="992" w:type="dxa"/>
          </w:tcPr>
          <w:p w14:paraId="42EC3093" w14:textId="77777777" w:rsidR="00CD56DE" w:rsidRPr="00196387" w:rsidRDefault="00CD56DE" w:rsidP="00E56E65">
            <w:pPr>
              <w:spacing w:line="480" w:lineRule="auto"/>
              <w:jc w:val="center"/>
              <w:rPr>
                <w:rFonts w:ascii="Arial" w:hAnsi="Arial" w:cs="Arial"/>
                <w:sz w:val="22"/>
                <w:szCs w:val="22"/>
              </w:rPr>
            </w:pPr>
          </w:p>
        </w:tc>
        <w:tc>
          <w:tcPr>
            <w:tcW w:w="1418" w:type="dxa"/>
          </w:tcPr>
          <w:p w14:paraId="7A1058E1"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0.45±0.02</w:t>
            </w:r>
          </w:p>
        </w:tc>
        <w:tc>
          <w:tcPr>
            <w:tcW w:w="1559" w:type="dxa"/>
          </w:tcPr>
          <w:p w14:paraId="602EBC01"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0.48±0.03</w:t>
            </w:r>
          </w:p>
        </w:tc>
        <w:tc>
          <w:tcPr>
            <w:tcW w:w="992" w:type="dxa"/>
          </w:tcPr>
          <w:p w14:paraId="7BEF4D66" w14:textId="77777777" w:rsidR="00CD56DE" w:rsidRPr="00196387" w:rsidRDefault="00CD56DE" w:rsidP="00E56E65">
            <w:pPr>
              <w:spacing w:line="480" w:lineRule="auto"/>
              <w:jc w:val="center"/>
              <w:rPr>
                <w:rFonts w:ascii="Arial" w:hAnsi="Arial" w:cs="Arial"/>
                <w:sz w:val="22"/>
                <w:szCs w:val="22"/>
              </w:rPr>
            </w:pPr>
          </w:p>
        </w:tc>
      </w:tr>
      <w:tr w:rsidR="00CD56DE" w14:paraId="1C534B43" w14:textId="77777777" w:rsidTr="00E56E65">
        <w:tc>
          <w:tcPr>
            <w:tcW w:w="1951" w:type="dxa"/>
          </w:tcPr>
          <w:p w14:paraId="132C641B"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Ct.Th (mm)</w:t>
            </w:r>
          </w:p>
        </w:tc>
        <w:tc>
          <w:tcPr>
            <w:tcW w:w="1418" w:type="dxa"/>
          </w:tcPr>
          <w:p w14:paraId="29091B9A"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0.26</w:t>
            </w:r>
            <w:r w:rsidRPr="00196387">
              <w:rPr>
                <w:rFonts w:ascii="Arial" w:hAnsi="Arial" w:cs="Arial"/>
                <w:color w:val="000000"/>
                <w:sz w:val="22"/>
                <w:szCs w:val="22"/>
              </w:rPr>
              <w:t>±0.00</w:t>
            </w:r>
            <w:r>
              <w:rPr>
                <w:rFonts w:ascii="Arial" w:hAnsi="Arial" w:cs="Arial"/>
                <w:color w:val="000000"/>
                <w:sz w:val="22"/>
                <w:szCs w:val="22"/>
              </w:rPr>
              <w:t>4</w:t>
            </w:r>
          </w:p>
        </w:tc>
        <w:tc>
          <w:tcPr>
            <w:tcW w:w="1559" w:type="dxa"/>
          </w:tcPr>
          <w:p w14:paraId="5D74BAD6"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0.23</w:t>
            </w:r>
            <w:r w:rsidRPr="00196387">
              <w:rPr>
                <w:rFonts w:ascii="Arial" w:hAnsi="Arial" w:cs="Arial"/>
                <w:color w:val="000000"/>
                <w:sz w:val="22"/>
                <w:szCs w:val="22"/>
              </w:rPr>
              <w:t>±0.00</w:t>
            </w:r>
            <w:r>
              <w:rPr>
                <w:rFonts w:ascii="Arial" w:hAnsi="Arial" w:cs="Arial"/>
                <w:color w:val="000000"/>
                <w:sz w:val="22"/>
                <w:szCs w:val="22"/>
              </w:rPr>
              <w:t>5</w:t>
            </w:r>
          </w:p>
        </w:tc>
        <w:tc>
          <w:tcPr>
            <w:tcW w:w="992" w:type="dxa"/>
          </w:tcPr>
          <w:p w14:paraId="6230800D" w14:textId="77777777" w:rsidR="00CD56DE" w:rsidRPr="00196387" w:rsidRDefault="00CD56DE" w:rsidP="00E56E65">
            <w:pPr>
              <w:spacing w:line="480" w:lineRule="auto"/>
              <w:jc w:val="center"/>
              <w:rPr>
                <w:rFonts w:ascii="Arial" w:hAnsi="Arial" w:cs="Arial"/>
                <w:sz w:val="22"/>
                <w:szCs w:val="22"/>
              </w:rPr>
            </w:pPr>
            <w:proofErr w:type="gramStart"/>
            <w:r>
              <w:rPr>
                <w:rFonts w:ascii="Arial" w:hAnsi="Arial" w:cs="Arial"/>
                <w:sz w:val="22"/>
                <w:szCs w:val="22"/>
              </w:rPr>
              <w:t>c</w:t>
            </w:r>
            <w:proofErr w:type="gramEnd"/>
          </w:p>
        </w:tc>
        <w:tc>
          <w:tcPr>
            <w:tcW w:w="1418" w:type="dxa"/>
          </w:tcPr>
          <w:p w14:paraId="79AD6A88"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0.27±0.007</w:t>
            </w:r>
          </w:p>
        </w:tc>
        <w:tc>
          <w:tcPr>
            <w:tcW w:w="1559" w:type="dxa"/>
          </w:tcPr>
          <w:p w14:paraId="0CDCCE42"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0.23</w:t>
            </w:r>
            <w:r w:rsidRPr="00196387">
              <w:rPr>
                <w:rFonts w:ascii="Arial" w:hAnsi="Arial" w:cs="Arial"/>
                <w:color w:val="000000"/>
                <w:sz w:val="22"/>
                <w:szCs w:val="22"/>
              </w:rPr>
              <w:t>±0.003</w:t>
            </w:r>
          </w:p>
        </w:tc>
        <w:tc>
          <w:tcPr>
            <w:tcW w:w="992" w:type="dxa"/>
          </w:tcPr>
          <w:p w14:paraId="0DE16E5B" w14:textId="77777777" w:rsidR="00CD56DE" w:rsidRPr="00196387" w:rsidRDefault="00CD56DE" w:rsidP="00E56E65">
            <w:pPr>
              <w:spacing w:line="480" w:lineRule="auto"/>
              <w:jc w:val="center"/>
              <w:rPr>
                <w:rFonts w:ascii="Arial" w:hAnsi="Arial" w:cs="Arial"/>
                <w:sz w:val="22"/>
                <w:szCs w:val="22"/>
              </w:rPr>
            </w:pPr>
            <w:proofErr w:type="gramStart"/>
            <w:r>
              <w:rPr>
                <w:rFonts w:ascii="Arial" w:hAnsi="Arial" w:cs="Arial"/>
                <w:sz w:val="22"/>
                <w:szCs w:val="22"/>
              </w:rPr>
              <w:t>b</w:t>
            </w:r>
            <w:proofErr w:type="gramEnd"/>
          </w:p>
        </w:tc>
      </w:tr>
      <w:tr w:rsidR="00CD56DE" w14:paraId="1D2F083D" w14:textId="77777777" w:rsidTr="00E56E65">
        <w:tc>
          <w:tcPr>
            <w:tcW w:w="1951" w:type="dxa"/>
          </w:tcPr>
          <w:p w14:paraId="427B17A4" w14:textId="77777777" w:rsidR="00CD56DE" w:rsidRPr="00196387" w:rsidRDefault="00CD56DE" w:rsidP="00E56E65">
            <w:pPr>
              <w:spacing w:line="480" w:lineRule="auto"/>
              <w:jc w:val="center"/>
              <w:rPr>
                <w:rFonts w:ascii="Arial" w:hAnsi="Arial" w:cs="Arial"/>
                <w:sz w:val="22"/>
                <w:szCs w:val="22"/>
              </w:rPr>
            </w:pPr>
            <w:r w:rsidRPr="00946100">
              <w:rPr>
                <w:rFonts w:ascii="Arial" w:hAnsi="Arial" w:cs="Arial"/>
                <w:b/>
                <w:color w:val="000000"/>
                <w:sz w:val="22"/>
                <w:szCs w:val="22"/>
              </w:rPr>
              <w:t>Trabecular bone</w:t>
            </w:r>
          </w:p>
        </w:tc>
        <w:tc>
          <w:tcPr>
            <w:tcW w:w="1418" w:type="dxa"/>
          </w:tcPr>
          <w:p w14:paraId="0746C14E" w14:textId="77777777" w:rsidR="00CD56DE" w:rsidRPr="00196387" w:rsidRDefault="00CD56DE" w:rsidP="00E56E65">
            <w:pPr>
              <w:spacing w:line="480" w:lineRule="auto"/>
              <w:jc w:val="center"/>
              <w:rPr>
                <w:rFonts w:ascii="Arial" w:hAnsi="Arial" w:cs="Arial"/>
                <w:sz w:val="22"/>
                <w:szCs w:val="22"/>
              </w:rPr>
            </w:pPr>
          </w:p>
        </w:tc>
        <w:tc>
          <w:tcPr>
            <w:tcW w:w="1559" w:type="dxa"/>
          </w:tcPr>
          <w:p w14:paraId="40726ED4" w14:textId="77777777" w:rsidR="00CD56DE" w:rsidRPr="00196387" w:rsidRDefault="00CD56DE" w:rsidP="00E56E65">
            <w:pPr>
              <w:spacing w:line="480" w:lineRule="auto"/>
              <w:jc w:val="center"/>
              <w:rPr>
                <w:rFonts w:ascii="Arial" w:hAnsi="Arial" w:cs="Arial"/>
                <w:sz w:val="22"/>
                <w:szCs w:val="22"/>
              </w:rPr>
            </w:pPr>
          </w:p>
        </w:tc>
        <w:tc>
          <w:tcPr>
            <w:tcW w:w="992" w:type="dxa"/>
          </w:tcPr>
          <w:p w14:paraId="01129C47" w14:textId="77777777" w:rsidR="00CD56DE" w:rsidRPr="00196387" w:rsidRDefault="00CD56DE" w:rsidP="00E56E65">
            <w:pPr>
              <w:spacing w:line="480" w:lineRule="auto"/>
              <w:jc w:val="center"/>
              <w:rPr>
                <w:rFonts w:ascii="Arial" w:hAnsi="Arial" w:cs="Arial"/>
                <w:sz w:val="22"/>
                <w:szCs w:val="22"/>
              </w:rPr>
            </w:pPr>
          </w:p>
        </w:tc>
        <w:tc>
          <w:tcPr>
            <w:tcW w:w="1418" w:type="dxa"/>
          </w:tcPr>
          <w:p w14:paraId="4201FA6D" w14:textId="77777777" w:rsidR="00CD56DE" w:rsidRPr="00196387" w:rsidRDefault="00CD56DE" w:rsidP="00E56E65">
            <w:pPr>
              <w:spacing w:line="480" w:lineRule="auto"/>
              <w:jc w:val="center"/>
              <w:rPr>
                <w:rFonts w:ascii="Arial" w:hAnsi="Arial" w:cs="Arial"/>
                <w:sz w:val="22"/>
                <w:szCs w:val="22"/>
              </w:rPr>
            </w:pPr>
          </w:p>
        </w:tc>
        <w:tc>
          <w:tcPr>
            <w:tcW w:w="1559" w:type="dxa"/>
          </w:tcPr>
          <w:p w14:paraId="60F10F00" w14:textId="77777777" w:rsidR="00CD56DE" w:rsidRPr="00196387" w:rsidRDefault="00CD56DE" w:rsidP="00E56E65">
            <w:pPr>
              <w:spacing w:line="480" w:lineRule="auto"/>
              <w:jc w:val="center"/>
              <w:rPr>
                <w:rFonts w:ascii="Arial" w:hAnsi="Arial" w:cs="Arial"/>
                <w:sz w:val="22"/>
                <w:szCs w:val="22"/>
              </w:rPr>
            </w:pPr>
          </w:p>
        </w:tc>
        <w:tc>
          <w:tcPr>
            <w:tcW w:w="992" w:type="dxa"/>
          </w:tcPr>
          <w:p w14:paraId="1AD94B6B" w14:textId="77777777" w:rsidR="00CD56DE" w:rsidRPr="00196387" w:rsidRDefault="00CD56DE" w:rsidP="00E56E65">
            <w:pPr>
              <w:spacing w:line="480" w:lineRule="auto"/>
              <w:jc w:val="center"/>
              <w:rPr>
                <w:rFonts w:ascii="Arial" w:hAnsi="Arial" w:cs="Arial"/>
                <w:sz w:val="22"/>
                <w:szCs w:val="22"/>
              </w:rPr>
            </w:pPr>
          </w:p>
        </w:tc>
      </w:tr>
      <w:tr w:rsidR="00CD56DE" w14:paraId="7408347E" w14:textId="77777777" w:rsidTr="00E56E65">
        <w:tc>
          <w:tcPr>
            <w:tcW w:w="1951" w:type="dxa"/>
          </w:tcPr>
          <w:p w14:paraId="305BC0C3"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BV/TV (%)</w:t>
            </w:r>
          </w:p>
        </w:tc>
        <w:tc>
          <w:tcPr>
            <w:tcW w:w="1418" w:type="dxa"/>
          </w:tcPr>
          <w:p w14:paraId="4AFEBFF2"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13.15</w:t>
            </w:r>
            <w:r w:rsidRPr="00196387">
              <w:rPr>
                <w:rFonts w:ascii="Arial" w:hAnsi="Arial" w:cs="Arial"/>
                <w:color w:val="000000"/>
                <w:sz w:val="22"/>
                <w:szCs w:val="22"/>
              </w:rPr>
              <w:t>±0.</w:t>
            </w:r>
            <w:r>
              <w:rPr>
                <w:rFonts w:ascii="Arial" w:hAnsi="Arial" w:cs="Arial"/>
                <w:color w:val="000000"/>
                <w:sz w:val="22"/>
                <w:szCs w:val="22"/>
              </w:rPr>
              <w:t>42</w:t>
            </w:r>
          </w:p>
        </w:tc>
        <w:tc>
          <w:tcPr>
            <w:tcW w:w="1559" w:type="dxa"/>
          </w:tcPr>
          <w:p w14:paraId="2A168F37"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9.62</w:t>
            </w:r>
            <w:r w:rsidRPr="00196387">
              <w:rPr>
                <w:rFonts w:ascii="Arial" w:hAnsi="Arial" w:cs="Arial"/>
                <w:color w:val="000000"/>
                <w:sz w:val="22"/>
                <w:szCs w:val="22"/>
              </w:rPr>
              <w:t>±0.</w:t>
            </w:r>
            <w:r>
              <w:rPr>
                <w:rFonts w:ascii="Arial" w:hAnsi="Arial" w:cs="Arial"/>
                <w:color w:val="000000"/>
                <w:sz w:val="22"/>
                <w:szCs w:val="22"/>
              </w:rPr>
              <w:t>3</w:t>
            </w:r>
          </w:p>
        </w:tc>
        <w:tc>
          <w:tcPr>
            <w:tcW w:w="992" w:type="dxa"/>
          </w:tcPr>
          <w:p w14:paraId="3E8104D3" w14:textId="77777777" w:rsidR="00CD56DE" w:rsidRPr="00196387" w:rsidRDefault="00CD56DE" w:rsidP="00E56E65">
            <w:pPr>
              <w:spacing w:line="480" w:lineRule="auto"/>
              <w:jc w:val="center"/>
              <w:rPr>
                <w:rFonts w:ascii="Arial" w:hAnsi="Arial" w:cs="Arial"/>
                <w:sz w:val="22"/>
                <w:szCs w:val="22"/>
              </w:rPr>
            </w:pPr>
            <w:proofErr w:type="gramStart"/>
            <w:r w:rsidRPr="00196387">
              <w:rPr>
                <w:rFonts w:ascii="Arial" w:hAnsi="Arial" w:cs="Arial"/>
                <w:sz w:val="22"/>
                <w:szCs w:val="22"/>
              </w:rPr>
              <w:t>d</w:t>
            </w:r>
            <w:proofErr w:type="gramEnd"/>
          </w:p>
        </w:tc>
        <w:tc>
          <w:tcPr>
            <w:tcW w:w="1418" w:type="dxa"/>
          </w:tcPr>
          <w:p w14:paraId="76A2F64E" w14:textId="77777777" w:rsidR="00CD56DE" w:rsidRPr="00196387" w:rsidRDefault="00CD56DE" w:rsidP="00E56E65">
            <w:pPr>
              <w:tabs>
                <w:tab w:val="left" w:pos="592"/>
              </w:tabs>
              <w:spacing w:line="480" w:lineRule="auto"/>
              <w:jc w:val="center"/>
              <w:rPr>
                <w:rFonts w:ascii="Arial" w:hAnsi="Arial" w:cs="Arial"/>
                <w:sz w:val="22"/>
                <w:szCs w:val="22"/>
              </w:rPr>
            </w:pPr>
            <w:r>
              <w:rPr>
                <w:rFonts w:ascii="Arial" w:hAnsi="Arial" w:cs="Arial"/>
                <w:color w:val="000000"/>
                <w:sz w:val="22"/>
                <w:szCs w:val="22"/>
              </w:rPr>
              <w:t>12.79</w:t>
            </w:r>
            <w:r w:rsidRPr="00196387">
              <w:rPr>
                <w:rFonts w:ascii="Arial" w:hAnsi="Arial" w:cs="Arial"/>
                <w:color w:val="000000"/>
                <w:sz w:val="22"/>
                <w:szCs w:val="22"/>
              </w:rPr>
              <w:t>±0.</w:t>
            </w:r>
            <w:r>
              <w:rPr>
                <w:rFonts w:ascii="Arial" w:hAnsi="Arial" w:cs="Arial"/>
                <w:color w:val="000000"/>
                <w:sz w:val="22"/>
                <w:szCs w:val="22"/>
              </w:rPr>
              <w:t>43</w:t>
            </w:r>
          </w:p>
        </w:tc>
        <w:tc>
          <w:tcPr>
            <w:tcW w:w="1559" w:type="dxa"/>
          </w:tcPr>
          <w:p w14:paraId="64CFFE80"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9.3</w:t>
            </w:r>
            <w:r w:rsidRPr="00196387">
              <w:rPr>
                <w:rFonts w:ascii="Arial" w:hAnsi="Arial" w:cs="Arial"/>
                <w:color w:val="000000"/>
                <w:sz w:val="22"/>
                <w:szCs w:val="22"/>
              </w:rPr>
              <w:t>±0.4</w:t>
            </w:r>
          </w:p>
        </w:tc>
        <w:tc>
          <w:tcPr>
            <w:tcW w:w="992" w:type="dxa"/>
          </w:tcPr>
          <w:p w14:paraId="1A63718F" w14:textId="77777777" w:rsidR="00CD56DE" w:rsidRPr="00196387" w:rsidRDefault="00CD56DE" w:rsidP="00E56E65">
            <w:pPr>
              <w:spacing w:line="480" w:lineRule="auto"/>
              <w:jc w:val="center"/>
              <w:rPr>
                <w:rFonts w:ascii="Arial" w:hAnsi="Arial" w:cs="Arial"/>
                <w:sz w:val="22"/>
                <w:szCs w:val="22"/>
              </w:rPr>
            </w:pPr>
            <w:proofErr w:type="gramStart"/>
            <w:r w:rsidRPr="00196387">
              <w:rPr>
                <w:rFonts w:ascii="Arial" w:hAnsi="Arial" w:cs="Arial"/>
                <w:sz w:val="22"/>
                <w:szCs w:val="22"/>
              </w:rPr>
              <w:t>d</w:t>
            </w:r>
            <w:proofErr w:type="gramEnd"/>
          </w:p>
        </w:tc>
      </w:tr>
      <w:tr w:rsidR="00CD56DE" w14:paraId="1E20A7AA" w14:textId="77777777" w:rsidTr="00E56E65">
        <w:tc>
          <w:tcPr>
            <w:tcW w:w="1951" w:type="dxa"/>
          </w:tcPr>
          <w:p w14:paraId="79D2B2CA"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Tb.Th (mm)</w:t>
            </w:r>
          </w:p>
        </w:tc>
        <w:tc>
          <w:tcPr>
            <w:tcW w:w="1418" w:type="dxa"/>
          </w:tcPr>
          <w:p w14:paraId="2321FAAD" w14:textId="77777777" w:rsidR="00CD56DE" w:rsidRPr="00196387" w:rsidRDefault="007E5294" w:rsidP="00E56E65">
            <w:pPr>
              <w:spacing w:line="480" w:lineRule="auto"/>
              <w:jc w:val="center"/>
              <w:rPr>
                <w:rFonts w:ascii="Arial" w:hAnsi="Arial" w:cs="Arial"/>
                <w:sz w:val="22"/>
                <w:szCs w:val="22"/>
              </w:rPr>
            </w:pPr>
            <w:r>
              <w:rPr>
                <w:rFonts w:ascii="Arial" w:hAnsi="Arial" w:cs="Arial"/>
                <w:color w:val="000000"/>
                <w:sz w:val="22"/>
                <w:szCs w:val="22"/>
              </w:rPr>
              <w:t>0.04</w:t>
            </w:r>
            <w:r w:rsidR="00CD56DE" w:rsidRPr="00196387">
              <w:rPr>
                <w:rFonts w:ascii="Arial" w:hAnsi="Arial" w:cs="Arial"/>
                <w:color w:val="000000"/>
                <w:sz w:val="22"/>
                <w:szCs w:val="22"/>
              </w:rPr>
              <w:t>±0.00</w:t>
            </w:r>
            <w:r w:rsidR="00CD56DE">
              <w:rPr>
                <w:rFonts w:ascii="Arial" w:hAnsi="Arial" w:cs="Arial"/>
                <w:color w:val="000000"/>
                <w:sz w:val="22"/>
                <w:szCs w:val="22"/>
              </w:rPr>
              <w:t>2</w:t>
            </w:r>
          </w:p>
        </w:tc>
        <w:tc>
          <w:tcPr>
            <w:tcW w:w="1559" w:type="dxa"/>
          </w:tcPr>
          <w:p w14:paraId="699A8C19"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0.03</w:t>
            </w:r>
            <w:r w:rsidR="007E5294">
              <w:rPr>
                <w:rFonts w:ascii="Arial" w:hAnsi="Arial" w:cs="Arial"/>
                <w:color w:val="000000"/>
                <w:sz w:val="22"/>
                <w:szCs w:val="22"/>
              </w:rPr>
              <w:t>4</w:t>
            </w:r>
            <w:r w:rsidRPr="00196387">
              <w:rPr>
                <w:rFonts w:ascii="Arial" w:hAnsi="Arial" w:cs="Arial"/>
                <w:color w:val="000000"/>
                <w:sz w:val="22"/>
                <w:szCs w:val="22"/>
              </w:rPr>
              <w:t>±0.002</w:t>
            </w:r>
          </w:p>
        </w:tc>
        <w:tc>
          <w:tcPr>
            <w:tcW w:w="992" w:type="dxa"/>
          </w:tcPr>
          <w:p w14:paraId="68FD7F55" w14:textId="77777777" w:rsidR="00CD56DE" w:rsidRPr="00196387" w:rsidRDefault="00CD56DE" w:rsidP="00E56E65">
            <w:pPr>
              <w:spacing w:line="480" w:lineRule="auto"/>
              <w:jc w:val="center"/>
              <w:rPr>
                <w:rFonts w:ascii="Arial" w:hAnsi="Arial" w:cs="Arial"/>
                <w:sz w:val="22"/>
                <w:szCs w:val="22"/>
              </w:rPr>
            </w:pPr>
          </w:p>
        </w:tc>
        <w:tc>
          <w:tcPr>
            <w:tcW w:w="1418" w:type="dxa"/>
          </w:tcPr>
          <w:p w14:paraId="600AE16E" w14:textId="77777777" w:rsidR="00CD56DE" w:rsidRPr="00196387" w:rsidRDefault="007E5294" w:rsidP="00E56E65">
            <w:pPr>
              <w:spacing w:line="480" w:lineRule="auto"/>
              <w:jc w:val="center"/>
              <w:rPr>
                <w:rFonts w:ascii="Arial" w:hAnsi="Arial" w:cs="Arial"/>
                <w:sz w:val="22"/>
                <w:szCs w:val="22"/>
              </w:rPr>
            </w:pPr>
            <w:r>
              <w:rPr>
                <w:rFonts w:ascii="Arial" w:hAnsi="Arial" w:cs="Arial"/>
                <w:color w:val="000000"/>
                <w:sz w:val="22"/>
                <w:szCs w:val="22"/>
              </w:rPr>
              <w:t>0.04</w:t>
            </w:r>
            <w:r w:rsidR="00CD56DE" w:rsidRPr="00196387">
              <w:rPr>
                <w:rFonts w:ascii="Arial" w:hAnsi="Arial" w:cs="Arial"/>
                <w:color w:val="000000"/>
                <w:sz w:val="22"/>
                <w:szCs w:val="22"/>
              </w:rPr>
              <w:t>±0.002</w:t>
            </w:r>
          </w:p>
        </w:tc>
        <w:tc>
          <w:tcPr>
            <w:tcW w:w="1559" w:type="dxa"/>
          </w:tcPr>
          <w:p w14:paraId="1C7714FA"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0.03</w:t>
            </w:r>
            <w:r w:rsidR="007E5294">
              <w:rPr>
                <w:rFonts w:ascii="Arial" w:hAnsi="Arial" w:cs="Arial"/>
                <w:color w:val="000000"/>
                <w:sz w:val="22"/>
                <w:szCs w:val="22"/>
              </w:rPr>
              <w:t>1</w:t>
            </w:r>
            <w:r w:rsidRPr="00196387">
              <w:rPr>
                <w:rFonts w:ascii="Arial" w:hAnsi="Arial" w:cs="Arial"/>
                <w:color w:val="000000"/>
                <w:sz w:val="22"/>
                <w:szCs w:val="22"/>
              </w:rPr>
              <w:t>±0.00</w:t>
            </w:r>
            <w:r>
              <w:rPr>
                <w:rFonts w:ascii="Arial" w:hAnsi="Arial" w:cs="Arial"/>
                <w:color w:val="000000"/>
                <w:sz w:val="22"/>
                <w:szCs w:val="22"/>
              </w:rPr>
              <w:t>1</w:t>
            </w:r>
          </w:p>
        </w:tc>
        <w:tc>
          <w:tcPr>
            <w:tcW w:w="992" w:type="dxa"/>
          </w:tcPr>
          <w:p w14:paraId="1F6C7065" w14:textId="77777777" w:rsidR="00CD56DE" w:rsidRPr="00196387" w:rsidRDefault="00CD56DE" w:rsidP="00E56E65">
            <w:pPr>
              <w:spacing w:line="480" w:lineRule="auto"/>
              <w:jc w:val="center"/>
              <w:rPr>
                <w:rFonts w:ascii="Arial" w:hAnsi="Arial" w:cs="Arial"/>
                <w:sz w:val="22"/>
                <w:szCs w:val="22"/>
              </w:rPr>
            </w:pPr>
          </w:p>
        </w:tc>
      </w:tr>
      <w:tr w:rsidR="00CD56DE" w14:paraId="3C7C8477" w14:textId="77777777" w:rsidTr="00E56E65">
        <w:tc>
          <w:tcPr>
            <w:tcW w:w="1951" w:type="dxa"/>
          </w:tcPr>
          <w:p w14:paraId="65CCD77B"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Tb.N (mm</w:t>
            </w:r>
            <w:r w:rsidRPr="006C2FC2">
              <w:rPr>
                <w:rFonts w:ascii="Arial" w:hAnsi="Arial" w:cs="Arial"/>
                <w:color w:val="000000"/>
                <w:sz w:val="22"/>
                <w:szCs w:val="22"/>
                <w:vertAlign w:val="superscript"/>
              </w:rPr>
              <w:t>-1</w:t>
            </w:r>
            <w:r w:rsidRPr="00196387">
              <w:rPr>
                <w:rFonts w:ascii="Arial" w:hAnsi="Arial" w:cs="Arial"/>
                <w:color w:val="000000"/>
                <w:sz w:val="22"/>
                <w:szCs w:val="22"/>
              </w:rPr>
              <w:t>)</w:t>
            </w:r>
          </w:p>
        </w:tc>
        <w:tc>
          <w:tcPr>
            <w:tcW w:w="1418" w:type="dxa"/>
          </w:tcPr>
          <w:p w14:paraId="7E7388C2"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3.6</w:t>
            </w:r>
            <w:r>
              <w:rPr>
                <w:rFonts w:ascii="Arial" w:hAnsi="Arial" w:cs="Arial"/>
                <w:color w:val="000000"/>
                <w:sz w:val="22"/>
                <w:szCs w:val="22"/>
              </w:rPr>
              <w:t>9</w:t>
            </w:r>
            <w:r w:rsidRPr="00196387">
              <w:rPr>
                <w:rFonts w:ascii="Arial" w:hAnsi="Arial" w:cs="Arial"/>
                <w:color w:val="000000"/>
                <w:sz w:val="22"/>
                <w:szCs w:val="22"/>
              </w:rPr>
              <w:t>±0.</w:t>
            </w:r>
            <w:r>
              <w:rPr>
                <w:rFonts w:ascii="Arial" w:hAnsi="Arial" w:cs="Arial"/>
                <w:color w:val="000000"/>
                <w:sz w:val="22"/>
                <w:szCs w:val="22"/>
              </w:rPr>
              <w:t>14</w:t>
            </w:r>
          </w:p>
        </w:tc>
        <w:tc>
          <w:tcPr>
            <w:tcW w:w="1559" w:type="dxa"/>
          </w:tcPr>
          <w:p w14:paraId="31527D14" w14:textId="77777777" w:rsidR="00CD56DE" w:rsidRPr="00196387" w:rsidRDefault="00CD56DE" w:rsidP="00E56E65">
            <w:pPr>
              <w:tabs>
                <w:tab w:val="left" w:pos="672"/>
              </w:tabs>
              <w:spacing w:line="480" w:lineRule="auto"/>
              <w:jc w:val="center"/>
              <w:rPr>
                <w:rFonts w:ascii="Arial" w:hAnsi="Arial" w:cs="Arial"/>
                <w:sz w:val="22"/>
                <w:szCs w:val="22"/>
              </w:rPr>
            </w:pPr>
            <w:r>
              <w:rPr>
                <w:rFonts w:ascii="Arial" w:hAnsi="Arial" w:cs="Arial"/>
                <w:color w:val="000000"/>
                <w:sz w:val="22"/>
                <w:szCs w:val="22"/>
              </w:rPr>
              <w:t>3.14</w:t>
            </w:r>
            <w:r w:rsidRPr="00196387">
              <w:rPr>
                <w:rFonts w:ascii="Arial" w:hAnsi="Arial" w:cs="Arial"/>
                <w:color w:val="000000"/>
                <w:sz w:val="22"/>
                <w:szCs w:val="22"/>
              </w:rPr>
              <w:t>±0.</w:t>
            </w:r>
            <w:r>
              <w:rPr>
                <w:rFonts w:ascii="Arial" w:hAnsi="Arial" w:cs="Arial"/>
                <w:color w:val="000000"/>
                <w:sz w:val="22"/>
                <w:szCs w:val="22"/>
              </w:rPr>
              <w:t>19</w:t>
            </w:r>
          </w:p>
        </w:tc>
        <w:tc>
          <w:tcPr>
            <w:tcW w:w="992" w:type="dxa"/>
          </w:tcPr>
          <w:p w14:paraId="449532D2" w14:textId="77777777" w:rsidR="00CD56DE" w:rsidRPr="00196387" w:rsidRDefault="00CD56DE" w:rsidP="00E56E65">
            <w:pPr>
              <w:spacing w:line="480" w:lineRule="auto"/>
              <w:jc w:val="center"/>
              <w:rPr>
                <w:rFonts w:ascii="Arial" w:hAnsi="Arial" w:cs="Arial"/>
                <w:sz w:val="22"/>
                <w:szCs w:val="22"/>
              </w:rPr>
            </w:pPr>
          </w:p>
        </w:tc>
        <w:tc>
          <w:tcPr>
            <w:tcW w:w="1418" w:type="dxa"/>
          </w:tcPr>
          <w:p w14:paraId="2ACB71DD"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3.</w:t>
            </w:r>
            <w:r>
              <w:rPr>
                <w:rFonts w:ascii="Arial" w:hAnsi="Arial" w:cs="Arial"/>
                <w:color w:val="000000"/>
                <w:sz w:val="22"/>
                <w:szCs w:val="22"/>
              </w:rPr>
              <w:t>6</w:t>
            </w:r>
            <w:r w:rsidRPr="00196387">
              <w:rPr>
                <w:rFonts w:ascii="Arial" w:hAnsi="Arial" w:cs="Arial"/>
                <w:color w:val="000000"/>
                <w:sz w:val="22"/>
                <w:szCs w:val="22"/>
              </w:rPr>
              <w:t>4±0.1</w:t>
            </w:r>
            <w:r>
              <w:rPr>
                <w:rFonts w:ascii="Arial" w:hAnsi="Arial" w:cs="Arial"/>
                <w:color w:val="000000"/>
                <w:sz w:val="22"/>
                <w:szCs w:val="22"/>
              </w:rPr>
              <w:t>4</w:t>
            </w:r>
          </w:p>
        </w:tc>
        <w:tc>
          <w:tcPr>
            <w:tcW w:w="1559" w:type="dxa"/>
          </w:tcPr>
          <w:p w14:paraId="59DC0160"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3.0</w:t>
            </w:r>
            <w:r>
              <w:rPr>
                <w:rFonts w:ascii="Arial" w:hAnsi="Arial" w:cs="Arial"/>
                <w:color w:val="000000"/>
                <w:sz w:val="22"/>
                <w:szCs w:val="22"/>
              </w:rPr>
              <w:t>5</w:t>
            </w:r>
            <w:r w:rsidRPr="00196387">
              <w:rPr>
                <w:rFonts w:ascii="Arial" w:hAnsi="Arial" w:cs="Arial"/>
                <w:color w:val="000000"/>
                <w:sz w:val="22"/>
                <w:szCs w:val="22"/>
              </w:rPr>
              <w:t>±0.</w:t>
            </w:r>
            <w:r>
              <w:rPr>
                <w:rFonts w:ascii="Arial" w:hAnsi="Arial" w:cs="Arial"/>
                <w:color w:val="000000"/>
                <w:sz w:val="22"/>
                <w:szCs w:val="22"/>
              </w:rPr>
              <w:t>16</w:t>
            </w:r>
          </w:p>
        </w:tc>
        <w:tc>
          <w:tcPr>
            <w:tcW w:w="992" w:type="dxa"/>
          </w:tcPr>
          <w:p w14:paraId="682DB4C3" w14:textId="77777777" w:rsidR="00CD56DE" w:rsidRPr="00196387" w:rsidRDefault="00CD56DE" w:rsidP="00E56E65">
            <w:pPr>
              <w:spacing w:line="480" w:lineRule="auto"/>
              <w:jc w:val="center"/>
              <w:rPr>
                <w:rFonts w:ascii="Arial" w:hAnsi="Arial" w:cs="Arial"/>
                <w:sz w:val="22"/>
                <w:szCs w:val="22"/>
              </w:rPr>
            </w:pPr>
          </w:p>
        </w:tc>
      </w:tr>
      <w:tr w:rsidR="00CD56DE" w14:paraId="53B762A7" w14:textId="77777777" w:rsidTr="00E56E65">
        <w:tc>
          <w:tcPr>
            <w:tcW w:w="1951" w:type="dxa"/>
            <w:tcBorders>
              <w:bottom w:val="single" w:sz="4" w:space="0" w:color="auto"/>
            </w:tcBorders>
          </w:tcPr>
          <w:p w14:paraId="0FF2AB17" w14:textId="77777777" w:rsidR="00CD56DE" w:rsidRPr="00196387" w:rsidRDefault="00CD56DE" w:rsidP="00E56E65">
            <w:pPr>
              <w:spacing w:line="480" w:lineRule="auto"/>
              <w:jc w:val="center"/>
              <w:rPr>
                <w:rFonts w:ascii="Arial" w:hAnsi="Arial" w:cs="Arial"/>
                <w:sz w:val="22"/>
                <w:szCs w:val="22"/>
              </w:rPr>
            </w:pPr>
            <w:r w:rsidRPr="00196387">
              <w:rPr>
                <w:rFonts w:ascii="Arial" w:hAnsi="Arial" w:cs="Arial"/>
                <w:color w:val="000000"/>
                <w:sz w:val="22"/>
                <w:szCs w:val="22"/>
              </w:rPr>
              <w:t>Tb.Pf (mm</w:t>
            </w:r>
            <w:r w:rsidRPr="006C2FC2">
              <w:rPr>
                <w:rFonts w:ascii="Arial" w:hAnsi="Arial" w:cs="Arial"/>
                <w:color w:val="000000"/>
                <w:sz w:val="22"/>
                <w:szCs w:val="22"/>
                <w:vertAlign w:val="superscript"/>
              </w:rPr>
              <w:t>-1</w:t>
            </w:r>
            <w:r w:rsidRPr="00196387">
              <w:rPr>
                <w:rFonts w:ascii="Arial" w:hAnsi="Arial" w:cs="Arial"/>
                <w:color w:val="000000"/>
                <w:sz w:val="22"/>
                <w:szCs w:val="22"/>
              </w:rPr>
              <w:t>)</w:t>
            </w:r>
          </w:p>
        </w:tc>
        <w:tc>
          <w:tcPr>
            <w:tcW w:w="1418" w:type="dxa"/>
            <w:tcBorders>
              <w:bottom w:val="single" w:sz="4" w:space="0" w:color="auto"/>
            </w:tcBorders>
          </w:tcPr>
          <w:p w14:paraId="6B9A4D5F"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2.13±1.23</w:t>
            </w:r>
          </w:p>
        </w:tc>
        <w:tc>
          <w:tcPr>
            <w:tcW w:w="1559" w:type="dxa"/>
            <w:tcBorders>
              <w:bottom w:val="single" w:sz="4" w:space="0" w:color="auto"/>
            </w:tcBorders>
          </w:tcPr>
          <w:p w14:paraId="1997224F"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20.72±2.69</w:t>
            </w:r>
          </w:p>
        </w:tc>
        <w:tc>
          <w:tcPr>
            <w:tcW w:w="992" w:type="dxa"/>
            <w:tcBorders>
              <w:bottom w:val="single" w:sz="4" w:space="0" w:color="auto"/>
            </w:tcBorders>
          </w:tcPr>
          <w:p w14:paraId="560C00A6" w14:textId="77777777" w:rsidR="00CD56DE" w:rsidRPr="00196387" w:rsidRDefault="00CD56DE" w:rsidP="00E56E65">
            <w:pPr>
              <w:spacing w:line="480" w:lineRule="auto"/>
              <w:jc w:val="center"/>
              <w:rPr>
                <w:rFonts w:ascii="Arial" w:hAnsi="Arial" w:cs="Arial"/>
                <w:sz w:val="22"/>
                <w:szCs w:val="22"/>
              </w:rPr>
            </w:pPr>
            <w:proofErr w:type="gramStart"/>
            <w:r>
              <w:rPr>
                <w:rFonts w:ascii="Arial" w:hAnsi="Arial" w:cs="Arial"/>
                <w:sz w:val="22"/>
                <w:szCs w:val="22"/>
              </w:rPr>
              <w:t>d</w:t>
            </w:r>
            <w:proofErr w:type="gramEnd"/>
          </w:p>
        </w:tc>
        <w:tc>
          <w:tcPr>
            <w:tcW w:w="1418" w:type="dxa"/>
            <w:tcBorders>
              <w:bottom w:val="single" w:sz="4" w:space="0" w:color="auto"/>
            </w:tcBorders>
          </w:tcPr>
          <w:p w14:paraId="2581B2E1"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3.56</w:t>
            </w:r>
            <w:r w:rsidRPr="00196387">
              <w:rPr>
                <w:rFonts w:ascii="Arial" w:hAnsi="Arial" w:cs="Arial"/>
                <w:color w:val="000000"/>
                <w:sz w:val="22"/>
                <w:szCs w:val="22"/>
              </w:rPr>
              <w:t>±1.</w:t>
            </w:r>
            <w:r>
              <w:rPr>
                <w:rFonts w:ascii="Arial" w:hAnsi="Arial" w:cs="Arial"/>
                <w:color w:val="000000"/>
                <w:sz w:val="22"/>
                <w:szCs w:val="22"/>
              </w:rPr>
              <w:t>71</w:t>
            </w:r>
          </w:p>
        </w:tc>
        <w:tc>
          <w:tcPr>
            <w:tcW w:w="1559" w:type="dxa"/>
            <w:tcBorders>
              <w:bottom w:val="single" w:sz="4" w:space="0" w:color="auto"/>
            </w:tcBorders>
          </w:tcPr>
          <w:p w14:paraId="7BB81BA8" w14:textId="77777777" w:rsidR="00CD56DE" w:rsidRPr="00196387" w:rsidRDefault="00CD56DE" w:rsidP="00E56E65">
            <w:pPr>
              <w:spacing w:line="480" w:lineRule="auto"/>
              <w:jc w:val="center"/>
              <w:rPr>
                <w:rFonts w:ascii="Arial" w:hAnsi="Arial" w:cs="Arial"/>
                <w:sz w:val="22"/>
                <w:szCs w:val="22"/>
              </w:rPr>
            </w:pPr>
            <w:r>
              <w:rPr>
                <w:rFonts w:ascii="Arial" w:hAnsi="Arial" w:cs="Arial"/>
                <w:color w:val="000000"/>
                <w:sz w:val="22"/>
                <w:szCs w:val="22"/>
              </w:rPr>
              <w:t>20.94</w:t>
            </w:r>
            <w:r w:rsidRPr="00196387">
              <w:rPr>
                <w:rFonts w:ascii="Arial" w:hAnsi="Arial" w:cs="Arial"/>
                <w:color w:val="000000"/>
                <w:sz w:val="22"/>
                <w:szCs w:val="22"/>
              </w:rPr>
              <w:t>±1.</w:t>
            </w:r>
            <w:r>
              <w:rPr>
                <w:rFonts w:ascii="Arial" w:hAnsi="Arial" w:cs="Arial"/>
                <w:color w:val="000000"/>
                <w:sz w:val="22"/>
                <w:szCs w:val="22"/>
              </w:rPr>
              <w:t>7</w:t>
            </w:r>
          </w:p>
        </w:tc>
        <w:tc>
          <w:tcPr>
            <w:tcW w:w="992" w:type="dxa"/>
            <w:tcBorders>
              <w:bottom w:val="single" w:sz="4" w:space="0" w:color="auto"/>
            </w:tcBorders>
          </w:tcPr>
          <w:p w14:paraId="6109E587" w14:textId="77777777" w:rsidR="00CD56DE" w:rsidRPr="00196387" w:rsidRDefault="00CD56DE" w:rsidP="00E56E65">
            <w:pPr>
              <w:spacing w:line="480" w:lineRule="auto"/>
              <w:jc w:val="center"/>
              <w:rPr>
                <w:rFonts w:ascii="Arial" w:hAnsi="Arial" w:cs="Arial"/>
                <w:sz w:val="22"/>
                <w:szCs w:val="22"/>
              </w:rPr>
            </w:pPr>
            <w:proofErr w:type="gramStart"/>
            <w:r>
              <w:rPr>
                <w:rFonts w:ascii="Arial" w:hAnsi="Arial" w:cs="Arial"/>
                <w:sz w:val="22"/>
                <w:szCs w:val="22"/>
              </w:rPr>
              <w:t>d</w:t>
            </w:r>
            <w:proofErr w:type="gramEnd"/>
          </w:p>
        </w:tc>
      </w:tr>
    </w:tbl>
    <w:p w14:paraId="3D508F1D" w14:textId="77777777" w:rsidR="00E56E65" w:rsidRDefault="00E56E65" w:rsidP="00E56E65">
      <w:pPr>
        <w:rPr>
          <w:rFonts w:ascii="Arial" w:eastAsiaTheme="minorHAnsi" w:hAnsi="Arial" w:cs="Arial"/>
          <w:lang w:val="en-US"/>
        </w:rPr>
      </w:pPr>
    </w:p>
    <w:p w14:paraId="568F1B55" w14:textId="77777777" w:rsidR="00E56E65" w:rsidRDefault="00E56E65" w:rsidP="00E56E65">
      <w:pPr>
        <w:spacing w:line="360" w:lineRule="auto"/>
        <w:jc w:val="both"/>
        <w:rPr>
          <w:rFonts w:ascii="Arial" w:eastAsiaTheme="minorHAnsi" w:hAnsi="Arial" w:cs="Arial"/>
          <w:sz w:val="22"/>
          <w:szCs w:val="22"/>
          <w:lang w:val="en-US"/>
        </w:rPr>
      </w:pPr>
    </w:p>
    <w:p w14:paraId="4B1876E0" w14:textId="77777777" w:rsidR="00E56E65" w:rsidRPr="00F20B1F" w:rsidRDefault="00E56E65" w:rsidP="00E56E65">
      <w:pPr>
        <w:spacing w:line="360" w:lineRule="auto"/>
        <w:jc w:val="both"/>
        <w:rPr>
          <w:rFonts w:ascii="Arial" w:eastAsiaTheme="minorHAnsi" w:hAnsi="Arial" w:cs="Arial"/>
          <w:sz w:val="22"/>
          <w:szCs w:val="22"/>
          <w:lang w:val="en-US"/>
        </w:rPr>
      </w:pPr>
      <w:r w:rsidRPr="00F20B1F">
        <w:rPr>
          <w:rFonts w:ascii="Arial" w:hAnsi="Arial" w:cs="Arial"/>
          <w:color w:val="000000"/>
          <w:sz w:val="22"/>
          <w:szCs w:val="22"/>
        </w:rPr>
        <w:t xml:space="preserve">Ct.Ar = cortical bone area; Tt.Ar = </w:t>
      </w:r>
      <w:r w:rsidRPr="00F20B1F">
        <w:rPr>
          <w:rFonts w:ascii="Arial" w:hAnsi="Arial" w:cs="Arial"/>
          <w:color w:val="000000" w:themeColor="text1"/>
          <w:sz w:val="22"/>
          <w:szCs w:val="22"/>
        </w:rPr>
        <w:t xml:space="preserve">total cross-sectional area; </w:t>
      </w:r>
      <w:r w:rsidRPr="00F20B1F">
        <w:rPr>
          <w:rFonts w:ascii="Arial" w:hAnsi="Arial" w:cs="Arial"/>
          <w:color w:val="000000"/>
          <w:sz w:val="22"/>
          <w:szCs w:val="22"/>
        </w:rPr>
        <w:t xml:space="preserve">Ma.Ar = </w:t>
      </w:r>
      <w:r w:rsidRPr="00F20B1F">
        <w:rPr>
          <w:rFonts w:ascii="Arial" w:hAnsi="Arial" w:cs="Arial"/>
          <w:color w:val="000000" w:themeColor="text1"/>
          <w:sz w:val="22"/>
          <w:szCs w:val="22"/>
        </w:rPr>
        <w:t xml:space="preserve">marrow area; </w:t>
      </w:r>
      <w:r w:rsidRPr="00F20B1F">
        <w:rPr>
          <w:rFonts w:ascii="Arial" w:hAnsi="Arial" w:cs="Arial"/>
          <w:color w:val="000000"/>
          <w:sz w:val="22"/>
          <w:szCs w:val="22"/>
        </w:rPr>
        <w:t xml:space="preserve">Ct.Th = </w:t>
      </w:r>
      <w:r w:rsidRPr="00F20B1F">
        <w:rPr>
          <w:rFonts w:ascii="Arial" w:hAnsi="Arial" w:cs="Arial"/>
          <w:color w:val="000000" w:themeColor="text1"/>
          <w:sz w:val="22"/>
          <w:szCs w:val="22"/>
        </w:rPr>
        <w:t>cortical thickness</w:t>
      </w:r>
      <w:r w:rsidR="00CD56DE">
        <w:rPr>
          <w:rFonts w:ascii="Arial" w:hAnsi="Arial" w:cs="Arial"/>
          <w:color w:val="000000" w:themeColor="text1"/>
          <w:sz w:val="22"/>
          <w:szCs w:val="22"/>
        </w:rPr>
        <w:t>;</w:t>
      </w:r>
      <w:r w:rsidR="00CD56DE" w:rsidRPr="00CD56DE">
        <w:rPr>
          <w:rFonts w:ascii="Arial" w:eastAsiaTheme="minorHAnsi" w:hAnsi="Arial" w:cs="Arial"/>
          <w:sz w:val="22"/>
          <w:szCs w:val="22"/>
          <w:lang w:val="en-US"/>
        </w:rPr>
        <w:t xml:space="preserve"> </w:t>
      </w:r>
      <w:r w:rsidR="00CD56DE" w:rsidRPr="00F20B1F">
        <w:rPr>
          <w:rFonts w:ascii="Arial" w:eastAsiaTheme="minorHAnsi" w:hAnsi="Arial" w:cs="Arial"/>
          <w:sz w:val="22"/>
          <w:szCs w:val="22"/>
          <w:lang w:val="en-US"/>
        </w:rPr>
        <w:t xml:space="preserve">BV/TV = trabecular bone volume; </w:t>
      </w:r>
      <w:r w:rsidR="00CD56DE" w:rsidRPr="00F20B1F">
        <w:rPr>
          <w:rFonts w:ascii="Arial" w:hAnsi="Arial" w:cs="Arial"/>
          <w:color w:val="000000"/>
          <w:sz w:val="22"/>
          <w:szCs w:val="22"/>
        </w:rPr>
        <w:t>Tb.Th = trabecular thickness; Tb.N = trabecular number; Tb.Pf = trabecular pattern factor</w:t>
      </w:r>
    </w:p>
    <w:p w14:paraId="049557E7" w14:textId="77777777" w:rsidR="009C09FC" w:rsidRDefault="00E56E65" w:rsidP="00530E52">
      <w:pPr>
        <w:spacing w:line="360" w:lineRule="auto"/>
        <w:jc w:val="both"/>
        <w:rPr>
          <w:rFonts w:ascii="Arial" w:eastAsiaTheme="minorHAnsi" w:hAnsi="Arial" w:cs="Arial"/>
          <w:sz w:val="22"/>
          <w:szCs w:val="22"/>
          <w:lang w:val="en-US"/>
        </w:rPr>
      </w:pPr>
      <w:r w:rsidRPr="00F20B1F">
        <w:rPr>
          <w:rFonts w:ascii="Arial" w:eastAsiaTheme="minorHAnsi" w:hAnsi="Arial" w:cs="Arial"/>
          <w:sz w:val="22"/>
          <w:szCs w:val="22"/>
          <w:lang w:val="en-US"/>
        </w:rPr>
        <w:t>Values are mean</w:t>
      </w:r>
      <w:r w:rsidRPr="00F20B1F">
        <w:rPr>
          <w:rFonts w:ascii="Arial" w:eastAsia="MS Gothic" w:hAnsi="Arial" w:cs="Arial"/>
          <w:sz w:val="22"/>
          <w:szCs w:val="22"/>
        </w:rPr>
        <w:t>±</w:t>
      </w:r>
      <w:r w:rsidRPr="00F20B1F">
        <w:rPr>
          <w:rFonts w:ascii="Arial" w:eastAsiaTheme="minorHAnsi" w:hAnsi="Arial" w:cs="Arial"/>
          <w:sz w:val="22"/>
          <w:szCs w:val="22"/>
          <w:lang w:val="en-US"/>
        </w:rPr>
        <w:t xml:space="preserve">SE. </w:t>
      </w:r>
      <w:proofErr w:type="gramStart"/>
      <w:r w:rsidRPr="00F20B1F">
        <w:rPr>
          <w:rFonts w:ascii="Arial" w:eastAsia="MS Gothic" w:hAnsi="Arial" w:cs="Arial"/>
          <w:color w:val="000000"/>
          <w:sz w:val="22"/>
          <w:szCs w:val="22"/>
          <w:vertAlign w:val="superscript"/>
        </w:rPr>
        <w:t>a</w:t>
      </w:r>
      <w:proofErr w:type="gramEnd"/>
      <w:r w:rsidRPr="00F20B1F">
        <w:rPr>
          <w:rFonts w:ascii="Arial" w:eastAsiaTheme="minorHAnsi" w:hAnsi="Arial" w:cs="Arial"/>
          <w:sz w:val="22"/>
          <w:szCs w:val="22"/>
          <w:lang w:val="en-US"/>
        </w:rPr>
        <w:t xml:space="preserve"> p&lt;0.05, </w:t>
      </w:r>
      <w:r w:rsidRPr="00F20B1F">
        <w:rPr>
          <w:rFonts w:ascii="Arial" w:eastAsia="MS Gothic" w:hAnsi="Arial" w:cs="Arial"/>
          <w:color w:val="000000"/>
          <w:sz w:val="22"/>
          <w:szCs w:val="22"/>
          <w:vertAlign w:val="superscript"/>
        </w:rPr>
        <w:t>b</w:t>
      </w:r>
      <w:r w:rsidRPr="00F20B1F">
        <w:rPr>
          <w:rFonts w:ascii="Arial" w:eastAsiaTheme="minorHAnsi" w:hAnsi="Arial" w:cs="Arial"/>
          <w:sz w:val="22"/>
          <w:szCs w:val="22"/>
          <w:lang w:val="en-US"/>
        </w:rPr>
        <w:t xml:space="preserve"> p&lt;0.01, </w:t>
      </w:r>
      <w:r w:rsidRPr="00F20B1F">
        <w:rPr>
          <w:rFonts w:ascii="Arial" w:eastAsia="MS Gothic" w:hAnsi="Arial" w:cs="Arial"/>
          <w:color w:val="000000"/>
          <w:sz w:val="22"/>
          <w:szCs w:val="22"/>
          <w:vertAlign w:val="superscript"/>
        </w:rPr>
        <w:t xml:space="preserve">c </w:t>
      </w:r>
      <w:r w:rsidRPr="00F20B1F">
        <w:rPr>
          <w:rFonts w:ascii="Arial" w:eastAsiaTheme="minorHAnsi" w:hAnsi="Arial" w:cs="Arial"/>
          <w:sz w:val="22"/>
          <w:szCs w:val="22"/>
          <w:lang w:val="en-US"/>
        </w:rPr>
        <w:t>p&lt;0.001,</w:t>
      </w:r>
      <w:r w:rsidRPr="00F20B1F">
        <w:rPr>
          <w:rFonts w:ascii="Arial" w:hAnsi="Arial" w:cs="Arial"/>
          <w:noProof/>
          <w:color w:val="000000" w:themeColor="text1"/>
          <w:sz w:val="22"/>
          <w:szCs w:val="22"/>
        </w:rPr>
        <w:t xml:space="preserve"> </w:t>
      </w:r>
      <w:r w:rsidRPr="00F20B1F">
        <w:rPr>
          <w:rFonts w:ascii="Arial" w:eastAsia="MS Gothic" w:hAnsi="Arial" w:cs="Arial"/>
          <w:color w:val="000000"/>
          <w:sz w:val="22"/>
          <w:szCs w:val="22"/>
          <w:vertAlign w:val="superscript"/>
        </w:rPr>
        <w:t>d</w:t>
      </w:r>
      <w:r w:rsidRPr="00F20B1F">
        <w:rPr>
          <w:rFonts w:ascii="Arial" w:eastAsiaTheme="minorHAnsi" w:hAnsi="Arial" w:cs="Arial"/>
          <w:sz w:val="22"/>
          <w:szCs w:val="22"/>
          <w:lang w:val="en-US"/>
        </w:rPr>
        <w:t xml:space="preserve"> p&lt;0.0001</w:t>
      </w:r>
    </w:p>
    <w:p w14:paraId="7059FB4D" w14:textId="77777777" w:rsidR="00530E52" w:rsidRDefault="00530E52" w:rsidP="00530E52">
      <w:pPr>
        <w:spacing w:line="360" w:lineRule="auto"/>
        <w:jc w:val="both"/>
        <w:rPr>
          <w:rFonts w:ascii="Arial" w:eastAsiaTheme="minorHAnsi" w:hAnsi="Arial" w:cs="Arial"/>
          <w:sz w:val="22"/>
          <w:szCs w:val="22"/>
          <w:lang w:val="en-US"/>
        </w:rPr>
      </w:pPr>
    </w:p>
    <w:p w14:paraId="470AB6A1" w14:textId="77777777" w:rsidR="00530E52" w:rsidRDefault="00530E52" w:rsidP="00530E52">
      <w:pPr>
        <w:spacing w:line="360" w:lineRule="auto"/>
        <w:jc w:val="both"/>
        <w:rPr>
          <w:rFonts w:ascii="Arial" w:eastAsiaTheme="minorHAnsi" w:hAnsi="Arial" w:cs="Arial"/>
          <w:sz w:val="22"/>
          <w:szCs w:val="22"/>
          <w:lang w:val="en-US"/>
        </w:rPr>
      </w:pPr>
    </w:p>
    <w:p w14:paraId="010D097F" w14:textId="77777777" w:rsidR="00530E52" w:rsidRDefault="00530E52" w:rsidP="00530E52">
      <w:pPr>
        <w:spacing w:line="360" w:lineRule="auto"/>
        <w:jc w:val="both"/>
        <w:rPr>
          <w:rFonts w:ascii="Arial" w:eastAsiaTheme="minorHAnsi" w:hAnsi="Arial" w:cs="Arial"/>
          <w:sz w:val="22"/>
          <w:szCs w:val="22"/>
          <w:lang w:val="en-US"/>
        </w:rPr>
      </w:pPr>
    </w:p>
    <w:p w14:paraId="6C31F9CB" w14:textId="77777777" w:rsidR="00530E52" w:rsidRDefault="00530E52" w:rsidP="00530E52">
      <w:pPr>
        <w:spacing w:line="360" w:lineRule="auto"/>
        <w:jc w:val="both"/>
        <w:rPr>
          <w:rFonts w:ascii="Arial" w:eastAsiaTheme="minorHAnsi" w:hAnsi="Arial" w:cs="Arial"/>
          <w:sz w:val="22"/>
          <w:szCs w:val="22"/>
          <w:lang w:val="en-US"/>
        </w:rPr>
      </w:pPr>
    </w:p>
    <w:p w14:paraId="5448C47A" w14:textId="77777777" w:rsidR="00530E52" w:rsidRDefault="00530E52" w:rsidP="00530E52">
      <w:pPr>
        <w:spacing w:line="360" w:lineRule="auto"/>
        <w:jc w:val="both"/>
        <w:rPr>
          <w:rFonts w:ascii="Arial" w:eastAsiaTheme="minorHAnsi" w:hAnsi="Arial" w:cs="Arial"/>
          <w:sz w:val="22"/>
          <w:szCs w:val="22"/>
          <w:lang w:val="en-US"/>
        </w:rPr>
      </w:pPr>
    </w:p>
    <w:p w14:paraId="06A658B6" w14:textId="77777777" w:rsidR="00530E52" w:rsidRDefault="00530E52" w:rsidP="00530E52">
      <w:pPr>
        <w:spacing w:line="360" w:lineRule="auto"/>
        <w:jc w:val="both"/>
        <w:rPr>
          <w:rFonts w:ascii="Arial" w:eastAsiaTheme="minorHAnsi" w:hAnsi="Arial" w:cs="Arial"/>
          <w:sz w:val="22"/>
          <w:szCs w:val="22"/>
          <w:lang w:val="en-US"/>
        </w:rPr>
      </w:pPr>
    </w:p>
    <w:p w14:paraId="36A5F02C" w14:textId="77777777" w:rsidR="00530E52" w:rsidRDefault="00530E52" w:rsidP="00530E52">
      <w:pPr>
        <w:spacing w:line="360" w:lineRule="auto"/>
        <w:jc w:val="both"/>
        <w:rPr>
          <w:rFonts w:ascii="Arial" w:eastAsiaTheme="minorHAnsi" w:hAnsi="Arial" w:cs="Arial"/>
          <w:sz w:val="22"/>
          <w:szCs w:val="22"/>
          <w:lang w:val="en-US"/>
        </w:rPr>
      </w:pPr>
    </w:p>
    <w:p w14:paraId="16FB885A" w14:textId="77777777" w:rsidR="00530E52" w:rsidRDefault="00530E52" w:rsidP="00530E52">
      <w:pPr>
        <w:spacing w:line="360" w:lineRule="auto"/>
        <w:jc w:val="both"/>
        <w:rPr>
          <w:rFonts w:ascii="Arial" w:eastAsiaTheme="minorHAnsi" w:hAnsi="Arial" w:cs="Arial"/>
          <w:sz w:val="22"/>
          <w:szCs w:val="22"/>
          <w:lang w:val="en-US"/>
        </w:rPr>
      </w:pPr>
    </w:p>
    <w:p w14:paraId="4AAA994B" w14:textId="77777777" w:rsidR="00530E52" w:rsidRDefault="00530E52" w:rsidP="00530E52">
      <w:pPr>
        <w:spacing w:line="360" w:lineRule="auto"/>
        <w:jc w:val="both"/>
        <w:rPr>
          <w:rFonts w:ascii="Arial" w:eastAsiaTheme="minorHAnsi" w:hAnsi="Arial" w:cs="Arial"/>
          <w:sz w:val="22"/>
          <w:szCs w:val="22"/>
          <w:lang w:val="en-US"/>
        </w:rPr>
      </w:pPr>
    </w:p>
    <w:p w14:paraId="0DC7BFB8" w14:textId="77777777" w:rsidR="00530E52" w:rsidRDefault="00530E52" w:rsidP="00530E52">
      <w:pPr>
        <w:spacing w:line="360" w:lineRule="auto"/>
        <w:jc w:val="both"/>
        <w:rPr>
          <w:rFonts w:ascii="Arial" w:eastAsiaTheme="minorHAnsi" w:hAnsi="Arial" w:cs="Arial"/>
          <w:sz w:val="22"/>
          <w:szCs w:val="22"/>
          <w:lang w:val="en-US"/>
        </w:rPr>
      </w:pPr>
    </w:p>
    <w:p w14:paraId="4312B7C8" w14:textId="77777777" w:rsidR="00530E52" w:rsidRDefault="00530E52" w:rsidP="00530E52">
      <w:pPr>
        <w:spacing w:line="360" w:lineRule="auto"/>
        <w:jc w:val="both"/>
        <w:rPr>
          <w:rFonts w:ascii="Arial" w:eastAsiaTheme="minorHAnsi" w:hAnsi="Arial" w:cs="Arial"/>
          <w:sz w:val="22"/>
          <w:szCs w:val="22"/>
          <w:lang w:val="en-US"/>
        </w:rPr>
      </w:pPr>
    </w:p>
    <w:p w14:paraId="40214780" w14:textId="77777777" w:rsidR="00530E52" w:rsidRPr="00530E52" w:rsidRDefault="00530E52" w:rsidP="00530E52">
      <w:pPr>
        <w:spacing w:line="360" w:lineRule="auto"/>
        <w:jc w:val="both"/>
        <w:rPr>
          <w:rFonts w:ascii="Arial" w:hAnsi="Arial" w:cs="Arial"/>
          <w:noProof/>
          <w:color w:val="000000" w:themeColor="text1"/>
          <w:sz w:val="22"/>
          <w:szCs w:val="22"/>
        </w:rPr>
      </w:pPr>
    </w:p>
    <w:p w14:paraId="57C0DD27" w14:textId="77777777" w:rsidR="00E56E65" w:rsidRDefault="00E56E65" w:rsidP="00204988">
      <w:pPr>
        <w:pStyle w:val="TOCHeading"/>
        <w:rPr>
          <w:i/>
          <w:color w:val="1F497D" w:themeColor="text2"/>
          <w:sz w:val="24"/>
          <w:szCs w:val="24"/>
        </w:rPr>
      </w:pPr>
      <w:r>
        <w:drawing>
          <wp:inline distT="0" distB="0" distL="0" distR="0" wp14:anchorId="372E7279" wp14:editId="0BEA686C">
            <wp:extent cx="3075039" cy="2844800"/>
            <wp:effectExtent l="0" t="0" r="0" b="0"/>
            <wp:docPr id="1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75039" cy="2844800"/>
                    </a:xfrm>
                    <a:prstGeom prst="rect">
                      <a:avLst/>
                    </a:prstGeom>
                    <a:noFill/>
                    <a:ln>
                      <a:noFill/>
                    </a:ln>
                  </pic:spPr>
                </pic:pic>
              </a:graphicData>
            </a:graphic>
          </wp:inline>
        </w:drawing>
      </w:r>
      <w:r w:rsidRPr="00E4061A">
        <w:t xml:space="preserve"> </w:t>
      </w:r>
      <w:r>
        <w:drawing>
          <wp:inline distT="0" distB="0" distL="0" distR="0" wp14:anchorId="3AB4B041" wp14:editId="40DA9038">
            <wp:extent cx="2979174" cy="2519680"/>
            <wp:effectExtent l="0" t="0" r="0" b="0"/>
            <wp:docPr id="19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79174" cy="2519680"/>
                    </a:xfrm>
                    <a:prstGeom prst="rect">
                      <a:avLst/>
                    </a:prstGeom>
                    <a:noFill/>
                    <a:ln>
                      <a:noFill/>
                    </a:ln>
                  </pic:spPr>
                </pic:pic>
              </a:graphicData>
            </a:graphic>
          </wp:inline>
        </w:drawing>
      </w:r>
    </w:p>
    <w:p w14:paraId="1CF11157" w14:textId="77777777" w:rsidR="00343B88" w:rsidRDefault="00E56E65" w:rsidP="005E4EA5">
      <w:pPr>
        <w:pStyle w:val="TOCHeading"/>
        <w:ind w:firstLine="270"/>
      </w:pPr>
      <w:r>
        <w:drawing>
          <wp:inline distT="0" distB="0" distL="0" distR="0" wp14:anchorId="1BDB8FAF" wp14:editId="5123F029">
            <wp:extent cx="2853813" cy="2518657"/>
            <wp:effectExtent l="0" t="0" r="0" b="0"/>
            <wp:docPr id="19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4821" cy="2519546"/>
                    </a:xfrm>
                    <a:prstGeom prst="rect">
                      <a:avLst/>
                    </a:prstGeom>
                    <a:noFill/>
                    <a:ln>
                      <a:noFill/>
                    </a:ln>
                  </pic:spPr>
                </pic:pic>
              </a:graphicData>
            </a:graphic>
          </wp:inline>
        </w:drawing>
      </w:r>
      <w:r w:rsidRPr="00362C84">
        <w:t xml:space="preserve"> </w:t>
      </w:r>
      <w:r>
        <w:drawing>
          <wp:inline distT="0" distB="0" distL="0" distR="0" wp14:anchorId="6AC12896" wp14:editId="0F3EFE94">
            <wp:extent cx="3016045" cy="2651479"/>
            <wp:effectExtent l="0" t="0" r="6985" b="0"/>
            <wp:docPr id="19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16365" cy="2651760"/>
                    </a:xfrm>
                    <a:prstGeom prst="rect">
                      <a:avLst/>
                    </a:prstGeom>
                    <a:noFill/>
                    <a:ln>
                      <a:noFill/>
                    </a:ln>
                  </pic:spPr>
                </pic:pic>
              </a:graphicData>
            </a:graphic>
          </wp:inline>
        </w:drawing>
      </w:r>
    </w:p>
    <w:p w14:paraId="6732E6DB" w14:textId="77777777" w:rsidR="00343B88" w:rsidRDefault="00343B88" w:rsidP="00343B88">
      <w:pPr>
        <w:pStyle w:val="Caption"/>
        <w:spacing w:line="360" w:lineRule="auto"/>
        <w:jc w:val="both"/>
        <w:rPr>
          <w:rFonts w:ascii="Arial" w:hAnsi="Arial" w:cs="Arial"/>
          <w:color w:val="244061" w:themeColor="accent1" w:themeShade="80"/>
          <w:sz w:val="24"/>
          <w:szCs w:val="24"/>
        </w:rPr>
      </w:pPr>
    </w:p>
    <w:p w14:paraId="26CF5EDD" w14:textId="77777777" w:rsidR="00E56E65" w:rsidRPr="00343B88" w:rsidRDefault="00343B88" w:rsidP="00343B88">
      <w:pPr>
        <w:pStyle w:val="Caption"/>
        <w:spacing w:line="360" w:lineRule="auto"/>
        <w:jc w:val="both"/>
        <w:rPr>
          <w:rFonts w:ascii="Arial" w:hAnsi="Arial" w:cs="Arial"/>
          <w:i/>
          <w:color w:val="244061" w:themeColor="accent1" w:themeShade="80"/>
          <w:sz w:val="24"/>
          <w:szCs w:val="24"/>
        </w:rPr>
      </w:pPr>
      <w:bookmarkStart w:id="110" w:name="_Toc383544626"/>
      <w:r w:rsidRPr="00343B88">
        <w:rPr>
          <w:rFonts w:ascii="Arial" w:hAnsi="Arial" w:cs="Arial"/>
          <w:color w:val="244061" w:themeColor="accent1" w:themeShade="80"/>
          <w:sz w:val="24"/>
          <w:szCs w:val="24"/>
        </w:rPr>
        <w:t xml:space="preserve">Figure </w:t>
      </w:r>
      <w:r w:rsidRPr="00343B88">
        <w:rPr>
          <w:rFonts w:ascii="Arial" w:hAnsi="Arial" w:cs="Arial"/>
          <w:color w:val="244061" w:themeColor="accent1" w:themeShade="80"/>
          <w:sz w:val="24"/>
          <w:szCs w:val="24"/>
        </w:rPr>
        <w:fldChar w:fldCharType="begin"/>
      </w:r>
      <w:r w:rsidRPr="00343B88">
        <w:rPr>
          <w:rFonts w:ascii="Arial" w:hAnsi="Arial" w:cs="Arial"/>
          <w:color w:val="244061" w:themeColor="accent1" w:themeShade="80"/>
          <w:sz w:val="24"/>
          <w:szCs w:val="24"/>
        </w:rPr>
        <w:instrText xml:space="preserve"> SEQ Figure \* ARABIC </w:instrText>
      </w:r>
      <w:r w:rsidRPr="00343B88">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35</w:t>
      </w:r>
      <w:r w:rsidRPr="00343B88">
        <w:rPr>
          <w:rFonts w:ascii="Arial" w:hAnsi="Arial" w:cs="Arial"/>
          <w:color w:val="244061" w:themeColor="accent1" w:themeShade="80"/>
          <w:sz w:val="24"/>
          <w:szCs w:val="24"/>
        </w:rPr>
        <w:fldChar w:fldCharType="end"/>
      </w:r>
      <w:r w:rsidRPr="00343B88">
        <w:rPr>
          <w:rFonts w:ascii="Arial" w:hAnsi="Arial" w:cs="Arial"/>
          <w:color w:val="244061" w:themeColor="accent1" w:themeShade="80"/>
          <w:sz w:val="24"/>
          <w:szCs w:val="24"/>
        </w:rPr>
        <w:t xml:space="preserve"> </w:t>
      </w:r>
      <w:r w:rsidR="00E56E65" w:rsidRPr="00343B88">
        <w:rPr>
          <w:rFonts w:ascii="Arial" w:hAnsi="Arial" w:cs="Arial"/>
          <w:color w:val="244061" w:themeColor="accent1" w:themeShade="80"/>
          <w:sz w:val="24"/>
          <w:szCs w:val="24"/>
        </w:rPr>
        <w:t>Corti</w:t>
      </w:r>
      <w:r w:rsidR="00D25EEF">
        <w:rPr>
          <w:rFonts w:ascii="Arial" w:hAnsi="Arial" w:cs="Arial"/>
          <w:color w:val="244061" w:themeColor="accent1" w:themeShade="80"/>
          <w:sz w:val="24"/>
          <w:szCs w:val="24"/>
        </w:rPr>
        <w:t xml:space="preserve">cal bone mass and architecture </w:t>
      </w:r>
      <w:r w:rsidR="00E56E65" w:rsidRPr="00343B88">
        <w:rPr>
          <w:rFonts w:ascii="Arial" w:hAnsi="Arial" w:cs="Arial"/>
          <w:color w:val="244061" w:themeColor="accent1" w:themeShade="80"/>
          <w:sz w:val="24"/>
          <w:szCs w:val="24"/>
        </w:rPr>
        <w:t xml:space="preserve">measured at the mid-shaft region of the left non-loaded (control) and right loaded tibiae with maximal loading regimen of 19-week-old fed (n=7) or overnight fasted </w:t>
      </w:r>
      <w:r w:rsidR="002176B1">
        <w:rPr>
          <w:rFonts w:ascii="Arial" w:hAnsi="Arial" w:cs="Arial"/>
          <w:color w:val="244061" w:themeColor="accent1" w:themeShade="80"/>
          <w:sz w:val="24"/>
          <w:szCs w:val="24"/>
        </w:rPr>
        <w:t>1-</w:t>
      </w:r>
      <w:r w:rsidR="002176B1" w:rsidRPr="00343B88">
        <w:rPr>
          <w:rFonts w:ascii="Arial" w:hAnsi="Arial" w:cs="Arial"/>
          <w:color w:val="244061" w:themeColor="accent1" w:themeShade="80"/>
          <w:sz w:val="24"/>
          <w:szCs w:val="24"/>
        </w:rPr>
        <w:t xml:space="preserve">hour </w:t>
      </w:r>
      <w:r w:rsidR="00E56E65" w:rsidRPr="00343B88">
        <w:rPr>
          <w:rFonts w:ascii="Arial" w:hAnsi="Arial" w:cs="Arial"/>
          <w:color w:val="244061" w:themeColor="accent1" w:themeShade="80"/>
          <w:sz w:val="24"/>
          <w:szCs w:val="24"/>
        </w:rPr>
        <w:t>fed (n=7) male mice</w:t>
      </w:r>
      <w:bookmarkEnd w:id="110"/>
      <w:r w:rsidR="00E56E65" w:rsidRPr="00343B88">
        <w:rPr>
          <w:rFonts w:ascii="Arial" w:hAnsi="Arial" w:cs="Arial"/>
          <w:color w:val="244061" w:themeColor="accent1" w:themeShade="80"/>
          <w:sz w:val="24"/>
          <w:szCs w:val="24"/>
        </w:rPr>
        <w:t xml:space="preserve"> </w:t>
      </w:r>
    </w:p>
    <w:p w14:paraId="7C770F0F" w14:textId="77777777" w:rsidR="00E56E65" w:rsidRDefault="00E56E65" w:rsidP="00E56E65">
      <w:pPr>
        <w:spacing w:line="360" w:lineRule="auto"/>
        <w:jc w:val="both"/>
        <w:rPr>
          <w:rFonts w:ascii="Arial" w:hAnsi="Arial"/>
          <w:bCs/>
          <w:sz w:val="22"/>
          <w:szCs w:val="22"/>
          <w:lang w:val="en-US"/>
        </w:rPr>
      </w:pPr>
      <w:r w:rsidRPr="00343810">
        <w:rPr>
          <w:rFonts w:ascii="Arial" w:eastAsiaTheme="minorHAnsi" w:hAnsi="Arial" w:cs="Arial"/>
          <w:sz w:val="22"/>
          <w:szCs w:val="22"/>
          <w:lang w:val="en-US"/>
        </w:rPr>
        <w:t xml:space="preserve">Mechanical loading induced significant increase in Ct.Ar and Ct.Th in the right loaded tibiae compared with the left unloaded tibiae in both groups (A, D), </w:t>
      </w:r>
      <w:r w:rsidRPr="00343810">
        <w:rPr>
          <w:rFonts w:ascii="Arial" w:hAnsi="Arial"/>
          <w:bCs/>
          <w:sz w:val="22"/>
          <w:szCs w:val="22"/>
          <w:lang w:val="en-US"/>
        </w:rPr>
        <w:t>but</w:t>
      </w:r>
      <w:r>
        <w:rPr>
          <w:rFonts w:ascii="Arial" w:hAnsi="Arial"/>
          <w:bCs/>
          <w:sz w:val="22"/>
          <w:szCs w:val="22"/>
          <w:lang w:val="en-US"/>
        </w:rPr>
        <w:t xml:space="preserve"> there were no significant differences between the groups</w:t>
      </w:r>
      <w:r w:rsidRPr="00343810">
        <w:rPr>
          <w:rFonts w:ascii="Arial" w:eastAsiaTheme="minorHAnsi" w:hAnsi="Arial" w:cs="Arial"/>
          <w:sz w:val="22"/>
          <w:szCs w:val="22"/>
          <w:lang w:val="en-US"/>
        </w:rPr>
        <w:t>. There were no significant differences in Tt.Ar and Ma.Ar measured within and between the experimental groups (B, C)</w:t>
      </w:r>
      <w:r w:rsidRPr="00343810">
        <w:rPr>
          <w:rFonts w:ascii="Arial" w:hAnsi="Arial"/>
          <w:bCs/>
          <w:sz w:val="22"/>
          <w:szCs w:val="22"/>
          <w:lang w:val="en-US"/>
        </w:rPr>
        <w:t xml:space="preserve">. </w:t>
      </w:r>
    </w:p>
    <w:p w14:paraId="7E89BD4A" w14:textId="77777777" w:rsidR="00E56E65" w:rsidRPr="00343810" w:rsidRDefault="00E56E65" w:rsidP="00E56E65">
      <w:pPr>
        <w:spacing w:line="360" w:lineRule="auto"/>
        <w:jc w:val="both"/>
        <w:rPr>
          <w:rFonts w:ascii="Arial" w:hAnsi="Arial"/>
          <w:bCs/>
          <w:sz w:val="22"/>
          <w:szCs w:val="22"/>
          <w:lang w:val="en-US"/>
        </w:rPr>
      </w:pPr>
      <w:r w:rsidRPr="00343810">
        <w:rPr>
          <w:rFonts w:ascii="Arial" w:eastAsiaTheme="minorHAnsi" w:hAnsi="Arial" w:cs="Arial"/>
          <w:sz w:val="22"/>
          <w:szCs w:val="22"/>
          <w:lang w:val="en-US"/>
        </w:rPr>
        <w:t>Bars represent mean</w:t>
      </w:r>
      <w:r w:rsidRPr="00343810">
        <w:rPr>
          <w:rFonts w:ascii="Arial" w:eastAsia="MS Gothic" w:hAnsi="Arial" w:cs="Arial"/>
          <w:sz w:val="22"/>
          <w:szCs w:val="22"/>
        </w:rPr>
        <w:t>±</w:t>
      </w:r>
      <w:r w:rsidRPr="00343810">
        <w:rPr>
          <w:rFonts w:ascii="Arial" w:eastAsiaTheme="minorHAnsi" w:hAnsi="Arial" w:cs="Arial"/>
          <w:sz w:val="22"/>
          <w:szCs w:val="22"/>
          <w:lang w:val="en-US"/>
        </w:rPr>
        <w:t xml:space="preserve">SE. * </w:t>
      </w:r>
      <w:proofErr w:type="gramStart"/>
      <w:r w:rsidRPr="00343810">
        <w:rPr>
          <w:rFonts w:ascii="Arial" w:eastAsiaTheme="minorHAnsi" w:hAnsi="Arial" w:cs="Arial"/>
          <w:sz w:val="22"/>
          <w:szCs w:val="22"/>
          <w:lang w:val="en-US"/>
        </w:rPr>
        <w:t>p</w:t>
      </w:r>
      <w:proofErr w:type="gramEnd"/>
      <w:r w:rsidRPr="00343810">
        <w:rPr>
          <w:rFonts w:ascii="Arial" w:eastAsiaTheme="minorHAnsi" w:hAnsi="Arial" w:cs="Arial"/>
          <w:sz w:val="22"/>
          <w:szCs w:val="22"/>
          <w:lang w:val="en-US"/>
        </w:rPr>
        <w:t>&lt;0.05, ** p&lt;0.01, *** p&lt;0.001</w:t>
      </w:r>
    </w:p>
    <w:p w14:paraId="052FB00E" w14:textId="77777777" w:rsidR="00E56E65" w:rsidRPr="00E3221B" w:rsidRDefault="00E56E65" w:rsidP="00E3221B">
      <w:pPr>
        <w:pStyle w:val="Heading3"/>
        <w:spacing w:line="480" w:lineRule="auto"/>
        <w:jc w:val="both"/>
        <w:rPr>
          <w:rFonts w:ascii="Arial" w:hAnsi="Arial" w:cs="Arial"/>
          <w:noProof/>
          <w:color w:val="auto"/>
        </w:rPr>
      </w:pPr>
      <w:bookmarkStart w:id="111" w:name="_Toc383723897"/>
      <w:r w:rsidRPr="00E3221B">
        <w:rPr>
          <w:rFonts w:ascii="Arial" w:hAnsi="Arial" w:cs="Arial"/>
          <w:noProof/>
          <w:color w:val="auto"/>
        </w:rPr>
        <w:lastRenderedPageBreak/>
        <w:t xml:space="preserve">4.2.5 The effect of maximal mechanical loading on tibial trabecular bone mass and architecture of fed or fasted </w:t>
      </w:r>
      <w:r w:rsidR="00437061">
        <w:rPr>
          <w:rFonts w:ascii="Arial" w:hAnsi="Arial" w:cs="Arial"/>
          <w:noProof/>
          <w:color w:val="auto"/>
        </w:rPr>
        <w:t xml:space="preserve">1-hour fed young </w:t>
      </w:r>
      <w:r w:rsidRPr="00E3221B">
        <w:rPr>
          <w:rFonts w:ascii="Arial" w:hAnsi="Arial" w:cs="Arial"/>
          <w:noProof/>
          <w:color w:val="auto"/>
        </w:rPr>
        <w:t>mice</w:t>
      </w:r>
      <w:bookmarkEnd w:id="111"/>
    </w:p>
    <w:p w14:paraId="1181B96B" w14:textId="77777777" w:rsidR="00E56E65" w:rsidRDefault="00E56E65" w:rsidP="00E56E65">
      <w:pPr>
        <w:spacing w:line="480" w:lineRule="auto"/>
        <w:jc w:val="both"/>
        <w:rPr>
          <w:rFonts w:ascii="Arial" w:hAnsi="Arial" w:cs="Arial"/>
          <w:color w:val="000000" w:themeColor="text1"/>
        </w:rPr>
      </w:pPr>
      <w:r w:rsidRPr="00DD07AF">
        <w:rPr>
          <w:rFonts w:ascii="Arial" w:hAnsi="Arial" w:cs="Arial"/>
          <w:bCs/>
          <w:lang w:val="en-US"/>
        </w:rPr>
        <w:t>M</w:t>
      </w:r>
      <w:r>
        <w:rPr>
          <w:rFonts w:ascii="Arial" w:hAnsi="Arial" w:cs="Arial"/>
          <w:bCs/>
          <w:lang w:val="en-US"/>
        </w:rPr>
        <w:t>aximal m</w:t>
      </w:r>
      <w:r w:rsidRPr="00DD07AF">
        <w:rPr>
          <w:rFonts w:ascii="Arial" w:hAnsi="Arial" w:cs="Arial"/>
          <w:bCs/>
          <w:lang w:val="en-US"/>
        </w:rPr>
        <w:t>echanical loading cause</w:t>
      </w:r>
      <w:r>
        <w:rPr>
          <w:rFonts w:ascii="Arial" w:hAnsi="Arial" w:cs="Arial"/>
          <w:bCs/>
          <w:lang w:val="en-US"/>
        </w:rPr>
        <w:t>d significant adaptive response</w:t>
      </w:r>
      <w:r w:rsidRPr="00DD07AF">
        <w:rPr>
          <w:rFonts w:ascii="Arial" w:hAnsi="Arial" w:cs="Arial"/>
          <w:bCs/>
          <w:lang w:val="en-US"/>
        </w:rPr>
        <w:t xml:space="preserve"> in </w:t>
      </w:r>
      <w:r>
        <w:rPr>
          <w:rFonts w:ascii="Arial" w:hAnsi="Arial" w:cs="Arial"/>
          <w:bCs/>
          <w:lang w:val="en-US"/>
        </w:rPr>
        <w:t xml:space="preserve">trabecular bone of </w:t>
      </w:r>
      <w:r w:rsidRPr="00DD07AF">
        <w:rPr>
          <w:rFonts w:ascii="Arial" w:hAnsi="Arial" w:cs="Arial"/>
          <w:bCs/>
          <w:lang w:val="en-US"/>
        </w:rPr>
        <w:t>loaded right tibiae of mice compared with the unloaded left tibiae</w:t>
      </w:r>
      <w:r>
        <w:rPr>
          <w:rFonts w:ascii="Arial" w:hAnsi="Arial" w:cs="Arial"/>
          <w:bCs/>
          <w:lang w:val="en-US"/>
        </w:rPr>
        <w:t xml:space="preserve">. </w:t>
      </w:r>
      <w:r>
        <w:rPr>
          <w:rFonts w:ascii="Arial" w:hAnsi="Arial" w:cs="Arial"/>
          <w:color w:val="000000" w:themeColor="text1"/>
        </w:rPr>
        <w:t>The quantitative da</w:t>
      </w:r>
      <w:r w:rsidR="0020790B">
        <w:rPr>
          <w:rFonts w:ascii="Arial" w:hAnsi="Arial" w:cs="Arial"/>
          <w:color w:val="000000" w:themeColor="text1"/>
        </w:rPr>
        <w:t>ta are summarised in the Table 4 (section 4.2.4</w:t>
      </w:r>
      <w:r>
        <w:rPr>
          <w:rFonts w:ascii="Arial" w:hAnsi="Arial" w:cs="Arial"/>
          <w:color w:val="000000" w:themeColor="text1"/>
        </w:rPr>
        <w:t xml:space="preserve">). </w:t>
      </w:r>
    </w:p>
    <w:p w14:paraId="38B2F76B" w14:textId="77777777" w:rsidR="00E56E65" w:rsidRDefault="00E56E65" w:rsidP="00E56E65">
      <w:pPr>
        <w:spacing w:line="480" w:lineRule="auto"/>
        <w:jc w:val="both"/>
        <w:rPr>
          <w:rFonts w:ascii="Arial" w:hAnsi="Arial" w:cs="Arial"/>
          <w:color w:val="000000" w:themeColor="text1"/>
        </w:rPr>
      </w:pPr>
    </w:p>
    <w:p w14:paraId="44CA8A87" w14:textId="77777777" w:rsidR="00E56E65" w:rsidRDefault="00E56E65" w:rsidP="00E56E65">
      <w:pPr>
        <w:spacing w:line="480" w:lineRule="auto"/>
        <w:jc w:val="both"/>
        <w:rPr>
          <w:rFonts w:ascii="Arial" w:hAnsi="Arial" w:cs="Arial"/>
          <w:bCs/>
          <w:lang w:val="en-US"/>
        </w:rPr>
      </w:pPr>
      <w:r w:rsidRPr="00DD07AF">
        <w:rPr>
          <w:rFonts w:ascii="Arial" w:hAnsi="Arial" w:cs="Arial"/>
          <w:bCs/>
          <w:lang w:val="en-US"/>
        </w:rPr>
        <w:t xml:space="preserve">Trabecular BV/TV </w:t>
      </w:r>
      <w:r>
        <w:rPr>
          <w:rFonts w:ascii="Arial" w:hAnsi="Arial" w:cs="Arial"/>
          <w:bCs/>
          <w:lang w:val="en-US"/>
        </w:rPr>
        <w:t>significantly increased by 37</w:t>
      </w:r>
      <w:r w:rsidRPr="00DD07AF">
        <w:rPr>
          <w:rFonts w:ascii="Arial" w:hAnsi="Arial" w:cs="Arial"/>
          <w:bCs/>
          <w:lang w:val="en-US"/>
        </w:rPr>
        <w:t>%</w:t>
      </w:r>
      <w:r>
        <w:rPr>
          <w:rFonts w:ascii="Arial" w:hAnsi="Arial" w:cs="Arial"/>
          <w:bCs/>
          <w:lang w:val="en-US"/>
        </w:rPr>
        <w:t xml:space="preserve"> </w:t>
      </w:r>
      <w:r w:rsidRPr="00DD07AF">
        <w:rPr>
          <w:rFonts w:ascii="Arial" w:hAnsi="Arial" w:cs="Arial"/>
          <w:bCs/>
          <w:lang w:val="en-US"/>
        </w:rPr>
        <w:t>in</w:t>
      </w:r>
      <w:r>
        <w:rPr>
          <w:rFonts w:ascii="Arial" w:hAnsi="Arial" w:cs="Arial"/>
          <w:bCs/>
          <w:lang w:val="en-US"/>
        </w:rPr>
        <w:t xml:space="preserve"> the loaded tibiae of fed mice (</w:t>
      </w:r>
      <w:r w:rsidRPr="00DD07AF">
        <w:rPr>
          <w:rFonts w:ascii="Arial" w:hAnsi="Arial" w:cs="Arial"/>
          <w:bCs/>
          <w:lang w:val="en-US"/>
        </w:rPr>
        <w:t>p&lt;0.0</w:t>
      </w:r>
      <w:r>
        <w:rPr>
          <w:rFonts w:ascii="Arial" w:hAnsi="Arial" w:cs="Arial"/>
          <w:bCs/>
          <w:lang w:val="en-US"/>
        </w:rPr>
        <w:t>001)</w:t>
      </w:r>
      <w:r w:rsidRPr="00DD07AF">
        <w:rPr>
          <w:rFonts w:ascii="Arial" w:hAnsi="Arial" w:cs="Arial"/>
          <w:bCs/>
          <w:lang w:val="en-US"/>
        </w:rPr>
        <w:t xml:space="preserve"> </w:t>
      </w:r>
      <w:r w:rsidR="00D27B5A">
        <w:rPr>
          <w:rFonts w:ascii="Arial" w:hAnsi="Arial" w:cs="Arial"/>
          <w:bCs/>
          <w:lang w:val="en-US"/>
        </w:rPr>
        <w:t>and by 38</w:t>
      </w:r>
      <w:r>
        <w:rPr>
          <w:rFonts w:ascii="Arial" w:hAnsi="Arial" w:cs="Arial"/>
          <w:bCs/>
          <w:lang w:val="en-US"/>
        </w:rPr>
        <w:t xml:space="preserve">% </w:t>
      </w:r>
      <w:r w:rsidRPr="00DD07AF">
        <w:rPr>
          <w:rFonts w:ascii="Arial" w:hAnsi="Arial" w:cs="Arial"/>
          <w:bCs/>
          <w:lang w:val="en-US"/>
        </w:rPr>
        <w:t xml:space="preserve">of fasted </w:t>
      </w:r>
      <w:r w:rsidR="00BD13CB">
        <w:rPr>
          <w:rFonts w:ascii="Arial" w:hAnsi="Arial" w:cs="Arial"/>
          <w:bCs/>
          <w:lang w:val="en-US"/>
        </w:rPr>
        <w:t>1-</w:t>
      </w:r>
      <w:r>
        <w:rPr>
          <w:rFonts w:ascii="Arial" w:hAnsi="Arial" w:cs="Arial"/>
          <w:bCs/>
          <w:lang w:val="en-US"/>
        </w:rPr>
        <w:t xml:space="preserve">hour fed </w:t>
      </w:r>
      <w:r w:rsidRPr="00DD07AF">
        <w:rPr>
          <w:rFonts w:ascii="Arial" w:hAnsi="Arial" w:cs="Arial"/>
          <w:bCs/>
          <w:lang w:val="en-US"/>
        </w:rPr>
        <w:t xml:space="preserve">mice </w:t>
      </w:r>
      <w:r>
        <w:rPr>
          <w:rFonts w:ascii="Arial" w:hAnsi="Arial" w:cs="Arial"/>
          <w:bCs/>
          <w:lang w:val="en-US"/>
        </w:rPr>
        <w:t>(</w:t>
      </w:r>
      <w:r w:rsidRPr="00DD07AF">
        <w:rPr>
          <w:rFonts w:ascii="Arial" w:hAnsi="Arial" w:cs="Arial"/>
          <w:bCs/>
          <w:lang w:val="en-US"/>
        </w:rPr>
        <w:t>p&lt;0.0</w:t>
      </w:r>
      <w:r>
        <w:rPr>
          <w:rFonts w:ascii="Arial" w:hAnsi="Arial" w:cs="Arial"/>
          <w:bCs/>
          <w:lang w:val="en-US"/>
        </w:rPr>
        <w:t>001)</w:t>
      </w:r>
      <w:r w:rsidRPr="00DD07AF">
        <w:rPr>
          <w:rFonts w:ascii="Arial" w:hAnsi="Arial" w:cs="Arial"/>
          <w:bCs/>
          <w:lang w:val="en-US"/>
        </w:rPr>
        <w:t xml:space="preserve"> compared w</w:t>
      </w:r>
      <w:r>
        <w:rPr>
          <w:rFonts w:ascii="Arial" w:hAnsi="Arial" w:cs="Arial"/>
          <w:bCs/>
          <w:lang w:val="en-US"/>
        </w:rPr>
        <w:t xml:space="preserve">ith the </w:t>
      </w:r>
      <w:r w:rsidR="0020790B">
        <w:rPr>
          <w:rFonts w:ascii="Arial" w:hAnsi="Arial" w:cs="Arial"/>
          <w:bCs/>
          <w:lang w:val="en-US"/>
        </w:rPr>
        <w:t>unloaded left controls, Figure 36</w:t>
      </w:r>
      <w:r>
        <w:rPr>
          <w:rFonts w:ascii="Arial" w:hAnsi="Arial" w:cs="Arial"/>
          <w:bCs/>
          <w:lang w:val="en-US"/>
        </w:rPr>
        <w:t xml:space="preserve">A. </w:t>
      </w:r>
      <w:r w:rsidRPr="003B6F9D">
        <w:rPr>
          <w:rFonts w:ascii="Arial" w:hAnsi="Arial"/>
          <w:bCs/>
          <w:lang w:val="en-US"/>
        </w:rPr>
        <w:t>Tb.Pf</w:t>
      </w:r>
      <w:r>
        <w:rPr>
          <w:rFonts w:ascii="Arial" w:hAnsi="Arial" w:cs="Arial"/>
          <w:bCs/>
          <w:lang w:val="en-US"/>
        </w:rPr>
        <w:t xml:space="preserve"> significantly decreased by around 90</w:t>
      </w:r>
      <w:r w:rsidRPr="00DD07AF">
        <w:rPr>
          <w:rFonts w:ascii="Arial" w:hAnsi="Arial" w:cs="Arial"/>
          <w:bCs/>
          <w:lang w:val="en-US"/>
        </w:rPr>
        <w:t>%</w:t>
      </w:r>
      <w:r>
        <w:rPr>
          <w:rFonts w:ascii="Arial" w:hAnsi="Arial" w:cs="Arial"/>
          <w:bCs/>
          <w:lang w:val="en-US"/>
        </w:rPr>
        <w:t xml:space="preserve"> </w:t>
      </w:r>
      <w:r w:rsidRPr="00DD07AF">
        <w:rPr>
          <w:rFonts w:ascii="Arial" w:hAnsi="Arial" w:cs="Arial"/>
          <w:bCs/>
          <w:lang w:val="en-US"/>
        </w:rPr>
        <w:t>in</w:t>
      </w:r>
      <w:r>
        <w:rPr>
          <w:rFonts w:ascii="Arial" w:hAnsi="Arial" w:cs="Arial"/>
          <w:bCs/>
          <w:lang w:val="en-US"/>
        </w:rPr>
        <w:t xml:space="preserve"> the right tibiae of fed mice (</w:t>
      </w:r>
      <w:r w:rsidRPr="00DD07AF">
        <w:rPr>
          <w:rFonts w:ascii="Arial" w:hAnsi="Arial" w:cs="Arial"/>
          <w:bCs/>
          <w:lang w:val="en-US"/>
        </w:rPr>
        <w:t>p&lt;0.0</w:t>
      </w:r>
      <w:r>
        <w:rPr>
          <w:rFonts w:ascii="Arial" w:hAnsi="Arial" w:cs="Arial"/>
          <w:bCs/>
          <w:lang w:val="en-US"/>
        </w:rPr>
        <w:t>001)</w:t>
      </w:r>
      <w:r w:rsidRPr="00DD07AF">
        <w:rPr>
          <w:rFonts w:ascii="Arial" w:hAnsi="Arial" w:cs="Arial"/>
          <w:bCs/>
          <w:lang w:val="en-US"/>
        </w:rPr>
        <w:t xml:space="preserve"> </w:t>
      </w:r>
      <w:r>
        <w:rPr>
          <w:rFonts w:ascii="Arial" w:hAnsi="Arial" w:cs="Arial"/>
          <w:bCs/>
          <w:lang w:val="en-US"/>
        </w:rPr>
        <w:t>and by 83</w:t>
      </w:r>
      <w:r w:rsidRPr="00DD07AF">
        <w:rPr>
          <w:rFonts w:ascii="Arial" w:hAnsi="Arial" w:cs="Arial"/>
          <w:bCs/>
          <w:lang w:val="en-US"/>
        </w:rPr>
        <w:t>%</w:t>
      </w:r>
      <w:r>
        <w:rPr>
          <w:rFonts w:ascii="Arial" w:hAnsi="Arial" w:cs="Arial"/>
          <w:bCs/>
          <w:lang w:val="en-US"/>
        </w:rPr>
        <w:t xml:space="preserve"> </w:t>
      </w:r>
      <w:r w:rsidRPr="00DD07AF">
        <w:rPr>
          <w:rFonts w:ascii="Arial" w:hAnsi="Arial" w:cs="Arial"/>
          <w:bCs/>
          <w:lang w:val="en-US"/>
        </w:rPr>
        <w:t xml:space="preserve">of fasted </w:t>
      </w:r>
      <w:r w:rsidR="00BD13CB">
        <w:rPr>
          <w:rFonts w:ascii="Arial" w:hAnsi="Arial" w:cs="Arial"/>
          <w:bCs/>
          <w:lang w:val="en-US"/>
        </w:rPr>
        <w:t>1-</w:t>
      </w:r>
      <w:r>
        <w:rPr>
          <w:rFonts w:ascii="Arial" w:hAnsi="Arial" w:cs="Arial"/>
          <w:bCs/>
          <w:lang w:val="en-US"/>
        </w:rPr>
        <w:t xml:space="preserve">hour fed </w:t>
      </w:r>
      <w:r w:rsidRPr="00DD07AF">
        <w:rPr>
          <w:rFonts w:ascii="Arial" w:hAnsi="Arial" w:cs="Arial"/>
          <w:bCs/>
          <w:lang w:val="en-US"/>
        </w:rPr>
        <w:t xml:space="preserve">mice </w:t>
      </w:r>
      <w:r>
        <w:rPr>
          <w:rFonts w:ascii="Arial" w:hAnsi="Arial" w:cs="Arial"/>
          <w:bCs/>
          <w:lang w:val="en-US"/>
        </w:rPr>
        <w:t>(</w:t>
      </w:r>
      <w:r w:rsidRPr="00DD07AF">
        <w:rPr>
          <w:rFonts w:ascii="Arial" w:hAnsi="Arial" w:cs="Arial"/>
          <w:bCs/>
          <w:lang w:val="en-US"/>
        </w:rPr>
        <w:t>p&lt;0.0</w:t>
      </w:r>
      <w:r>
        <w:rPr>
          <w:rFonts w:ascii="Arial" w:hAnsi="Arial" w:cs="Arial"/>
          <w:bCs/>
          <w:lang w:val="en-US"/>
        </w:rPr>
        <w:t>001)</w:t>
      </w:r>
      <w:r w:rsidRPr="00DD07AF">
        <w:rPr>
          <w:rFonts w:ascii="Arial" w:hAnsi="Arial" w:cs="Arial"/>
          <w:bCs/>
          <w:lang w:val="en-US"/>
        </w:rPr>
        <w:t xml:space="preserve"> compared </w:t>
      </w:r>
      <w:r>
        <w:rPr>
          <w:rFonts w:ascii="Arial" w:hAnsi="Arial" w:cs="Arial"/>
          <w:bCs/>
          <w:lang w:val="en-US"/>
        </w:rPr>
        <w:t>with the contralatera</w:t>
      </w:r>
      <w:r w:rsidR="0020790B">
        <w:rPr>
          <w:rFonts w:ascii="Arial" w:hAnsi="Arial" w:cs="Arial"/>
          <w:bCs/>
          <w:lang w:val="en-US"/>
        </w:rPr>
        <w:t>l unloaded left tibiae, Figure 36</w:t>
      </w:r>
      <w:r>
        <w:rPr>
          <w:rFonts w:ascii="Arial" w:hAnsi="Arial" w:cs="Arial"/>
          <w:bCs/>
          <w:lang w:val="en-US"/>
        </w:rPr>
        <w:t xml:space="preserve">C. Tb.N </w:t>
      </w:r>
      <w:r w:rsidRPr="00DD07AF">
        <w:rPr>
          <w:rFonts w:ascii="Arial" w:hAnsi="Arial" w:cs="Arial"/>
          <w:bCs/>
          <w:lang w:val="en-US"/>
        </w:rPr>
        <w:t>and Tb.Th</w:t>
      </w:r>
      <w:r>
        <w:rPr>
          <w:rFonts w:ascii="Arial" w:hAnsi="Arial" w:cs="Arial"/>
          <w:bCs/>
          <w:lang w:val="en-US"/>
        </w:rPr>
        <w:t xml:space="preserve"> of the right loaded tibiae of fed and fast</w:t>
      </w:r>
      <w:r w:rsidR="00BD13CB">
        <w:rPr>
          <w:rFonts w:ascii="Arial" w:hAnsi="Arial" w:cs="Arial"/>
          <w:bCs/>
          <w:lang w:val="en-US"/>
        </w:rPr>
        <w:t>ed 1-</w:t>
      </w:r>
      <w:r>
        <w:rPr>
          <w:rFonts w:ascii="Arial" w:hAnsi="Arial" w:cs="Arial"/>
          <w:bCs/>
          <w:lang w:val="en-US"/>
        </w:rPr>
        <w:t>hour fed mice increased, but not significantly from unloaded left tibiae (p&gt;</w:t>
      </w:r>
      <w:r w:rsidRPr="00DD07AF">
        <w:rPr>
          <w:rFonts w:ascii="Arial" w:hAnsi="Arial" w:cs="Arial"/>
          <w:bCs/>
          <w:lang w:val="en-US"/>
        </w:rPr>
        <w:t>0.0</w:t>
      </w:r>
      <w:r w:rsidR="0020790B">
        <w:rPr>
          <w:rFonts w:ascii="Arial" w:hAnsi="Arial" w:cs="Arial"/>
          <w:bCs/>
          <w:lang w:val="en-US"/>
        </w:rPr>
        <w:t xml:space="preserve">5), Figure 36B, </w:t>
      </w:r>
      <w:r>
        <w:rPr>
          <w:rFonts w:ascii="Arial" w:hAnsi="Arial" w:cs="Arial"/>
          <w:bCs/>
          <w:lang w:val="en-US"/>
        </w:rPr>
        <w:t xml:space="preserve">D. </w:t>
      </w:r>
    </w:p>
    <w:p w14:paraId="293141E6" w14:textId="77777777" w:rsidR="00E56E65" w:rsidRDefault="00E56E65" w:rsidP="00E56E65">
      <w:pPr>
        <w:spacing w:line="480" w:lineRule="auto"/>
        <w:jc w:val="both"/>
        <w:rPr>
          <w:rFonts w:ascii="Arial" w:hAnsi="Arial" w:cs="Arial"/>
          <w:bCs/>
          <w:lang w:val="en-US"/>
        </w:rPr>
      </w:pPr>
    </w:p>
    <w:p w14:paraId="61B9DAC3" w14:textId="77777777" w:rsidR="00E56E65" w:rsidRPr="00BE6947" w:rsidRDefault="00E56E65" w:rsidP="00E56E65">
      <w:pPr>
        <w:spacing w:line="480" w:lineRule="auto"/>
        <w:jc w:val="both"/>
        <w:rPr>
          <w:rFonts w:ascii="Arial" w:hAnsi="Arial" w:cs="Arial"/>
          <w:bCs/>
          <w:lang w:val="en-US"/>
        </w:rPr>
      </w:pPr>
      <w:r>
        <w:rPr>
          <w:rFonts w:ascii="Arial" w:hAnsi="Arial" w:cs="Arial"/>
          <w:bCs/>
          <w:lang w:val="en-US"/>
        </w:rPr>
        <w:t>Similar to the previous study t</w:t>
      </w:r>
      <w:r w:rsidRPr="00DD07AF">
        <w:rPr>
          <w:rFonts w:ascii="Arial" w:hAnsi="Arial" w:cs="Arial"/>
          <w:bCs/>
          <w:lang w:val="en-US"/>
        </w:rPr>
        <w:t xml:space="preserve">here were no significant differences in </w:t>
      </w:r>
      <w:r>
        <w:rPr>
          <w:rFonts w:ascii="Arial" w:hAnsi="Arial" w:cs="Arial"/>
          <w:bCs/>
          <w:lang w:val="en-US"/>
        </w:rPr>
        <w:t xml:space="preserve">any analysed trabecular parameters </w:t>
      </w:r>
      <w:r w:rsidRPr="00DD07AF">
        <w:rPr>
          <w:rFonts w:ascii="Arial" w:hAnsi="Arial" w:cs="Arial"/>
          <w:bCs/>
          <w:lang w:val="en-US"/>
        </w:rPr>
        <w:t xml:space="preserve">between right tibiae of fed mice and those </w:t>
      </w:r>
      <w:r>
        <w:rPr>
          <w:rFonts w:ascii="Arial" w:hAnsi="Arial" w:cs="Arial"/>
          <w:bCs/>
          <w:lang w:val="en-US"/>
        </w:rPr>
        <w:t>fed for 1 hour following overnight fast</w:t>
      </w:r>
      <w:r w:rsidRPr="00DD07AF">
        <w:rPr>
          <w:rFonts w:ascii="Arial" w:hAnsi="Arial" w:cs="Arial"/>
          <w:bCs/>
          <w:lang w:val="en-US"/>
        </w:rPr>
        <w:t xml:space="preserve"> before mechanical loading</w:t>
      </w:r>
      <w:r>
        <w:rPr>
          <w:rFonts w:ascii="Arial" w:hAnsi="Arial" w:cs="Arial"/>
          <w:bCs/>
          <w:lang w:val="en-US"/>
        </w:rPr>
        <w:t xml:space="preserve"> (</w:t>
      </w:r>
      <w:r w:rsidR="00626764">
        <w:rPr>
          <w:rFonts w:ascii="Arial" w:hAnsi="Arial" w:cs="Arial"/>
          <w:bCs/>
          <w:lang w:val="en-US"/>
        </w:rPr>
        <w:t>Figure 36</w:t>
      </w:r>
      <w:r>
        <w:rPr>
          <w:rFonts w:ascii="Arial" w:hAnsi="Arial" w:cs="Arial"/>
          <w:bCs/>
          <w:lang w:val="en-US"/>
        </w:rPr>
        <w:t>)</w:t>
      </w:r>
      <w:r w:rsidRPr="00DD07AF">
        <w:rPr>
          <w:rFonts w:ascii="Arial" w:hAnsi="Arial" w:cs="Arial"/>
          <w:bCs/>
          <w:lang w:val="en-US"/>
        </w:rPr>
        <w:t xml:space="preserve">. </w:t>
      </w:r>
    </w:p>
    <w:p w14:paraId="320A4C3F" w14:textId="77777777" w:rsidR="00E56E65" w:rsidRDefault="00E56E65" w:rsidP="00E56E65">
      <w:pPr>
        <w:spacing w:line="480" w:lineRule="auto"/>
        <w:jc w:val="both"/>
        <w:rPr>
          <w:rFonts w:ascii="Arial" w:hAnsi="Arial"/>
          <w:bCs/>
          <w:lang w:val="en-US"/>
        </w:rPr>
      </w:pPr>
    </w:p>
    <w:p w14:paraId="501BEBD2" w14:textId="77777777" w:rsidR="00E56E65" w:rsidRDefault="00E56E65" w:rsidP="00E56E65">
      <w:pPr>
        <w:spacing w:line="480" w:lineRule="auto"/>
        <w:jc w:val="both"/>
        <w:rPr>
          <w:rFonts w:ascii="Arial" w:hAnsi="Arial"/>
          <w:bCs/>
          <w:lang w:val="en-US"/>
        </w:rPr>
      </w:pPr>
    </w:p>
    <w:p w14:paraId="5A32B672" w14:textId="77777777" w:rsidR="00C31995" w:rsidRDefault="00C31995" w:rsidP="00E56E65">
      <w:pPr>
        <w:spacing w:line="480" w:lineRule="auto"/>
        <w:jc w:val="both"/>
        <w:rPr>
          <w:rFonts w:ascii="Arial" w:hAnsi="Arial"/>
          <w:bCs/>
          <w:lang w:val="en-US"/>
        </w:rPr>
      </w:pPr>
    </w:p>
    <w:p w14:paraId="668E277A" w14:textId="77777777" w:rsidR="00C31995" w:rsidRPr="00C31995" w:rsidRDefault="00C31995" w:rsidP="00C31995">
      <w:pPr>
        <w:rPr>
          <w:rFonts w:ascii="Arial" w:hAnsi="Arial"/>
          <w:lang w:val="en-US"/>
        </w:rPr>
      </w:pPr>
    </w:p>
    <w:p w14:paraId="768D5B05" w14:textId="77777777" w:rsidR="00C31995" w:rsidRPr="00C31995" w:rsidRDefault="00C31995" w:rsidP="00C31995">
      <w:pPr>
        <w:rPr>
          <w:rFonts w:ascii="Arial" w:hAnsi="Arial"/>
          <w:lang w:val="en-US"/>
        </w:rPr>
      </w:pPr>
    </w:p>
    <w:p w14:paraId="27E9B7A5" w14:textId="77777777" w:rsidR="00C31995" w:rsidRPr="00C31995" w:rsidRDefault="00C31995" w:rsidP="00C31995">
      <w:pPr>
        <w:rPr>
          <w:rFonts w:ascii="Arial" w:hAnsi="Arial"/>
          <w:lang w:val="en-US"/>
        </w:rPr>
      </w:pPr>
    </w:p>
    <w:p w14:paraId="4C36ECEA" w14:textId="77777777" w:rsidR="00C31995" w:rsidRPr="00C31995" w:rsidRDefault="00C31995" w:rsidP="00C31995">
      <w:pPr>
        <w:rPr>
          <w:rFonts w:ascii="Arial" w:hAnsi="Arial"/>
          <w:lang w:val="en-US"/>
        </w:rPr>
      </w:pPr>
    </w:p>
    <w:p w14:paraId="722B9AC8" w14:textId="77777777" w:rsidR="00C31995" w:rsidRPr="00C31995" w:rsidRDefault="00C31995" w:rsidP="00C31995">
      <w:pPr>
        <w:rPr>
          <w:rFonts w:ascii="Arial" w:hAnsi="Arial"/>
          <w:lang w:val="en-US"/>
        </w:rPr>
      </w:pPr>
    </w:p>
    <w:p w14:paraId="0DDDD954" w14:textId="77777777" w:rsidR="00C31995" w:rsidRPr="00C31995" w:rsidRDefault="00C31995" w:rsidP="00C31995">
      <w:pPr>
        <w:rPr>
          <w:rFonts w:ascii="Arial" w:hAnsi="Arial"/>
          <w:lang w:val="en-US"/>
        </w:rPr>
      </w:pPr>
    </w:p>
    <w:p w14:paraId="12E729EF" w14:textId="77777777" w:rsidR="00C31995" w:rsidRPr="00C31995" w:rsidRDefault="00C31995" w:rsidP="00C31995">
      <w:pPr>
        <w:rPr>
          <w:rFonts w:ascii="Arial" w:hAnsi="Arial"/>
          <w:lang w:val="en-US"/>
        </w:rPr>
      </w:pPr>
    </w:p>
    <w:p w14:paraId="49407510" w14:textId="77777777" w:rsidR="00C31995" w:rsidRPr="00C31995" w:rsidRDefault="00C31995" w:rsidP="00C31995">
      <w:pPr>
        <w:rPr>
          <w:rFonts w:ascii="Arial" w:hAnsi="Arial"/>
          <w:lang w:val="en-US"/>
        </w:rPr>
      </w:pPr>
    </w:p>
    <w:p w14:paraId="48D7CC57" w14:textId="77777777" w:rsidR="00C31995" w:rsidRPr="00C31995" w:rsidRDefault="00C31995" w:rsidP="00C31995">
      <w:pPr>
        <w:rPr>
          <w:rFonts w:ascii="Arial" w:hAnsi="Arial"/>
          <w:lang w:val="en-US"/>
        </w:rPr>
      </w:pPr>
    </w:p>
    <w:p w14:paraId="19C7042B" w14:textId="77777777" w:rsidR="00C31995" w:rsidRPr="00C31995" w:rsidRDefault="00C31995" w:rsidP="00C31995">
      <w:pPr>
        <w:rPr>
          <w:rFonts w:ascii="Arial" w:hAnsi="Arial"/>
          <w:lang w:val="en-US"/>
        </w:rPr>
      </w:pPr>
    </w:p>
    <w:p w14:paraId="02F7A1F1" w14:textId="77777777" w:rsidR="00C31995" w:rsidRDefault="00C31995" w:rsidP="00C31995">
      <w:pPr>
        <w:rPr>
          <w:rFonts w:ascii="Arial" w:hAnsi="Arial"/>
          <w:lang w:val="en-US"/>
        </w:rPr>
      </w:pPr>
    </w:p>
    <w:p w14:paraId="710C567E" w14:textId="77777777" w:rsidR="00E56E65" w:rsidRDefault="00E56E65" w:rsidP="00C31995">
      <w:pPr>
        <w:rPr>
          <w:rFonts w:ascii="Arial" w:hAnsi="Arial"/>
          <w:lang w:val="en-US"/>
        </w:rPr>
      </w:pPr>
    </w:p>
    <w:p w14:paraId="015F059C" w14:textId="77777777" w:rsidR="00C31995" w:rsidRPr="00C31995" w:rsidRDefault="00C31995" w:rsidP="00C31995">
      <w:pPr>
        <w:rPr>
          <w:rFonts w:ascii="Arial" w:hAnsi="Arial"/>
          <w:lang w:val="en-US"/>
        </w:rPr>
      </w:pPr>
    </w:p>
    <w:p w14:paraId="3566D005" w14:textId="77777777" w:rsidR="00E56E65" w:rsidRDefault="00E56E65" w:rsidP="00204988">
      <w:pPr>
        <w:pStyle w:val="TOCHeading"/>
        <w:rPr>
          <w:color w:val="000000" w:themeColor="text1"/>
          <w:sz w:val="24"/>
          <w:szCs w:val="24"/>
        </w:rPr>
      </w:pPr>
      <w:r>
        <w:drawing>
          <wp:inline distT="0" distB="0" distL="0" distR="0" wp14:anchorId="7EB91F72" wp14:editId="1EF854A6">
            <wp:extent cx="3199130" cy="2721610"/>
            <wp:effectExtent l="0" t="0" r="1270" b="0"/>
            <wp:docPr id="19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99130" cy="2721610"/>
                    </a:xfrm>
                    <a:prstGeom prst="rect">
                      <a:avLst/>
                    </a:prstGeom>
                    <a:noFill/>
                    <a:ln>
                      <a:noFill/>
                    </a:ln>
                  </pic:spPr>
                </pic:pic>
              </a:graphicData>
            </a:graphic>
          </wp:inline>
        </w:drawing>
      </w:r>
      <w:r w:rsidRPr="00924C37">
        <w:t xml:space="preserve"> </w:t>
      </w:r>
      <w:r>
        <w:drawing>
          <wp:inline distT="0" distB="0" distL="0" distR="0" wp14:anchorId="37D41E13" wp14:editId="5F929A77">
            <wp:extent cx="2834640" cy="2522220"/>
            <wp:effectExtent l="0" t="0" r="10160" b="0"/>
            <wp:docPr id="19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34640" cy="2522220"/>
                    </a:xfrm>
                    <a:prstGeom prst="rect">
                      <a:avLst/>
                    </a:prstGeom>
                    <a:noFill/>
                    <a:ln>
                      <a:noFill/>
                    </a:ln>
                  </pic:spPr>
                </pic:pic>
              </a:graphicData>
            </a:graphic>
          </wp:inline>
        </w:drawing>
      </w:r>
    </w:p>
    <w:p w14:paraId="444718F3" w14:textId="77777777" w:rsidR="0020790B" w:rsidRDefault="00E56E65" w:rsidP="00913E4B">
      <w:pPr>
        <w:pStyle w:val="TOCHeading"/>
        <w:ind w:left="360" w:firstLine="90"/>
      </w:pPr>
      <w:r>
        <w:drawing>
          <wp:inline distT="0" distB="0" distL="0" distR="0" wp14:anchorId="163C9FB9" wp14:editId="2EC8438A">
            <wp:extent cx="2824316" cy="2499360"/>
            <wp:effectExtent l="0" t="0" r="0" b="0"/>
            <wp:docPr id="19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24316" cy="2499360"/>
                    </a:xfrm>
                    <a:prstGeom prst="rect">
                      <a:avLst/>
                    </a:prstGeom>
                    <a:noFill/>
                    <a:ln>
                      <a:noFill/>
                    </a:ln>
                  </pic:spPr>
                </pic:pic>
              </a:graphicData>
            </a:graphic>
          </wp:inline>
        </w:drawing>
      </w:r>
      <w:r w:rsidRPr="00DD07AF">
        <w:t xml:space="preserve"> </w:t>
      </w:r>
      <w:r>
        <w:drawing>
          <wp:inline distT="0" distB="0" distL="0" distR="0" wp14:anchorId="53D3DBF9" wp14:editId="01AACD4E">
            <wp:extent cx="2924810" cy="2499360"/>
            <wp:effectExtent l="0" t="0" r="0" b="0"/>
            <wp:docPr id="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24810" cy="2499360"/>
                    </a:xfrm>
                    <a:prstGeom prst="rect">
                      <a:avLst/>
                    </a:prstGeom>
                    <a:noFill/>
                    <a:ln>
                      <a:noFill/>
                    </a:ln>
                  </pic:spPr>
                </pic:pic>
              </a:graphicData>
            </a:graphic>
          </wp:inline>
        </w:drawing>
      </w:r>
    </w:p>
    <w:p w14:paraId="7694EC01" w14:textId="77777777" w:rsidR="00647F1C" w:rsidRDefault="00647F1C" w:rsidP="0020790B">
      <w:pPr>
        <w:pStyle w:val="Caption"/>
        <w:spacing w:line="360" w:lineRule="auto"/>
        <w:jc w:val="both"/>
        <w:rPr>
          <w:rFonts w:ascii="Arial" w:hAnsi="Arial" w:cs="Arial"/>
          <w:color w:val="244061" w:themeColor="accent1" w:themeShade="80"/>
          <w:sz w:val="24"/>
          <w:szCs w:val="24"/>
        </w:rPr>
      </w:pPr>
      <w:bookmarkStart w:id="112" w:name="_Toc383544627"/>
    </w:p>
    <w:p w14:paraId="4A2ED860" w14:textId="77777777" w:rsidR="00E56E65" w:rsidRPr="0020790B" w:rsidRDefault="0020790B" w:rsidP="0020790B">
      <w:pPr>
        <w:pStyle w:val="Caption"/>
        <w:spacing w:line="360" w:lineRule="auto"/>
        <w:jc w:val="both"/>
        <w:rPr>
          <w:rFonts w:ascii="Arial" w:hAnsi="Arial" w:cs="Arial"/>
          <w:color w:val="244061" w:themeColor="accent1" w:themeShade="80"/>
          <w:sz w:val="24"/>
          <w:szCs w:val="24"/>
        </w:rPr>
      </w:pPr>
      <w:r w:rsidRPr="0020790B">
        <w:rPr>
          <w:rFonts w:ascii="Arial" w:hAnsi="Arial" w:cs="Arial"/>
          <w:color w:val="244061" w:themeColor="accent1" w:themeShade="80"/>
          <w:sz w:val="24"/>
          <w:szCs w:val="24"/>
        </w:rPr>
        <w:t xml:space="preserve">Figure </w:t>
      </w:r>
      <w:r w:rsidRPr="0020790B">
        <w:rPr>
          <w:rFonts w:ascii="Arial" w:hAnsi="Arial" w:cs="Arial"/>
          <w:color w:val="244061" w:themeColor="accent1" w:themeShade="80"/>
          <w:sz w:val="24"/>
          <w:szCs w:val="24"/>
        </w:rPr>
        <w:fldChar w:fldCharType="begin"/>
      </w:r>
      <w:r w:rsidRPr="0020790B">
        <w:rPr>
          <w:rFonts w:ascii="Arial" w:hAnsi="Arial" w:cs="Arial"/>
          <w:color w:val="244061" w:themeColor="accent1" w:themeShade="80"/>
          <w:sz w:val="24"/>
          <w:szCs w:val="24"/>
        </w:rPr>
        <w:instrText xml:space="preserve"> SEQ Figure \* ARABIC </w:instrText>
      </w:r>
      <w:r w:rsidRPr="0020790B">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36</w:t>
      </w:r>
      <w:r w:rsidRPr="0020790B">
        <w:rPr>
          <w:rFonts w:ascii="Arial" w:hAnsi="Arial" w:cs="Arial"/>
          <w:color w:val="244061" w:themeColor="accent1" w:themeShade="80"/>
          <w:sz w:val="24"/>
          <w:szCs w:val="24"/>
        </w:rPr>
        <w:fldChar w:fldCharType="end"/>
      </w:r>
      <w:r w:rsidRPr="0020790B">
        <w:rPr>
          <w:rFonts w:ascii="Arial" w:hAnsi="Arial" w:cs="Arial"/>
          <w:color w:val="244061" w:themeColor="accent1" w:themeShade="80"/>
          <w:sz w:val="24"/>
          <w:szCs w:val="24"/>
        </w:rPr>
        <w:t xml:space="preserve"> </w:t>
      </w:r>
      <w:r w:rsidR="00E56E65" w:rsidRPr="0020790B">
        <w:rPr>
          <w:rFonts w:ascii="Arial" w:hAnsi="Arial" w:cs="Arial"/>
          <w:color w:val="244061" w:themeColor="accent1" w:themeShade="80"/>
          <w:sz w:val="24"/>
          <w:szCs w:val="24"/>
        </w:rPr>
        <w:t xml:space="preserve">Trabecular bone mass and architecture measured at the proximal region of the </w:t>
      </w:r>
      <w:r w:rsidR="00E56E65" w:rsidRPr="0020790B">
        <w:rPr>
          <w:rFonts w:ascii="Arial" w:eastAsiaTheme="minorHAnsi" w:hAnsi="Arial" w:cs="Arial"/>
          <w:bCs w:val="0"/>
          <w:color w:val="244061" w:themeColor="accent1" w:themeShade="80"/>
          <w:sz w:val="24"/>
          <w:szCs w:val="24"/>
          <w:lang w:val="en-US"/>
        </w:rPr>
        <w:t xml:space="preserve">left non-loaded (control) and </w:t>
      </w:r>
      <w:r w:rsidR="00E56E65" w:rsidRPr="0020790B">
        <w:rPr>
          <w:rFonts w:ascii="Arial" w:hAnsi="Arial" w:cs="Arial"/>
          <w:color w:val="244061" w:themeColor="accent1" w:themeShade="80"/>
          <w:sz w:val="24"/>
          <w:szCs w:val="24"/>
        </w:rPr>
        <w:t xml:space="preserve">right </w:t>
      </w:r>
      <w:r w:rsidR="00E56E65" w:rsidRPr="0020790B">
        <w:rPr>
          <w:rFonts w:ascii="Arial" w:eastAsiaTheme="minorHAnsi" w:hAnsi="Arial" w:cs="Arial"/>
          <w:bCs w:val="0"/>
          <w:color w:val="244061" w:themeColor="accent1" w:themeShade="80"/>
          <w:sz w:val="24"/>
          <w:szCs w:val="24"/>
          <w:lang w:val="en-US"/>
        </w:rPr>
        <w:t xml:space="preserve">loaded tibiae with maximal loading regimen of 19-week-old fed (n=7) or overnight fasted </w:t>
      </w:r>
      <w:r w:rsidR="00C31995">
        <w:rPr>
          <w:rFonts w:ascii="Arial" w:eastAsiaTheme="minorHAnsi" w:hAnsi="Arial" w:cs="Arial"/>
          <w:bCs w:val="0"/>
          <w:color w:val="244061" w:themeColor="accent1" w:themeShade="80"/>
          <w:sz w:val="24"/>
          <w:szCs w:val="24"/>
          <w:lang w:val="en-US"/>
        </w:rPr>
        <w:t>1-</w:t>
      </w:r>
      <w:r w:rsidR="00C31995" w:rsidRPr="0020790B">
        <w:rPr>
          <w:rFonts w:ascii="Arial" w:eastAsiaTheme="minorHAnsi" w:hAnsi="Arial" w:cs="Arial"/>
          <w:bCs w:val="0"/>
          <w:color w:val="244061" w:themeColor="accent1" w:themeShade="80"/>
          <w:sz w:val="24"/>
          <w:szCs w:val="24"/>
          <w:lang w:val="en-US"/>
        </w:rPr>
        <w:t xml:space="preserve">hour </w:t>
      </w:r>
      <w:r w:rsidR="00E56E65" w:rsidRPr="0020790B">
        <w:rPr>
          <w:rFonts w:ascii="Arial" w:eastAsiaTheme="minorHAnsi" w:hAnsi="Arial" w:cs="Arial"/>
          <w:bCs w:val="0"/>
          <w:color w:val="244061" w:themeColor="accent1" w:themeShade="80"/>
          <w:sz w:val="24"/>
          <w:szCs w:val="24"/>
          <w:lang w:val="en-US"/>
        </w:rPr>
        <w:t>fed (n=7) male mice</w:t>
      </w:r>
      <w:bookmarkEnd w:id="112"/>
      <w:r w:rsidR="00E56E65" w:rsidRPr="0020790B">
        <w:rPr>
          <w:rFonts w:ascii="Arial" w:eastAsiaTheme="minorHAnsi" w:hAnsi="Arial" w:cs="Arial"/>
          <w:bCs w:val="0"/>
          <w:color w:val="244061" w:themeColor="accent1" w:themeShade="80"/>
          <w:sz w:val="24"/>
          <w:szCs w:val="24"/>
          <w:lang w:val="en-US"/>
        </w:rPr>
        <w:t xml:space="preserve"> </w:t>
      </w:r>
    </w:p>
    <w:p w14:paraId="022FB804" w14:textId="77777777" w:rsidR="00E56E65" w:rsidRDefault="00E56E65" w:rsidP="00E56E65">
      <w:pPr>
        <w:spacing w:line="360" w:lineRule="auto"/>
        <w:jc w:val="both"/>
        <w:rPr>
          <w:rFonts w:ascii="Arial" w:eastAsiaTheme="minorHAnsi" w:hAnsi="Arial" w:cs="Arial"/>
          <w:sz w:val="22"/>
          <w:szCs w:val="22"/>
          <w:lang w:val="en-US"/>
        </w:rPr>
      </w:pPr>
      <w:r>
        <w:rPr>
          <w:rFonts w:ascii="Arial" w:eastAsiaTheme="minorHAnsi" w:hAnsi="Arial" w:cs="Arial"/>
          <w:sz w:val="22"/>
          <w:szCs w:val="22"/>
          <w:lang w:val="en-US"/>
        </w:rPr>
        <w:t>Mechanical l</w:t>
      </w:r>
      <w:r w:rsidRPr="004D06C6">
        <w:rPr>
          <w:rFonts w:ascii="Arial" w:eastAsiaTheme="minorHAnsi" w:hAnsi="Arial" w:cs="Arial"/>
          <w:sz w:val="22"/>
          <w:szCs w:val="22"/>
          <w:lang w:val="en-US"/>
        </w:rPr>
        <w:t>oading induc</w:t>
      </w:r>
      <w:r>
        <w:rPr>
          <w:rFonts w:ascii="Arial" w:eastAsiaTheme="minorHAnsi" w:hAnsi="Arial" w:cs="Arial"/>
          <w:sz w:val="22"/>
          <w:szCs w:val="22"/>
          <w:lang w:val="en-US"/>
        </w:rPr>
        <w:t xml:space="preserve">ed significant increase in trabecular BV/TV and decrease in Tb.Pf </w:t>
      </w:r>
      <w:r w:rsidRPr="004D06C6">
        <w:rPr>
          <w:rFonts w:ascii="Arial" w:eastAsiaTheme="minorHAnsi" w:hAnsi="Arial" w:cs="Arial"/>
          <w:sz w:val="22"/>
          <w:szCs w:val="22"/>
          <w:lang w:val="en-US"/>
        </w:rPr>
        <w:t>in</w:t>
      </w:r>
      <w:r>
        <w:rPr>
          <w:rFonts w:ascii="Arial" w:eastAsiaTheme="minorHAnsi" w:hAnsi="Arial" w:cs="Arial"/>
          <w:sz w:val="22"/>
          <w:szCs w:val="22"/>
          <w:lang w:val="en-US"/>
        </w:rPr>
        <w:t xml:space="preserve"> the</w:t>
      </w:r>
      <w:r w:rsidRPr="004D06C6">
        <w:rPr>
          <w:rFonts w:ascii="Arial" w:eastAsiaTheme="minorHAnsi" w:hAnsi="Arial" w:cs="Arial"/>
          <w:sz w:val="22"/>
          <w:szCs w:val="22"/>
          <w:lang w:val="en-US"/>
        </w:rPr>
        <w:t xml:space="preserve"> right loaded tibiae compared wi</w:t>
      </w:r>
      <w:r>
        <w:rPr>
          <w:rFonts w:ascii="Arial" w:eastAsiaTheme="minorHAnsi" w:hAnsi="Arial" w:cs="Arial"/>
          <w:sz w:val="22"/>
          <w:szCs w:val="22"/>
          <w:lang w:val="en-US"/>
        </w:rPr>
        <w:t xml:space="preserve">th the left unloaded tibiae </w:t>
      </w:r>
      <w:r w:rsidRPr="004D06C6">
        <w:rPr>
          <w:rFonts w:ascii="Arial" w:eastAsiaTheme="minorHAnsi" w:hAnsi="Arial" w:cs="Arial"/>
          <w:sz w:val="22"/>
          <w:szCs w:val="22"/>
          <w:lang w:val="en-US"/>
        </w:rPr>
        <w:t xml:space="preserve">in </w:t>
      </w:r>
      <w:r w:rsidR="00092BC6">
        <w:rPr>
          <w:rFonts w:ascii="Arial" w:eastAsiaTheme="minorHAnsi" w:hAnsi="Arial" w:cs="Arial"/>
          <w:sz w:val="22"/>
          <w:szCs w:val="22"/>
          <w:lang w:val="en-US"/>
        </w:rPr>
        <w:t>fed and fasted 1-</w:t>
      </w:r>
      <w:r>
        <w:rPr>
          <w:rFonts w:ascii="Arial" w:eastAsiaTheme="minorHAnsi" w:hAnsi="Arial" w:cs="Arial"/>
          <w:sz w:val="22"/>
          <w:szCs w:val="22"/>
          <w:lang w:val="en-US"/>
        </w:rPr>
        <w:t xml:space="preserve">hour fed mice  (A, C), </w:t>
      </w:r>
      <w:r w:rsidRPr="002E0EF7">
        <w:rPr>
          <w:rFonts w:ascii="Arial" w:hAnsi="Arial"/>
          <w:bCs/>
          <w:sz w:val="22"/>
          <w:szCs w:val="22"/>
          <w:lang w:val="en-US"/>
        </w:rPr>
        <w:t xml:space="preserve">but there were no </w:t>
      </w:r>
      <w:r>
        <w:rPr>
          <w:rFonts w:ascii="Arial" w:hAnsi="Arial"/>
          <w:bCs/>
          <w:sz w:val="22"/>
          <w:szCs w:val="22"/>
          <w:lang w:val="en-US"/>
        </w:rPr>
        <w:t xml:space="preserve">significant </w:t>
      </w:r>
      <w:r w:rsidRPr="002E0EF7">
        <w:rPr>
          <w:rFonts w:ascii="Arial" w:hAnsi="Arial"/>
          <w:bCs/>
          <w:sz w:val="22"/>
          <w:szCs w:val="22"/>
          <w:lang w:val="en-US"/>
        </w:rPr>
        <w:t>differences between the two groups</w:t>
      </w:r>
      <w:r w:rsidRPr="002E0EF7">
        <w:rPr>
          <w:rFonts w:ascii="Arial" w:eastAsiaTheme="minorHAnsi" w:hAnsi="Arial" w:cs="Arial"/>
          <w:sz w:val="22"/>
          <w:szCs w:val="22"/>
          <w:lang w:val="en-US"/>
        </w:rPr>
        <w:t>.</w:t>
      </w:r>
      <w:r>
        <w:rPr>
          <w:rFonts w:ascii="Arial" w:eastAsiaTheme="minorHAnsi" w:hAnsi="Arial" w:cs="Arial"/>
          <w:sz w:val="22"/>
          <w:szCs w:val="22"/>
          <w:lang w:val="en-US"/>
        </w:rPr>
        <w:t xml:space="preserve"> There were no significant differences in Tb.N and Tb.Th </w:t>
      </w:r>
      <w:r w:rsidRPr="004D06C6">
        <w:rPr>
          <w:rFonts w:ascii="Arial" w:eastAsiaTheme="minorHAnsi" w:hAnsi="Arial" w:cs="Arial"/>
          <w:sz w:val="22"/>
          <w:szCs w:val="22"/>
          <w:lang w:val="en-US"/>
        </w:rPr>
        <w:t>measured within and between the experimental groups</w:t>
      </w:r>
      <w:r>
        <w:rPr>
          <w:rFonts w:ascii="Arial" w:eastAsiaTheme="minorHAnsi" w:hAnsi="Arial" w:cs="Arial"/>
          <w:sz w:val="22"/>
          <w:szCs w:val="22"/>
          <w:lang w:val="en-US"/>
        </w:rPr>
        <w:t xml:space="preserve"> (B, D). </w:t>
      </w:r>
    </w:p>
    <w:p w14:paraId="7BB31C75" w14:textId="77777777" w:rsidR="00E56E65" w:rsidRPr="00EE5EEB" w:rsidRDefault="00E56E65" w:rsidP="00E56E65">
      <w:pPr>
        <w:spacing w:line="360" w:lineRule="auto"/>
        <w:jc w:val="both"/>
        <w:rPr>
          <w:rFonts w:ascii="Arial" w:eastAsiaTheme="minorHAnsi" w:hAnsi="Arial" w:cs="Arial"/>
          <w:sz w:val="22"/>
          <w:szCs w:val="22"/>
          <w:lang w:val="en-US"/>
        </w:rPr>
      </w:pPr>
      <w:r>
        <w:rPr>
          <w:rFonts w:ascii="Arial" w:eastAsiaTheme="minorHAnsi" w:hAnsi="Arial" w:cs="Arial"/>
          <w:sz w:val="22"/>
          <w:szCs w:val="22"/>
          <w:lang w:val="en-US"/>
        </w:rPr>
        <w:t>Bars represent mean</w:t>
      </w:r>
      <w:r w:rsidRPr="004D06C6">
        <w:rPr>
          <w:rFonts w:ascii="Arial" w:eastAsia="MS Gothic" w:hAnsi="Arial" w:cs="Arial"/>
          <w:sz w:val="22"/>
          <w:szCs w:val="22"/>
        </w:rPr>
        <w:t>±</w:t>
      </w:r>
      <w:r w:rsidRPr="004D06C6">
        <w:rPr>
          <w:rFonts w:ascii="Arial" w:eastAsiaTheme="minorHAnsi" w:hAnsi="Arial" w:cs="Arial"/>
          <w:sz w:val="22"/>
          <w:szCs w:val="22"/>
          <w:lang w:val="en-US"/>
        </w:rPr>
        <w:t xml:space="preserve">SE. </w:t>
      </w:r>
      <w:r>
        <w:rPr>
          <w:rFonts w:ascii="Arial" w:eastAsiaTheme="minorHAnsi" w:hAnsi="Arial" w:cs="Arial"/>
          <w:sz w:val="22"/>
          <w:szCs w:val="22"/>
          <w:lang w:val="en-US"/>
        </w:rPr>
        <w:t xml:space="preserve">**** </w:t>
      </w:r>
      <w:proofErr w:type="gramStart"/>
      <w:r>
        <w:rPr>
          <w:rFonts w:ascii="Arial" w:eastAsiaTheme="minorHAnsi" w:hAnsi="Arial" w:cs="Arial"/>
          <w:sz w:val="22"/>
          <w:szCs w:val="22"/>
          <w:lang w:val="en-US"/>
        </w:rPr>
        <w:t>p</w:t>
      </w:r>
      <w:proofErr w:type="gramEnd"/>
      <w:r>
        <w:rPr>
          <w:rFonts w:ascii="Arial" w:eastAsiaTheme="minorHAnsi" w:hAnsi="Arial" w:cs="Arial"/>
          <w:sz w:val="22"/>
          <w:szCs w:val="22"/>
          <w:lang w:val="en-US"/>
        </w:rPr>
        <w:t>&lt;0.0001</w:t>
      </w:r>
    </w:p>
    <w:p w14:paraId="2157BEC0" w14:textId="77777777" w:rsidR="00E56E65" w:rsidRDefault="00E56E65" w:rsidP="00E56E65">
      <w:pPr>
        <w:spacing w:line="480" w:lineRule="auto"/>
        <w:jc w:val="both"/>
        <w:rPr>
          <w:rFonts w:ascii="Arial" w:hAnsi="Arial" w:cs="Arial"/>
          <w:b/>
          <w:noProof/>
          <w:color w:val="000000" w:themeColor="text1"/>
        </w:rPr>
      </w:pPr>
    </w:p>
    <w:p w14:paraId="3E3D9B19" w14:textId="77777777" w:rsidR="00E56E65" w:rsidRPr="0097732D" w:rsidRDefault="00E56E65" w:rsidP="0097732D">
      <w:pPr>
        <w:pStyle w:val="Heading3"/>
        <w:spacing w:line="480" w:lineRule="auto"/>
        <w:jc w:val="both"/>
        <w:rPr>
          <w:rFonts w:ascii="Arial" w:hAnsi="Arial" w:cs="Arial"/>
          <w:noProof/>
          <w:color w:val="auto"/>
        </w:rPr>
      </w:pPr>
      <w:bookmarkStart w:id="113" w:name="_Toc383723898"/>
      <w:r w:rsidRPr="0097732D">
        <w:rPr>
          <w:rFonts w:ascii="Arial" w:hAnsi="Arial" w:cs="Arial"/>
          <w:noProof/>
          <w:color w:val="auto"/>
        </w:rPr>
        <w:lastRenderedPageBreak/>
        <w:t xml:space="preserve">4.2.6 The effect of maximal mechanical loading on tibial cortical bone mass and architecture of fed or fasted </w:t>
      </w:r>
      <w:r w:rsidR="00FD2F73">
        <w:rPr>
          <w:rFonts w:ascii="Arial" w:hAnsi="Arial" w:cs="Arial"/>
          <w:noProof/>
          <w:color w:val="auto"/>
        </w:rPr>
        <w:t xml:space="preserve">3-hour fed young </w:t>
      </w:r>
      <w:r w:rsidRPr="0097732D">
        <w:rPr>
          <w:rFonts w:ascii="Arial" w:hAnsi="Arial" w:cs="Arial"/>
          <w:noProof/>
          <w:color w:val="auto"/>
        </w:rPr>
        <w:t>mice</w:t>
      </w:r>
      <w:bookmarkEnd w:id="113"/>
    </w:p>
    <w:p w14:paraId="5C73F5A2" w14:textId="77777777" w:rsidR="00E56E65" w:rsidRDefault="00BE2AB4" w:rsidP="00E56E65">
      <w:pPr>
        <w:spacing w:line="480" w:lineRule="auto"/>
        <w:jc w:val="both"/>
        <w:rPr>
          <w:rFonts w:ascii="Arial" w:hAnsi="Arial" w:cs="Arial"/>
        </w:rPr>
      </w:pPr>
      <w:r w:rsidRPr="00BE2AB4">
        <w:rPr>
          <w:rFonts w:ascii="Arial" w:hAnsi="Arial" w:cs="Arial"/>
          <w:b/>
          <w:i/>
        </w:rPr>
        <w:t>Experimental details:</w:t>
      </w:r>
      <w:r>
        <w:rPr>
          <w:rFonts w:ascii="Arial" w:hAnsi="Arial" w:cs="Arial"/>
        </w:rPr>
        <w:t xml:space="preserve"> </w:t>
      </w:r>
      <w:r w:rsidR="00E56E65">
        <w:rPr>
          <w:rFonts w:ascii="Arial" w:hAnsi="Arial" w:cs="Arial"/>
        </w:rPr>
        <w:t>We next examined the effect of 3 hours prolonged food i</w:t>
      </w:r>
      <w:r w:rsidR="003003B9">
        <w:rPr>
          <w:rFonts w:ascii="Arial" w:hAnsi="Arial" w:cs="Arial"/>
        </w:rPr>
        <w:t xml:space="preserve">ngestion following overnight </w:t>
      </w:r>
      <w:r w:rsidR="00A80DB2">
        <w:rPr>
          <w:rFonts w:ascii="Arial" w:hAnsi="Arial" w:cs="Arial"/>
        </w:rPr>
        <w:t>(1</w:t>
      </w:r>
      <w:r w:rsidR="003003B9">
        <w:rPr>
          <w:rFonts w:ascii="Arial" w:hAnsi="Arial" w:cs="Arial"/>
        </w:rPr>
        <w:t>6-</w:t>
      </w:r>
      <w:r w:rsidR="00A80DB2">
        <w:rPr>
          <w:rFonts w:ascii="Arial" w:hAnsi="Arial" w:cs="Arial"/>
        </w:rPr>
        <w:t>hour)</w:t>
      </w:r>
      <w:r w:rsidR="00E56E65">
        <w:rPr>
          <w:rFonts w:ascii="Arial" w:hAnsi="Arial" w:cs="Arial"/>
        </w:rPr>
        <w:t xml:space="preserve"> fast on bone’s response to 2-week mechanical loading in young male </w:t>
      </w:r>
      <w:r w:rsidR="00A80DB2">
        <w:rPr>
          <w:rFonts w:ascii="Arial" w:hAnsi="Arial" w:cs="Arial"/>
        </w:rPr>
        <w:t xml:space="preserve">C57BL/6 </w:t>
      </w:r>
      <w:r w:rsidR="00E56E65">
        <w:rPr>
          <w:rFonts w:ascii="Arial" w:hAnsi="Arial" w:cs="Arial"/>
        </w:rPr>
        <w:t xml:space="preserve">mice </w:t>
      </w:r>
      <w:r w:rsidR="00A80DB2">
        <w:rPr>
          <w:rFonts w:ascii="Arial" w:hAnsi="Arial" w:cs="Arial"/>
        </w:rPr>
        <w:t xml:space="preserve">in order </w:t>
      </w:r>
      <w:r w:rsidR="00E56E65">
        <w:rPr>
          <w:rFonts w:ascii="Arial" w:hAnsi="Arial" w:cs="Arial"/>
        </w:rPr>
        <w:t xml:space="preserve">to determine whether response of bones to mechanical loading with maximal osteogenic effects was different depending on the timing of food ingestion following </w:t>
      </w:r>
      <w:r w:rsidR="00BC4B12">
        <w:rPr>
          <w:rFonts w:ascii="Arial" w:hAnsi="Arial" w:cs="Arial"/>
        </w:rPr>
        <w:t xml:space="preserve">16-hour </w:t>
      </w:r>
      <w:r w:rsidR="00E56E65">
        <w:rPr>
          <w:rFonts w:ascii="Arial" w:hAnsi="Arial" w:cs="Arial"/>
        </w:rPr>
        <w:t>fa</w:t>
      </w:r>
      <w:r w:rsidR="00BC4B12">
        <w:rPr>
          <w:rFonts w:ascii="Arial" w:hAnsi="Arial" w:cs="Arial"/>
        </w:rPr>
        <w:t>st</w:t>
      </w:r>
      <w:r w:rsidR="00E56E65">
        <w:rPr>
          <w:rFonts w:ascii="Arial" w:hAnsi="Arial" w:cs="Arial"/>
        </w:rPr>
        <w:t xml:space="preserve">. </w:t>
      </w:r>
    </w:p>
    <w:p w14:paraId="67A322BD" w14:textId="77777777" w:rsidR="00E56E65" w:rsidRDefault="00E56E65" w:rsidP="00E56E65">
      <w:pPr>
        <w:spacing w:line="480" w:lineRule="auto"/>
        <w:jc w:val="both"/>
        <w:rPr>
          <w:rFonts w:ascii="Arial" w:hAnsi="Arial" w:cs="Arial"/>
          <w:bCs/>
          <w:lang w:val="en-US"/>
        </w:rPr>
      </w:pPr>
    </w:p>
    <w:p w14:paraId="78789329" w14:textId="77777777" w:rsidR="00E56E65" w:rsidRDefault="00E56E65" w:rsidP="00E56E65">
      <w:pPr>
        <w:spacing w:line="480" w:lineRule="auto"/>
        <w:jc w:val="both"/>
        <w:rPr>
          <w:rFonts w:ascii="Arial" w:hAnsi="Arial" w:cs="Arial"/>
          <w:color w:val="000000" w:themeColor="text1"/>
        </w:rPr>
      </w:pPr>
      <w:r>
        <w:rPr>
          <w:rFonts w:ascii="Arial" w:hAnsi="Arial" w:cs="Arial"/>
          <w:bCs/>
          <w:lang w:val="en-US"/>
        </w:rPr>
        <w:t>As reported in the previous study (section 4.2.4), maximal m</w:t>
      </w:r>
      <w:r w:rsidRPr="00DD07AF">
        <w:rPr>
          <w:rFonts w:ascii="Arial" w:hAnsi="Arial" w:cs="Arial"/>
          <w:bCs/>
          <w:lang w:val="en-US"/>
        </w:rPr>
        <w:t>echanical loading cause</w:t>
      </w:r>
      <w:r>
        <w:rPr>
          <w:rFonts w:ascii="Arial" w:hAnsi="Arial" w:cs="Arial"/>
          <w:bCs/>
          <w:lang w:val="en-US"/>
        </w:rPr>
        <w:t>d similar significant adaptive response</w:t>
      </w:r>
      <w:r w:rsidRPr="00DD07AF">
        <w:rPr>
          <w:rFonts w:ascii="Arial" w:hAnsi="Arial" w:cs="Arial"/>
          <w:bCs/>
          <w:lang w:val="en-US"/>
        </w:rPr>
        <w:t xml:space="preserve"> in </w:t>
      </w:r>
      <w:r>
        <w:rPr>
          <w:rFonts w:ascii="Arial" w:hAnsi="Arial" w:cs="Arial"/>
          <w:bCs/>
          <w:lang w:val="en-US"/>
        </w:rPr>
        <w:t xml:space="preserve">cortical bone of </w:t>
      </w:r>
      <w:r w:rsidRPr="00DD07AF">
        <w:rPr>
          <w:rFonts w:ascii="Arial" w:hAnsi="Arial" w:cs="Arial"/>
          <w:bCs/>
          <w:lang w:val="en-US"/>
        </w:rPr>
        <w:t xml:space="preserve">loaded right tibiae of mice compared with </w:t>
      </w:r>
      <w:r>
        <w:rPr>
          <w:rFonts w:ascii="Arial" w:hAnsi="Arial" w:cs="Arial"/>
          <w:bCs/>
          <w:lang w:val="en-US"/>
        </w:rPr>
        <w:t>contralateral non-</w:t>
      </w:r>
      <w:r w:rsidRPr="00DD07AF">
        <w:rPr>
          <w:rFonts w:ascii="Arial" w:hAnsi="Arial" w:cs="Arial"/>
          <w:bCs/>
          <w:lang w:val="en-US"/>
        </w:rPr>
        <w:t xml:space="preserve">loaded left </w:t>
      </w:r>
      <w:r>
        <w:rPr>
          <w:rFonts w:ascii="Arial" w:hAnsi="Arial" w:cs="Arial"/>
          <w:bCs/>
          <w:lang w:val="en-US"/>
        </w:rPr>
        <w:t>controls.</w:t>
      </w:r>
      <w:r>
        <w:rPr>
          <w:rFonts w:ascii="Arial" w:hAnsi="Arial"/>
          <w:bCs/>
          <w:lang w:val="en-US"/>
        </w:rPr>
        <w:t xml:space="preserve"> However, t</w:t>
      </w:r>
      <w:r w:rsidRPr="004B5544">
        <w:rPr>
          <w:rFonts w:ascii="Arial" w:hAnsi="Arial"/>
          <w:bCs/>
          <w:lang w:val="en-US"/>
        </w:rPr>
        <w:t xml:space="preserve">here were no significant differences in any cortical bone parameters of the </w:t>
      </w:r>
      <w:r>
        <w:rPr>
          <w:rFonts w:ascii="Arial" w:hAnsi="Arial"/>
          <w:bCs/>
          <w:lang w:val="en-US"/>
        </w:rPr>
        <w:t xml:space="preserve">loaded </w:t>
      </w:r>
      <w:r w:rsidRPr="004B5544">
        <w:rPr>
          <w:rFonts w:ascii="Arial" w:hAnsi="Arial"/>
          <w:bCs/>
          <w:lang w:val="en-US"/>
        </w:rPr>
        <w:t>right tibiae between the experimental groups</w:t>
      </w:r>
      <w:r w:rsidRPr="004B5544">
        <w:rPr>
          <w:rFonts w:ascii="Arial" w:hAnsi="Arial"/>
          <w:bCs/>
          <w:i/>
          <w:lang w:val="en-US"/>
        </w:rPr>
        <w:t xml:space="preserve"> </w:t>
      </w:r>
      <w:r w:rsidR="00BC4B12">
        <w:rPr>
          <w:rFonts w:ascii="Arial" w:hAnsi="Arial"/>
          <w:bCs/>
          <w:lang w:val="en-US"/>
        </w:rPr>
        <w:t>(Figure 37</w:t>
      </w:r>
      <w:r w:rsidRPr="004B5544">
        <w:rPr>
          <w:rFonts w:ascii="Arial" w:hAnsi="Arial"/>
          <w:bCs/>
          <w:lang w:val="en-US"/>
        </w:rPr>
        <w:t>).</w:t>
      </w:r>
      <w:r>
        <w:rPr>
          <w:rFonts w:ascii="Arial" w:hAnsi="Arial"/>
          <w:bCs/>
          <w:lang w:val="en-US"/>
        </w:rPr>
        <w:t xml:space="preserve"> </w:t>
      </w:r>
      <w:r>
        <w:rPr>
          <w:rFonts w:ascii="Arial" w:hAnsi="Arial" w:cs="Arial"/>
          <w:color w:val="000000" w:themeColor="text1"/>
        </w:rPr>
        <w:t>The quantitative da</w:t>
      </w:r>
      <w:r w:rsidR="00BC4B12">
        <w:rPr>
          <w:rFonts w:ascii="Arial" w:hAnsi="Arial" w:cs="Arial"/>
          <w:color w:val="000000" w:themeColor="text1"/>
        </w:rPr>
        <w:t>ta are summarised in the Table 5</w:t>
      </w:r>
      <w:r>
        <w:rPr>
          <w:rFonts w:ascii="Arial" w:hAnsi="Arial" w:cs="Arial"/>
          <w:color w:val="000000" w:themeColor="text1"/>
        </w:rPr>
        <w:t xml:space="preserve">. </w:t>
      </w:r>
    </w:p>
    <w:p w14:paraId="44B27851" w14:textId="77777777" w:rsidR="00E56E65" w:rsidRDefault="00E56E65" w:rsidP="00E56E65">
      <w:pPr>
        <w:spacing w:line="480" w:lineRule="auto"/>
        <w:jc w:val="both"/>
        <w:rPr>
          <w:rFonts w:ascii="Arial" w:hAnsi="Arial"/>
          <w:bCs/>
          <w:lang w:val="en-US"/>
        </w:rPr>
      </w:pPr>
    </w:p>
    <w:p w14:paraId="0DBE8EF9" w14:textId="77777777" w:rsidR="00E56E65" w:rsidRPr="003F5DB2" w:rsidRDefault="00E56E65" w:rsidP="00E56E65">
      <w:pPr>
        <w:spacing w:line="480" w:lineRule="auto"/>
        <w:jc w:val="both"/>
        <w:rPr>
          <w:rFonts w:ascii="Arial" w:hAnsi="Arial"/>
          <w:bCs/>
          <w:lang w:val="en-US"/>
        </w:rPr>
      </w:pPr>
      <w:r>
        <w:rPr>
          <w:rFonts w:ascii="Arial" w:hAnsi="Arial"/>
          <w:bCs/>
          <w:lang w:val="en-US"/>
        </w:rPr>
        <w:t xml:space="preserve">Ct.Ar </w:t>
      </w:r>
      <w:r w:rsidRPr="004B5544">
        <w:rPr>
          <w:rFonts w:ascii="Arial" w:hAnsi="Arial"/>
          <w:bCs/>
          <w:lang w:val="en-US"/>
        </w:rPr>
        <w:t xml:space="preserve">significantly increased by </w:t>
      </w:r>
      <w:r>
        <w:rPr>
          <w:rFonts w:ascii="Arial" w:hAnsi="Arial"/>
          <w:bCs/>
          <w:lang w:val="en-US"/>
        </w:rPr>
        <w:t>17</w:t>
      </w:r>
      <w:r w:rsidRPr="004B5544">
        <w:rPr>
          <w:rFonts w:ascii="Arial" w:hAnsi="Arial"/>
          <w:bCs/>
          <w:lang w:val="en-US"/>
        </w:rPr>
        <w:t xml:space="preserve">% in </w:t>
      </w:r>
      <w:r>
        <w:rPr>
          <w:rFonts w:ascii="Arial" w:hAnsi="Arial"/>
          <w:bCs/>
          <w:lang w:val="en-US"/>
        </w:rPr>
        <w:t xml:space="preserve">ad-lib </w:t>
      </w:r>
      <w:r w:rsidRPr="004B5544">
        <w:rPr>
          <w:rFonts w:ascii="Arial" w:hAnsi="Arial"/>
          <w:bCs/>
          <w:lang w:val="en-US"/>
        </w:rPr>
        <w:t>fed</w:t>
      </w:r>
      <w:r>
        <w:rPr>
          <w:rFonts w:ascii="Arial" w:hAnsi="Arial"/>
          <w:bCs/>
          <w:lang w:val="en-US"/>
        </w:rPr>
        <w:t xml:space="preserve"> mice (p&lt;0.001)</w:t>
      </w:r>
      <w:r w:rsidRPr="004B5544">
        <w:rPr>
          <w:rFonts w:ascii="Arial" w:hAnsi="Arial"/>
          <w:bCs/>
          <w:lang w:val="en-US"/>
        </w:rPr>
        <w:t xml:space="preserve"> and </w:t>
      </w:r>
      <w:r>
        <w:rPr>
          <w:rFonts w:ascii="Arial" w:hAnsi="Arial"/>
          <w:bCs/>
          <w:lang w:val="en-US"/>
        </w:rPr>
        <w:t>by 10% in fasted 3</w:t>
      </w:r>
      <w:r w:rsidR="00BD13CB">
        <w:rPr>
          <w:rFonts w:ascii="Arial" w:hAnsi="Arial"/>
          <w:bCs/>
          <w:lang w:val="en-US"/>
        </w:rPr>
        <w:t>-</w:t>
      </w:r>
      <w:r w:rsidRPr="004B5544">
        <w:rPr>
          <w:rFonts w:ascii="Arial" w:hAnsi="Arial"/>
          <w:bCs/>
          <w:lang w:val="en-US"/>
        </w:rPr>
        <w:t xml:space="preserve">hour fed </w:t>
      </w:r>
      <w:r>
        <w:rPr>
          <w:rFonts w:ascii="Arial" w:hAnsi="Arial"/>
          <w:bCs/>
          <w:lang w:val="en-US"/>
        </w:rPr>
        <w:t xml:space="preserve">mice (p&lt;0.01) </w:t>
      </w:r>
      <w:r w:rsidRPr="004B5544">
        <w:rPr>
          <w:rFonts w:ascii="Arial" w:hAnsi="Arial"/>
          <w:bCs/>
          <w:lang w:val="en-US"/>
        </w:rPr>
        <w:t xml:space="preserve">compared with the left </w:t>
      </w:r>
      <w:r>
        <w:rPr>
          <w:rFonts w:ascii="Arial" w:hAnsi="Arial"/>
          <w:bCs/>
          <w:lang w:val="en-US"/>
        </w:rPr>
        <w:t xml:space="preserve">non-loaded </w:t>
      </w:r>
      <w:r w:rsidRPr="004B5544">
        <w:rPr>
          <w:rFonts w:ascii="Arial" w:hAnsi="Arial"/>
          <w:bCs/>
          <w:lang w:val="en-US"/>
        </w:rPr>
        <w:t>tib</w:t>
      </w:r>
      <w:r>
        <w:rPr>
          <w:rFonts w:ascii="Arial" w:hAnsi="Arial"/>
          <w:bCs/>
          <w:lang w:val="en-US"/>
        </w:rPr>
        <w:t>iae</w:t>
      </w:r>
      <w:r w:rsidR="003F5DB2">
        <w:rPr>
          <w:rFonts w:ascii="Arial" w:hAnsi="Arial"/>
          <w:bCs/>
          <w:lang w:val="en-US"/>
        </w:rPr>
        <w:t xml:space="preserve"> (Figure 37A</w:t>
      </w:r>
      <w:r w:rsidR="003F5DB2" w:rsidRPr="004B5544">
        <w:rPr>
          <w:rFonts w:ascii="Arial" w:hAnsi="Arial"/>
          <w:bCs/>
          <w:lang w:val="en-US"/>
        </w:rPr>
        <w:t>)</w:t>
      </w:r>
      <w:r>
        <w:rPr>
          <w:rFonts w:ascii="Arial" w:hAnsi="Arial"/>
          <w:bCs/>
          <w:lang w:val="en-US"/>
        </w:rPr>
        <w:t xml:space="preserve">, whereas Ct.Th </w:t>
      </w:r>
      <w:r w:rsidRPr="004B5544">
        <w:rPr>
          <w:rFonts w:ascii="Arial" w:hAnsi="Arial"/>
          <w:bCs/>
          <w:lang w:val="en-US"/>
        </w:rPr>
        <w:t xml:space="preserve">of the right tibiae significantly increased by </w:t>
      </w:r>
      <w:r>
        <w:rPr>
          <w:rFonts w:ascii="Arial" w:hAnsi="Arial"/>
          <w:bCs/>
          <w:lang w:val="en-US"/>
        </w:rPr>
        <w:t>17</w:t>
      </w:r>
      <w:r w:rsidRPr="004B5544">
        <w:rPr>
          <w:rFonts w:ascii="Arial" w:hAnsi="Arial"/>
          <w:bCs/>
          <w:lang w:val="en-US"/>
        </w:rPr>
        <w:t xml:space="preserve">% in ad-lib fed mice </w:t>
      </w:r>
      <w:r>
        <w:rPr>
          <w:rFonts w:ascii="Arial" w:hAnsi="Arial"/>
          <w:bCs/>
          <w:lang w:val="en-US"/>
        </w:rPr>
        <w:t>(p&lt;0.0001)</w:t>
      </w:r>
      <w:r w:rsidRPr="004B5544">
        <w:rPr>
          <w:rFonts w:ascii="Arial" w:hAnsi="Arial"/>
          <w:bCs/>
          <w:lang w:val="en-US"/>
        </w:rPr>
        <w:t xml:space="preserve"> and by </w:t>
      </w:r>
      <w:r>
        <w:rPr>
          <w:rFonts w:ascii="Arial" w:hAnsi="Arial"/>
          <w:bCs/>
          <w:lang w:val="en-US"/>
        </w:rPr>
        <w:t>13</w:t>
      </w:r>
      <w:r w:rsidRPr="004B5544">
        <w:rPr>
          <w:rFonts w:ascii="Arial" w:hAnsi="Arial"/>
          <w:bCs/>
          <w:lang w:val="en-US"/>
        </w:rPr>
        <w:t xml:space="preserve">% in fasted </w:t>
      </w:r>
      <w:r w:rsidR="00BD13CB">
        <w:rPr>
          <w:rFonts w:ascii="Arial" w:hAnsi="Arial"/>
          <w:bCs/>
          <w:lang w:val="en-US"/>
        </w:rPr>
        <w:t>3-hour</w:t>
      </w:r>
      <w:r>
        <w:rPr>
          <w:rFonts w:ascii="Arial" w:hAnsi="Arial"/>
          <w:bCs/>
          <w:lang w:val="en-US"/>
        </w:rPr>
        <w:t xml:space="preserve"> </w:t>
      </w:r>
      <w:r w:rsidRPr="004B5544">
        <w:rPr>
          <w:rFonts w:ascii="Arial" w:hAnsi="Arial"/>
          <w:bCs/>
          <w:lang w:val="en-US"/>
        </w:rPr>
        <w:t xml:space="preserve">fed </w:t>
      </w:r>
      <w:r>
        <w:rPr>
          <w:rFonts w:ascii="Arial" w:hAnsi="Arial"/>
          <w:bCs/>
          <w:lang w:val="en-US"/>
        </w:rPr>
        <w:t>mice (p&lt;0.01)</w:t>
      </w:r>
      <w:r w:rsidRPr="004B5544">
        <w:rPr>
          <w:rFonts w:ascii="Arial" w:hAnsi="Arial"/>
          <w:bCs/>
          <w:lang w:val="en-US"/>
        </w:rPr>
        <w:t xml:space="preserve"> </w:t>
      </w:r>
      <w:r>
        <w:rPr>
          <w:rFonts w:ascii="Arial" w:hAnsi="Arial"/>
          <w:bCs/>
          <w:lang w:val="en-US"/>
        </w:rPr>
        <w:t>compared with the left non-loaded</w:t>
      </w:r>
      <w:r w:rsidRPr="004B5544">
        <w:rPr>
          <w:rFonts w:ascii="Arial" w:hAnsi="Arial"/>
          <w:bCs/>
          <w:lang w:val="en-US"/>
        </w:rPr>
        <w:t xml:space="preserve"> controls</w:t>
      </w:r>
      <w:r w:rsidR="003F5DB2">
        <w:rPr>
          <w:rFonts w:ascii="Arial" w:hAnsi="Arial"/>
          <w:bCs/>
          <w:lang w:val="en-US"/>
        </w:rPr>
        <w:t xml:space="preserve"> (Figure 37D</w:t>
      </w:r>
      <w:r w:rsidR="003F5DB2" w:rsidRPr="004B5544">
        <w:rPr>
          <w:rFonts w:ascii="Arial" w:hAnsi="Arial"/>
          <w:bCs/>
          <w:lang w:val="en-US"/>
        </w:rPr>
        <w:t>)</w:t>
      </w:r>
      <w:r w:rsidRPr="00767637">
        <w:rPr>
          <w:rFonts w:ascii="Arial" w:hAnsi="Arial"/>
          <w:bCs/>
          <w:i/>
          <w:lang w:val="en-US"/>
        </w:rPr>
        <w:t xml:space="preserve">. </w:t>
      </w:r>
      <w:r w:rsidRPr="006F5CCD">
        <w:rPr>
          <w:rFonts w:ascii="Arial" w:hAnsi="Arial" w:cs="Arial"/>
          <w:color w:val="000000" w:themeColor="text1"/>
        </w:rPr>
        <w:t>Tt.Ar</w:t>
      </w:r>
      <w:r w:rsidRPr="00767637">
        <w:rPr>
          <w:rFonts w:ascii="Arial" w:hAnsi="Arial" w:cs="Arial"/>
          <w:i/>
          <w:color w:val="000000" w:themeColor="text1"/>
        </w:rPr>
        <w:t xml:space="preserve"> </w:t>
      </w:r>
      <w:r>
        <w:rPr>
          <w:rFonts w:ascii="Arial" w:hAnsi="Arial" w:cs="Arial"/>
          <w:color w:val="000000" w:themeColor="text1"/>
        </w:rPr>
        <w:t xml:space="preserve">increased </w:t>
      </w:r>
      <w:r w:rsidRPr="006F5CCD">
        <w:rPr>
          <w:rFonts w:ascii="Arial" w:hAnsi="Arial" w:cs="Arial"/>
          <w:color w:val="000000" w:themeColor="text1"/>
        </w:rPr>
        <w:t>and Ma.Ar</w:t>
      </w:r>
      <w:r>
        <w:rPr>
          <w:rFonts w:ascii="Arial" w:hAnsi="Arial" w:cs="Arial"/>
          <w:color w:val="000000" w:themeColor="text1"/>
        </w:rPr>
        <w:t xml:space="preserve"> decreased in the right tibiae of fed mice and those that were fed for 3 hours following overnight fast, but not significantly from the left c</w:t>
      </w:r>
      <w:r w:rsidR="003F5DB2">
        <w:rPr>
          <w:rFonts w:ascii="Arial" w:hAnsi="Arial" w:cs="Arial"/>
          <w:color w:val="000000" w:themeColor="text1"/>
        </w:rPr>
        <w:t>ontrol tibiae (p&gt;0.05), Figure 37B, C</w:t>
      </w:r>
      <w:r>
        <w:rPr>
          <w:rFonts w:ascii="Arial" w:hAnsi="Arial" w:cs="Arial"/>
          <w:color w:val="000000" w:themeColor="text1"/>
        </w:rPr>
        <w:t>.</w:t>
      </w:r>
    </w:p>
    <w:p w14:paraId="627FAE3D" w14:textId="77777777" w:rsidR="00E56E65" w:rsidRDefault="00E56E65" w:rsidP="00E56E65">
      <w:pPr>
        <w:spacing w:line="480" w:lineRule="auto"/>
        <w:jc w:val="both"/>
        <w:rPr>
          <w:rFonts w:ascii="Arial" w:hAnsi="Arial"/>
          <w:bCs/>
          <w:lang w:val="en-US"/>
        </w:rPr>
      </w:pPr>
    </w:p>
    <w:p w14:paraId="574C3473" w14:textId="77777777" w:rsidR="00E56E65" w:rsidRDefault="00E56E65" w:rsidP="00E56E65">
      <w:pPr>
        <w:spacing w:line="360" w:lineRule="auto"/>
        <w:jc w:val="both"/>
        <w:rPr>
          <w:rFonts w:ascii="Arial" w:hAnsi="Arial" w:cs="Arial"/>
          <w:b/>
          <w:color w:val="1F497D" w:themeColor="text2"/>
        </w:rPr>
      </w:pPr>
    </w:p>
    <w:p w14:paraId="2184F4E6" w14:textId="77777777" w:rsidR="00E56E65" w:rsidRDefault="00E56E65" w:rsidP="00E56E65">
      <w:pPr>
        <w:spacing w:line="360" w:lineRule="auto"/>
        <w:jc w:val="both"/>
        <w:rPr>
          <w:rFonts w:ascii="Arial" w:hAnsi="Arial" w:cs="Arial"/>
          <w:b/>
          <w:color w:val="1F497D" w:themeColor="text2"/>
        </w:rPr>
      </w:pPr>
    </w:p>
    <w:p w14:paraId="04B3DC39" w14:textId="77777777" w:rsidR="00E56E65" w:rsidRDefault="00E56E65" w:rsidP="00E56E65">
      <w:pPr>
        <w:spacing w:line="360" w:lineRule="auto"/>
        <w:jc w:val="both"/>
        <w:rPr>
          <w:rFonts w:ascii="Arial" w:hAnsi="Arial" w:cs="Arial"/>
          <w:b/>
          <w:color w:val="1F497D" w:themeColor="text2"/>
        </w:rPr>
      </w:pPr>
    </w:p>
    <w:p w14:paraId="031420D2" w14:textId="77777777" w:rsidR="00E56E65" w:rsidRDefault="00E56E65" w:rsidP="00E56E65">
      <w:pPr>
        <w:spacing w:line="360" w:lineRule="auto"/>
        <w:jc w:val="both"/>
        <w:rPr>
          <w:rFonts w:ascii="Arial" w:hAnsi="Arial" w:cs="Arial"/>
          <w:b/>
          <w:color w:val="1F497D" w:themeColor="text2"/>
        </w:rPr>
      </w:pPr>
    </w:p>
    <w:p w14:paraId="363BCEEA" w14:textId="77777777" w:rsidR="00E56E65" w:rsidRDefault="00E56E65" w:rsidP="00E56E65">
      <w:pPr>
        <w:spacing w:line="360" w:lineRule="auto"/>
        <w:jc w:val="both"/>
        <w:rPr>
          <w:rFonts w:ascii="Arial" w:hAnsi="Arial" w:cs="Arial"/>
          <w:b/>
          <w:color w:val="1F497D" w:themeColor="text2"/>
        </w:rPr>
      </w:pPr>
    </w:p>
    <w:p w14:paraId="2F7DAA72" w14:textId="77777777" w:rsidR="00E56E65" w:rsidRDefault="00E56E65" w:rsidP="00E56E65">
      <w:pPr>
        <w:spacing w:line="360" w:lineRule="auto"/>
        <w:jc w:val="both"/>
        <w:rPr>
          <w:rFonts w:ascii="Arial" w:eastAsiaTheme="minorHAnsi" w:hAnsi="Arial" w:cs="Arial"/>
          <w:b/>
          <w:bCs/>
          <w:color w:val="000000" w:themeColor="text1"/>
          <w:lang w:val="en-US"/>
        </w:rPr>
      </w:pPr>
    </w:p>
    <w:p w14:paraId="0300B42E" w14:textId="77777777" w:rsidR="00BC4B12" w:rsidRPr="004632C8" w:rsidRDefault="00BC4B12" w:rsidP="004632C8">
      <w:pPr>
        <w:pStyle w:val="Caption"/>
        <w:spacing w:line="360" w:lineRule="auto"/>
        <w:jc w:val="both"/>
        <w:rPr>
          <w:rFonts w:ascii="Arial" w:hAnsi="Arial"/>
          <w:color w:val="244061" w:themeColor="accent1" w:themeShade="80"/>
          <w:sz w:val="24"/>
          <w:szCs w:val="24"/>
        </w:rPr>
      </w:pPr>
      <w:bookmarkStart w:id="114" w:name="_Toc383545831"/>
      <w:r w:rsidRPr="004632C8">
        <w:rPr>
          <w:rFonts w:ascii="Arial" w:hAnsi="Arial"/>
          <w:color w:val="244061" w:themeColor="accent1" w:themeShade="80"/>
          <w:sz w:val="24"/>
          <w:szCs w:val="24"/>
        </w:rPr>
        <w:lastRenderedPageBreak/>
        <w:t xml:space="preserve">Table </w:t>
      </w:r>
      <w:r w:rsidRPr="004632C8">
        <w:rPr>
          <w:rFonts w:ascii="Arial" w:hAnsi="Arial"/>
          <w:color w:val="244061" w:themeColor="accent1" w:themeShade="80"/>
          <w:sz w:val="24"/>
          <w:szCs w:val="24"/>
        </w:rPr>
        <w:fldChar w:fldCharType="begin"/>
      </w:r>
      <w:r w:rsidRPr="004632C8">
        <w:rPr>
          <w:rFonts w:ascii="Arial" w:hAnsi="Arial"/>
          <w:color w:val="244061" w:themeColor="accent1" w:themeShade="80"/>
          <w:sz w:val="24"/>
          <w:szCs w:val="24"/>
        </w:rPr>
        <w:instrText xml:space="preserve"> SEQ Table \* ARABIC </w:instrText>
      </w:r>
      <w:r w:rsidRPr="004632C8">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w:t>
      </w:r>
      <w:r w:rsidRPr="004632C8">
        <w:rPr>
          <w:rFonts w:ascii="Arial" w:hAnsi="Arial"/>
          <w:color w:val="244061" w:themeColor="accent1" w:themeShade="80"/>
          <w:sz w:val="24"/>
          <w:szCs w:val="24"/>
        </w:rPr>
        <w:fldChar w:fldCharType="end"/>
      </w:r>
      <w:r w:rsidRPr="004632C8">
        <w:rPr>
          <w:rFonts w:ascii="Arial" w:hAnsi="Arial"/>
          <w:color w:val="244061" w:themeColor="accent1" w:themeShade="80"/>
          <w:sz w:val="24"/>
          <w:szCs w:val="24"/>
        </w:rPr>
        <w:t xml:space="preserve"> Quantitative results of </w:t>
      </w:r>
      <w:r w:rsidRPr="004632C8">
        <w:rPr>
          <w:rFonts w:ascii="Arial" w:hAnsi="Arial"/>
          <w:color w:val="244061" w:themeColor="accent1" w:themeShade="80"/>
          <w:sz w:val="24"/>
          <w:szCs w:val="24"/>
        </w:rPr>
        <w:sym w:font="Symbol" w:char="F06D"/>
      </w:r>
      <w:r w:rsidRPr="004632C8">
        <w:rPr>
          <w:rFonts w:ascii="Arial" w:hAnsi="Arial"/>
          <w:color w:val="244061" w:themeColor="accent1" w:themeShade="80"/>
          <w:sz w:val="24"/>
          <w:szCs w:val="24"/>
        </w:rPr>
        <w:t xml:space="preserve">CT analysis of tibial cortical </w:t>
      </w:r>
      <w:r w:rsidR="003752BE">
        <w:rPr>
          <w:rFonts w:ascii="Arial" w:hAnsi="Arial"/>
          <w:color w:val="244061" w:themeColor="accent1" w:themeShade="80"/>
          <w:sz w:val="24"/>
          <w:szCs w:val="24"/>
        </w:rPr>
        <w:t xml:space="preserve">and trabecular </w:t>
      </w:r>
      <w:r w:rsidRPr="004632C8">
        <w:rPr>
          <w:rFonts w:ascii="Arial" w:hAnsi="Arial"/>
          <w:color w:val="244061" w:themeColor="accent1" w:themeShade="80"/>
          <w:sz w:val="24"/>
          <w:szCs w:val="24"/>
        </w:rPr>
        <w:t>bone parameters after maximal mechanical loading of fed or fed for 3 h</w:t>
      </w:r>
      <w:r w:rsidR="00D37612">
        <w:rPr>
          <w:rFonts w:ascii="Arial" w:hAnsi="Arial"/>
          <w:color w:val="244061" w:themeColor="accent1" w:themeShade="80"/>
          <w:sz w:val="24"/>
          <w:szCs w:val="24"/>
        </w:rPr>
        <w:t>ours following overnight fast</w:t>
      </w:r>
      <w:r w:rsidRPr="004632C8">
        <w:rPr>
          <w:rFonts w:ascii="Arial" w:hAnsi="Arial"/>
          <w:color w:val="244061" w:themeColor="accent1" w:themeShade="80"/>
          <w:sz w:val="24"/>
          <w:szCs w:val="24"/>
        </w:rPr>
        <w:t xml:space="preserve"> young male mice</w:t>
      </w:r>
      <w:bookmarkEnd w:id="114"/>
    </w:p>
    <w:p w14:paraId="4D0CF73E" w14:textId="77777777" w:rsidR="00BC4B12" w:rsidRDefault="00BC4B12" w:rsidP="00BC4B12">
      <w:pPr>
        <w:pStyle w:val="Caption"/>
        <w:keepNext/>
      </w:pPr>
    </w:p>
    <w:tbl>
      <w:tblPr>
        <w:tblW w:w="9889" w:type="dxa"/>
        <w:tblBorders>
          <w:top w:val="single" w:sz="4" w:space="0" w:color="auto"/>
        </w:tblBorders>
        <w:tblLayout w:type="fixed"/>
        <w:tblLook w:val="04A0" w:firstRow="1" w:lastRow="0" w:firstColumn="1" w:lastColumn="0" w:noHBand="0" w:noVBand="1"/>
      </w:tblPr>
      <w:tblGrid>
        <w:gridCol w:w="1951"/>
        <w:gridCol w:w="1418"/>
        <w:gridCol w:w="1559"/>
        <w:gridCol w:w="992"/>
        <w:gridCol w:w="1418"/>
        <w:gridCol w:w="1559"/>
        <w:gridCol w:w="992"/>
      </w:tblGrid>
      <w:tr w:rsidR="00E56E65" w14:paraId="685EF7F7" w14:textId="77777777" w:rsidTr="00E56E65">
        <w:tc>
          <w:tcPr>
            <w:tcW w:w="1951" w:type="dxa"/>
          </w:tcPr>
          <w:p w14:paraId="0575D7A7" w14:textId="77777777" w:rsidR="00E56E65" w:rsidRPr="00946100" w:rsidRDefault="00E56E65" w:rsidP="00E56E65">
            <w:pPr>
              <w:spacing w:line="480" w:lineRule="auto"/>
              <w:jc w:val="center"/>
              <w:rPr>
                <w:rFonts w:ascii="Arial" w:hAnsi="Arial" w:cs="Arial"/>
                <w:sz w:val="22"/>
                <w:szCs w:val="22"/>
              </w:rPr>
            </w:pPr>
          </w:p>
        </w:tc>
        <w:tc>
          <w:tcPr>
            <w:tcW w:w="3969" w:type="dxa"/>
            <w:gridSpan w:val="3"/>
            <w:tcBorders>
              <w:bottom w:val="single" w:sz="4" w:space="0" w:color="auto"/>
              <w:right w:val="single" w:sz="4" w:space="0" w:color="auto"/>
            </w:tcBorders>
          </w:tcPr>
          <w:p w14:paraId="14DEC8C9"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Fed</w:t>
            </w:r>
          </w:p>
        </w:tc>
        <w:tc>
          <w:tcPr>
            <w:tcW w:w="3969" w:type="dxa"/>
            <w:gridSpan w:val="3"/>
            <w:tcBorders>
              <w:top w:val="single" w:sz="4" w:space="0" w:color="auto"/>
              <w:left w:val="single" w:sz="4" w:space="0" w:color="auto"/>
              <w:bottom w:val="nil"/>
            </w:tcBorders>
          </w:tcPr>
          <w:p w14:paraId="41C97374" w14:textId="77777777" w:rsidR="00E56E65" w:rsidRPr="00946100" w:rsidRDefault="00E56E65" w:rsidP="00E56E65">
            <w:pPr>
              <w:tabs>
                <w:tab w:val="left" w:pos="1328"/>
              </w:tabs>
              <w:spacing w:line="480" w:lineRule="auto"/>
              <w:jc w:val="center"/>
              <w:rPr>
                <w:rFonts w:ascii="Arial" w:hAnsi="Arial" w:cs="Arial"/>
                <w:sz w:val="22"/>
                <w:szCs w:val="22"/>
              </w:rPr>
            </w:pPr>
            <w:r w:rsidRPr="00946100">
              <w:rPr>
                <w:rFonts w:ascii="Arial" w:hAnsi="Arial" w:cs="Arial"/>
                <w:b/>
                <w:color w:val="000000"/>
                <w:sz w:val="22"/>
                <w:szCs w:val="22"/>
              </w:rPr>
              <w:t>Fasted Fed 2hrs</w:t>
            </w:r>
          </w:p>
        </w:tc>
      </w:tr>
      <w:tr w:rsidR="00E56E65" w14:paraId="2D4037D1" w14:textId="77777777" w:rsidTr="00E56E65">
        <w:tc>
          <w:tcPr>
            <w:tcW w:w="1951" w:type="dxa"/>
            <w:tcBorders>
              <w:bottom w:val="single" w:sz="4" w:space="0" w:color="auto"/>
            </w:tcBorders>
          </w:tcPr>
          <w:p w14:paraId="1E5B9BDE" w14:textId="77777777" w:rsidR="00E56E65" w:rsidRPr="00946100" w:rsidRDefault="00E56E65" w:rsidP="00E56E65">
            <w:pPr>
              <w:spacing w:line="480" w:lineRule="auto"/>
              <w:jc w:val="center"/>
              <w:rPr>
                <w:rFonts w:ascii="Arial" w:hAnsi="Arial" w:cs="Arial"/>
                <w:sz w:val="22"/>
                <w:szCs w:val="22"/>
              </w:rPr>
            </w:pPr>
          </w:p>
        </w:tc>
        <w:tc>
          <w:tcPr>
            <w:tcW w:w="1418" w:type="dxa"/>
            <w:tcBorders>
              <w:top w:val="single" w:sz="4" w:space="0" w:color="auto"/>
              <w:bottom w:val="single" w:sz="4" w:space="0" w:color="auto"/>
            </w:tcBorders>
          </w:tcPr>
          <w:p w14:paraId="3B776505" w14:textId="77777777" w:rsidR="00E56E65" w:rsidRPr="00946100" w:rsidRDefault="00E56E65" w:rsidP="00E56E65">
            <w:pPr>
              <w:tabs>
                <w:tab w:val="left" w:pos="704"/>
              </w:tabs>
              <w:spacing w:line="480" w:lineRule="auto"/>
              <w:jc w:val="center"/>
              <w:rPr>
                <w:rFonts w:ascii="Arial" w:hAnsi="Arial" w:cs="Arial"/>
                <w:sz w:val="22"/>
                <w:szCs w:val="22"/>
              </w:rPr>
            </w:pPr>
            <w:r w:rsidRPr="00946100">
              <w:rPr>
                <w:rFonts w:ascii="Arial" w:hAnsi="Arial" w:cs="Arial"/>
                <w:b/>
                <w:color w:val="000000"/>
                <w:sz w:val="22"/>
                <w:szCs w:val="22"/>
              </w:rPr>
              <w:t>Loaded</w:t>
            </w:r>
          </w:p>
        </w:tc>
        <w:tc>
          <w:tcPr>
            <w:tcW w:w="1559" w:type="dxa"/>
            <w:tcBorders>
              <w:top w:val="single" w:sz="4" w:space="0" w:color="auto"/>
              <w:bottom w:val="single" w:sz="4" w:space="0" w:color="auto"/>
            </w:tcBorders>
          </w:tcPr>
          <w:p w14:paraId="6E6B54B1"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Non-loaded</w:t>
            </w:r>
          </w:p>
        </w:tc>
        <w:tc>
          <w:tcPr>
            <w:tcW w:w="992" w:type="dxa"/>
            <w:tcBorders>
              <w:top w:val="nil"/>
              <w:bottom w:val="single" w:sz="4" w:space="0" w:color="auto"/>
              <w:right w:val="single" w:sz="4" w:space="0" w:color="auto"/>
            </w:tcBorders>
          </w:tcPr>
          <w:p w14:paraId="269D0F60" w14:textId="77777777" w:rsidR="00E56E65" w:rsidRPr="00946100" w:rsidRDefault="00E56E65" w:rsidP="00E56E65">
            <w:pPr>
              <w:spacing w:line="480" w:lineRule="auto"/>
              <w:jc w:val="center"/>
              <w:rPr>
                <w:rFonts w:ascii="Arial" w:hAnsi="Arial" w:cs="Arial"/>
                <w:sz w:val="22"/>
                <w:szCs w:val="22"/>
              </w:rPr>
            </w:pPr>
            <w:proofErr w:type="gramStart"/>
            <w:r w:rsidRPr="00946100">
              <w:rPr>
                <w:rFonts w:ascii="Arial" w:hAnsi="Arial" w:cs="Arial"/>
                <w:b/>
                <w:color w:val="000000"/>
                <w:sz w:val="22"/>
                <w:szCs w:val="22"/>
              </w:rPr>
              <w:t>p</w:t>
            </w:r>
            <w:proofErr w:type="gramEnd"/>
            <w:r w:rsidRPr="00946100">
              <w:rPr>
                <w:rFonts w:ascii="Arial" w:hAnsi="Arial" w:cs="Arial"/>
                <w:b/>
                <w:color w:val="000000"/>
                <w:sz w:val="22"/>
                <w:szCs w:val="22"/>
              </w:rPr>
              <w:t xml:space="preserve"> value</w:t>
            </w:r>
          </w:p>
        </w:tc>
        <w:tc>
          <w:tcPr>
            <w:tcW w:w="1418" w:type="dxa"/>
            <w:tcBorders>
              <w:top w:val="single" w:sz="4" w:space="0" w:color="auto"/>
              <w:left w:val="single" w:sz="4" w:space="0" w:color="auto"/>
              <w:bottom w:val="single" w:sz="4" w:space="0" w:color="auto"/>
            </w:tcBorders>
          </w:tcPr>
          <w:p w14:paraId="7263A020"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Loaded</w:t>
            </w:r>
          </w:p>
        </w:tc>
        <w:tc>
          <w:tcPr>
            <w:tcW w:w="1559" w:type="dxa"/>
            <w:tcBorders>
              <w:top w:val="single" w:sz="4" w:space="0" w:color="auto"/>
              <w:bottom w:val="single" w:sz="4" w:space="0" w:color="auto"/>
            </w:tcBorders>
          </w:tcPr>
          <w:p w14:paraId="7302EC0D" w14:textId="77777777" w:rsidR="00E56E65" w:rsidRPr="00946100" w:rsidRDefault="00E56E65" w:rsidP="00E56E65">
            <w:pPr>
              <w:spacing w:line="480" w:lineRule="auto"/>
              <w:jc w:val="center"/>
              <w:rPr>
                <w:rFonts w:ascii="Arial" w:hAnsi="Arial" w:cs="Arial"/>
                <w:sz w:val="22"/>
                <w:szCs w:val="22"/>
              </w:rPr>
            </w:pPr>
            <w:r w:rsidRPr="00946100">
              <w:rPr>
                <w:rFonts w:ascii="Arial" w:hAnsi="Arial" w:cs="Arial"/>
                <w:b/>
                <w:color w:val="000000"/>
                <w:sz w:val="22"/>
                <w:szCs w:val="22"/>
              </w:rPr>
              <w:t>Non-loaded</w:t>
            </w:r>
          </w:p>
        </w:tc>
        <w:tc>
          <w:tcPr>
            <w:tcW w:w="992" w:type="dxa"/>
            <w:tcBorders>
              <w:top w:val="single" w:sz="4" w:space="0" w:color="auto"/>
              <w:bottom w:val="single" w:sz="4" w:space="0" w:color="auto"/>
            </w:tcBorders>
          </w:tcPr>
          <w:p w14:paraId="52269573" w14:textId="77777777" w:rsidR="00E56E65" w:rsidRPr="00946100" w:rsidRDefault="00E56E65" w:rsidP="00E56E65">
            <w:pPr>
              <w:spacing w:line="480" w:lineRule="auto"/>
              <w:jc w:val="center"/>
              <w:rPr>
                <w:rFonts w:ascii="Arial" w:hAnsi="Arial" w:cs="Arial"/>
                <w:sz w:val="22"/>
                <w:szCs w:val="22"/>
              </w:rPr>
            </w:pPr>
            <w:proofErr w:type="gramStart"/>
            <w:r>
              <w:rPr>
                <w:rFonts w:ascii="Arial" w:hAnsi="Arial" w:cs="Arial"/>
                <w:b/>
                <w:color w:val="000000"/>
                <w:sz w:val="22"/>
                <w:szCs w:val="22"/>
              </w:rPr>
              <w:t>p</w:t>
            </w:r>
            <w:proofErr w:type="gramEnd"/>
            <w:r>
              <w:rPr>
                <w:rFonts w:ascii="Arial" w:hAnsi="Arial" w:cs="Arial"/>
                <w:b/>
                <w:color w:val="000000"/>
                <w:sz w:val="22"/>
                <w:szCs w:val="22"/>
              </w:rPr>
              <w:t>-</w:t>
            </w:r>
            <w:r w:rsidRPr="00946100">
              <w:rPr>
                <w:rFonts w:ascii="Arial" w:hAnsi="Arial" w:cs="Arial"/>
                <w:b/>
                <w:color w:val="000000"/>
                <w:sz w:val="22"/>
                <w:szCs w:val="22"/>
              </w:rPr>
              <w:t>value</w:t>
            </w:r>
          </w:p>
        </w:tc>
      </w:tr>
      <w:tr w:rsidR="00E56E65" w14:paraId="363ECA8F" w14:textId="77777777" w:rsidTr="00E56E65">
        <w:tc>
          <w:tcPr>
            <w:tcW w:w="1951" w:type="dxa"/>
            <w:tcBorders>
              <w:top w:val="single" w:sz="4" w:space="0" w:color="auto"/>
            </w:tcBorders>
          </w:tcPr>
          <w:p w14:paraId="13AA1B01" w14:textId="77777777" w:rsidR="00E56E65" w:rsidRPr="00946100" w:rsidRDefault="006475A7" w:rsidP="00E56E65">
            <w:pPr>
              <w:tabs>
                <w:tab w:val="left" w:pos="720"/>
              </w:tabs>
              <w:spacing w:line="480" w:lineRule="auto"/>
              <w:jc w:val="center"/>
              <w:rPr>
                <w:rFonts w:ascii="Arial" w:hAnsi="Arial" w:cs="Arial"/>
                <w:sz w:val="22"/>
                <w:szCs w:val="22"/>
              </w:rPr>
            </w:pPr>
            <w:r w:rsidRPr="00196387">
              <w:rPr>
                <w:rFonts w:ascii="Arial" w:hAnsi="Arial" w:cs="Arial"/>
                <w:b/>
                <w:color w:val="000000"/>
                <w:sz w:val="22"/>
                <w:szCs w:val="22"/>
              </w:rPr>
              <w:t>Cortical bone</w:t>
            </w:r>
          </w:p>
        </w:tc>
        <w:tc>
          <w:tcPr>
            <w:tcW w:w="1418" w:type="dxa"/>
            <w:tcBorders>
              <w:top w:val="single" w:sz="4" w:space="0" w:color="auto"/>
            </w:tcBorders>
          </w:tcPr>
          <w:p w14:paraId="7FDAB32D" w14:textId="77777777" w:rsidR="00E56E65" w:rsidRPr="00946100" w:rsidRDefault="00E56E65" w:rsidP="00E56E65">
            <w:pPr>
              <w:spacing w:line="480" w:lineRule="auto"/>
              <w:jc w:val="center"/>
              <w:rPr>
                <w:rFonts w:ascii="Arial" w:hAnsi="Arial" w:cs="Arial"/>
                <w:sz w:val="22"/>
                <w:szCs w:val="22"/>
              </w:rPr>
            </w:pPr>
          </w:p>
        </w:tc>
        <w:tc>
          <w:tcPr>
            <w:tcW w:w="1559" w:type="dxa"/>
            <w:tcBorders>
              <w:top w:val="single" w:sz="4" w:space="0" w:color="auto"/>
            </w:tcBorders>
          </w:tcPr>
          <w:p w14:paraId="0418BFEF" w14:textId="77777777" w:rsidR="00E56E65" w:rsidRPr="00946100" w:rsidRDefault="00E56E65" w:rsidP="00E56E65">
            <w:pPr>
              <w:spacing w:line="480" w:lineRule="auto"/>
              <w:jc w:val="center"/>
              <w:rPr>
                <w:rFonts w:ascii="Arial" w:hAnsi="Arial" w:cs="Arial"/>
                <w:sz w:val="22"/>
                <w:szCs w:val="22"/>
              </w:rPr>
            </w:pPr>
          </w:p>
        </w:tc>
        <w:tc>
          <w:tcPr>
            <w:tcW w:w="992" w:type="dxa"/>
            <w:tcBorders>
              <w:top w:val="single" w:sz="4" w:space="0" w:color="auto"/>
            </w:tcBorders>
          </w:tcPr>
          <w:p w14:paraId="4487ED98" w14:textId="77777777" w:rsidR="00E56E65" w:rsidRPr="00946100" w:rsidRDefault="00E56E65" w:rsidP="00E56E65">
            <w:pPr>
              <w:spacing w:line="480" w:lineRule="auto"/>
              <w:jc w:val="center"/>
              <w:rPr>
                <w:rFonts w:ascii="Arial" w:hAnsi="Arial" w:cs="Arial"/>
                <w:sz w:val="22"/>
                <w:szCs w:val="22"/>
              </w:rPr>
            </w:pPr>
          </w:p>
        </w:tc>
        <w:tc>
          <w:tcPr>
            <w:tcW w:w="1418" w:type="dxa"/>
            <w:tcBorders>
              <w:top w:val="single" w:sz="4" w:space="0" w:color="auto"/>
            </w:tcBorders>
          </w:tcPr>
          <w:p w14:paraId="2DB2BBC8" w14:textId="77777777" w:rsidR="00E56E65" w:rsidRPr="00946100" w:rsidRDefault="00E56E65" w:rsidP="00E56E65">
            <w:pPr>
              <w:spacing w:line="480" w:lineRule="auto"/>
              <w:jc w:val="center"/>
              <w:rPr>
                <w:rFonts w:ascii="Arial" w:hAnsi="Arial" w:cs="Arial"/>
                <w:sz w:val="22"/>
                <w:szCs w:val="22"/>
              </w:rPr>
            </w:pPr>
          </w:p>
        </w:tc>
        <w:tc>
          <w:tcPr>
            <w:tcW w:w="1559" w:type="dxa"/>
            <w:tcBorders>
              <w:top w:val="single" w:sz="4" w:space="0" w:color="auto"/>
            </w:tcBorders>
          </w:tcPr>
          <w:p w14:paraId="3CDAC026" w14:textId="77777777" w:rsidR="00E56E65" w:rsidRPr="00946100" w:rsidRDefault="00E56E65" w:rsidP="00E56E65">
            <w:pPr>
              <w:spacing w:line="480" w:lineRule="auto"/>
              <w:jc w:val="center"/>
              <w:rPr>
                <w:rFonts w:ascii="Arial" w:hAnsi="Arial" w:cs="Arial"/>
                <w:sz w:val="22"/>
                <w:szCs w:val="22"/>
              </w:rPr>
            </w:pPr>
          </w:p>
        </w:tc>
        <w:tc>
          <w:tcPr>
            <w:tcW w:w="992" w:type="dxa"/>
            <w:tcBorders>
              <w:top w:val="single" w:sz="4" w:space="0" w:color="auto"/>
            </w:tcBorders>
          </w:tcPr>
          <w:p w14:paraId="2F0A3923" w14:textId="77777777" w:rsidR="00E56E65" w:rsidRPr="00946100" w:rsidRDefault="00E56E65" w:rsidP="00E56E65">
            <w:pPr>
              <w:spacing w:line="480" w:lineRule="auto"/>
              <w:jc w:val="center"/>
              <w:rPr>
                <w:rFonts w:ascii="Arial" w:hAnsi="Arial" w:cs="Arial"/>
                <w:sz w:val="22"/>
                <w:szCs w:val="22"/>
              </w:rPr>
            </w:pPr>
          </w:p>
        </w:tc>
      </w:tr>
      <w:tr w:rsidR="006475A7" w14:paraId="3F60C699" w14:textId="77777777" w:rsidTr="00E56E65">
        <w:tc>
          <w:tcPr>
            <w:tcW w:w="1951" w:type="dxa"/>
          </w:tcPr>
          <w:p w14:paraId="21ED976F" w14:textId="77777777" w:rsidR="006475A7" w:rsidRPr="00196387" w:rsidRDefault="006475A7" w:rsidP="00E56E65">
            <w:pPr>
              <w:spacing w:line="480" w:lineRule="auto"/>
              <w:jc w:val="center"/>
              <w:rPr>
                <w:rFonts w:ascii="Arial" w:hAnsi="Arial" w:cs="Arial"/>
                <w:sz w:val="22"/>
                <w:szCs w:val="22"/>
              </w:rPr>
            </w:pPr>
            <w:r w:rsidRPr="00196387">
              <w:rPr>
                <w:rFonts w:ascii="Arial" w:hAnsi="Arial" w:cs="Arial"/>
                <w:color w:val="000000"/>
                <w:sz w:val="22"/>
                <w:szCs w:val="22"/>
              </w:rPr>
              <w:t>Ct.Ar (mm</w:t>
            </w:r>
            <w:r w:rsidRPr="006C2FC2">
              <w:rPr>
                <w:rFonts w:ascii="Arial" w:hAnsi="Arial" w:cs="Arial"/>
                <w:color w:val="000000"/>
                <w:sz w:val="22"/>
                <w:szCs w:val="22"/>
                <w:vertAlign w:val="superscript"/>
              </w:rPr>
              <w:t>2</w:t>
            </w:r>
            <w:r w:rsidRPr="00196387">
              <w:rPr>
                <w:rFonts w:ascii="Arial" w:hAnsi="Arial" w:cs="Arial"/>
                <w:color w:val="000000"/>
                <w:sz w:val="22"/>
                <w:szCs w:val="22"/>
              </w:rPr>
              <w:t>)</w:t>
            </w:r>
          </w:p>
        </w:tc>
        <w:tc>
          <w:tcPr>
            <w:tcW w:w="1418" w:type="dxa"/>
          </w:tcPr>
          <w:p w14:paraId="32D73BBE"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0.77±0.01</w:t>
            </w:r>
          </w:p>
        </w:tc>
        <w:tc>
          <w:tcPr>
            <w:tcW w:w="1559" w:type="dxa"/>
          </w:tcPr>
          <w:p w14:paraId="061BA744"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0.66±0.01</w:t>
            </w:r>
          </w:p>
        </w:tc>
        <w:tc>
          <w:tcPr>
            <w:tcW w:w="992" w:type="dxa"/>
          </w:tcPr>
          <w:p w14:paraId="6DEC9ADD" w14:textId="77777777" w:rsidR="006475A7" w:rsidRPr="00196387" w:rsidRDefault="006475A7" w:rsidP="00E56E65">
            <w:pPr>
              <w:spacing w:line="480" w:lineRule="auto"/>
              <w:jc w:val="center"/>
              <w:rPr>
                <w:rFonts w:ascii="Arial" w:hAnsi="Arial" w:cs="Arial"/>
                <w:sz w:val="22"/>
                <w:szCs w:val="22"/>
              </w:rPr>
            </w:pPr>
            <w:proofErr w:type="gramStart"/>
            <w:r w:rsidRPr="00163A57">
              <w:rPr>
                <w:rFonts w:ascii="Arial" w:hAnsi="Arial" w:cs="Arial"/>
                <w:sz w:val="22"/>
                <w:szCs w:val="22"/>
              </w:rPr>
              <w:t>c</w:t>
            </w:r>
            <w:proofErr w:type="gramEnd"/>
          </w:p>
        </w:tc>
        <w:tc>
          <w:tcPr>
            <w:tcW w:w="1418" w:type="dxa"/>
          </w:tcPr>
          <w:p w14:paraId="28FE1536"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0.75±0.00</w:t>
            </w:r>
            <w:r>
              <w:rPr>
                <w:rFonts w:ascii="Arial" w:hAnsi="Arial" w:cs="Arial"/>
                <w:color w:val="000000"/>
                <w:sz w:val="22"/>
                <w:szCs w:val="22"/>
              </w:rPr>
              <w:t>7</w:t>
            </w:r>
          </w:p>
        </w:tc>
        <w:tc>
          <w:tcPr>
            <w:tcW w:w="1559" w:type="dxa"/>
          </w:tcPr>
          <w:p w14:paraId="36807516"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0.68±0.02</w:t>
            </w:r>
          </w:p>
        </w:tc>
        <w:tc>
          <w:tcPr>
            <w:tcW w:w="992" w:type="dxa"/>
          </w:tcPr>
          <w:p w14:paraId="791896DE" w14:textId="77777777" w:rsidR="006475A7" w:rsidRPr="00196387" w:rsidRDefault="006475A7" w:rsidP="00E56E65">
            <w:pPr>
              <w:spacing w:line="480" w:lineRule="auto"/>
              <w:jc w:val="center"/>
              <w:rPr>
                <w:rFonts w:ascii="Arial" w:hAnsi="Arial" w:cs="Arial"/>
                <w:sz w:val="22"/>
                <w:szCs w:val="22"/>
              </w:rPr>
            </w:pPr>
            <w:proofErr w:type="gramStart"/>
            <w:r>
              <w:rPr>
                <w:rFonts w:ascii="Arial" w:hAnsi="Arial" w:cs="Arial"/>
                <w:sz w:val="22"/>
                <w:szCs w:val="22"/>
              </w:rPr>
              <w:t>b</w:t>
            </w:r>
            <w:proofErr w:type="gramEnd"/>
          </w:p>
        </w:tc>
      </w:tr>
      <w:tr w:rsidR="006475A7" w14:paraId="1F4BCE58" w14:textId="77777777" w:rsidTr="00E56E65">
        <w:tc>
          <w:tcPr>
            <w:tcW w:w="1951" w:type="dxa"/>
          </w:tcPr>
          <w:p w14:paraId="7EAFB079" w14:textId="77777777" w:rsidR="006475A7" w:rsidRPr="00196387" w:rsidRDefault="006475A7" w:rsidP="00E56E65">
            <w:pPr>
              <w:spacing w:line="480" w:lineRule="auto"/>
              <w:jc w:val="center"/>
              <w:rPr>
                <w:rFonts w:ascii="Arial" w:hAnsi="Arial" w:cs="Arial"/>
                <w:sz w:val="22"/>
                <w:szCs w:val="22"/>
              </w:rPr>
            </w:pPr>
            <w:r w:rsidRPr="00196387">
              <w:rPr>
                <w:rFonts w:ascii="Arial" w:hAnsi="Arial" w:cs="Arial"/>
                <w:color w:val="000000"/>
                <w:sz w:val="22"/>
                <w:szCs w:val="22"/>
              </w:rPr>
              <w:t>Tt.Ar (mm</w:t>
            </w:r>
            <w:r w:rsidRPr="006C2FC2">
              <w:rPr>
                <w:rFonts w:ascii="Arial" w:hAnsi="Arial" w:cs="Arial"/>
                <w:color w:val="000000"/>
                <w:sz w:val="22"/>
                <w:szCs w:val="22"/>
                <w:vertAlign w:val="superscript"/>
              </w:rPr>
              <w:t>2</w:t>
            </w:r>
            <w:r w:rsidRPr="00196387">
              <w:rPr>
                <w:rFonts w:ascii="Arial" w:hAnsi="Arial" w:cs="Arial"/>
                <w:color w:val="000000"/>
                <w:sz w:val="22"/>
                <w:szCs w:val="22"/>
              </w:rPr>
              <w:t>)</w:t>
            </w:r>
          </w:p>
        </w:tc>
        <w:tc>
          <w:tcPr>
            <w:tcW w:w="1418" w:type="dxa"/>
          </w:tcPr>
          <w:p w14:paraId="35120A71"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1.23±0.03</w:t>
            </w:r>
          </w:p>
        </w:tc>
        <w:tc>
          <w:tcPr>
            <w:tcW w:w="1559" w:type="dxa"/>
          </w:tcPr>
          <w:p w14:paraId="10276DE4"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1.15±0.03</w:t>
            </w:r>
          </w:p>
        </w:tc>
        <w:tc>
          <w:tcPr>
            <w:tcW w:w="992" w:type="dxa"/>
          </w:tcPr>
          <w:p w14:paraId="53AF7953" w14:textId="77777777" w:rsidR="006475A7" w:rsidRPr="00196387" w:rsidRDefault="006475A7" w:rsidP="00E56E65">
            <w:pPr>
              <w:spacing w:line="480" w:lineRule="auto"/>
              <w:jc w:val="center"/>
              <w:rPr>
                <w:rFonts w:ascii="Arial" w:hAnsi="Arial" w:cs="Arial"/>
                <w:sz w:val="22"/>
                <w:szCs w:val="22"/>
              </w:rPr>
            </w:pPr>
          </w:p>
        </w:tc>
        <w:tc>
          <w:tcPr>
            <w:tcW w:w="1418" w:type="dxa"/>
          </w:tcPr>
          <w:p w14:paraId="0DCE5985"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1.22±0.02</w:t>
            </w:r>
          </w:p>
        </w:tc>
        <w:tc>
          <w:tcPr>
            <w:tcW w:w="1559" w:type="dxa"/>
          </w:tcPr>
          <w:p w14:paraId="404CFA2A"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1.18±0.0</w:t>
            </w:r>
            <w:r>
              <w:rPr>
                <w:rFonts w:ascii="Arial" w:hAnsi="Arial" w:cs="Arial"/>
                <w:color w:val="000000"/>
                <w:sz w:val="22"/>
                <w:szCs w:val="22"/>
              </w:rPr>
              <w:t>3</w:t>
            </w:r>
          </w:p>
        </w:tc>
        <w:tc>
          <w:tcPr>
            <w:tcW w:w="992" w:type="dxa"/>
          </w:tcPr>
          <w:p w14:paraId="6425F599" w14:textId="77777777" w:rsidR="006475A7" w:rsidRPr="00196387" w:rsidRDefault="006475A7" w:rsidP="00E56E65">
            <w:pPr>
              <w:spacing w:line="480" w:lineRule="auto"/>
              <w:jc w:val="center"/>
              <w:rPr>
                <w:rFonts w:ascii="Arial" w:hAnsi="Arial" w:cs="Arial"/>
                <w:sz w:val="22"/>
                <w:szCs w:val="22"/>
              </w:rPr>
            </w:pPr>
          </w:p>
        </w:tc>
      </w:tr>
      <w:tr w:rsidR="006475A7" w14:paraId="5AA43A98" w14:textId="77777777" w:rsidTr="00E56E65">
        <w:tc>
          <w:tcPr>
            <w:tcW w:w="1951" w:type="dxa"/>
          </w:tcPr>
          <w:p w14:paraId="3A37BEB1" w14:textId="77777777" w:rsidR="006475A7" w:rsidRPr="00196387" w:rsidRDefault="006475A7" w:rsidP="00E56E65">
            <w:pPr>
              <w:spacing w:line="480" w:lineRule="auto"/>
              <w:jc w:val="center"/>
              <w:rPr>
                <w:rFonts w:ascii="Arial" w:hAnsi="Arial" w:cs="Arial"/>
                <w:sz w:val="22"/>
                <w:szCs w:val="22"/>
              </w:rPr>
            </w:pPr>
            <w:r w:rsidRPr="00196387">
              <w:rPr>
                <w:rFonts w:ascii="Arial" w:hAnsi="Arial" w:cs="Arial"/>
                <w:color w:val="000000"/>
                <w:sz w:val="22"/>
                <w:szCs w:val="22"/>
              </w:rPr>
              <w:t>Ma.Ar (mm</w:t>
            </w:r>
            <w:r w:rsidRPr="006C2FC2">
              <w:rPr>
                <w:rFonts w:ascii="Arial" w:hAnsi="Arial" w:cs="Arial"/>
                <w:color w:val="000000"/>
                <w:sz w:val="22"/>
                <w:szCs w:val="22"/>
                <w:vertAlign w:val="superscript"/>
              </w:rPr>
              <w:t>2</w:t>
            </w:r>
            <w:r w:rsidRPr="00196387">
              <w:rPr>
                <w:rFonts w:ascii="Arial" w:hAnsi="Arial" w:cs="Arial"/>
                <w:color w:val="000000"/>
                <w:sz w:val="22"/>
                <w:szCs w:val="22"/>
              </w:rPr>
              <w:t>)</w:t>
            </w:r>
          </w:p>
        </w:tc>
        <w:tc>
          <w:tcPr>
            <w:tcW w:w="1418" w:type="dxa"/>
          </w:tcPr>
          <w:p w14:paraId="079B5309"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0.46±0.0</w:t>
            </w:r>
            <w:r>
              <w:rPr>
                <w:rFonts w:ascii="Arial" w:hAnsi="Arial" w:cs="Arial"/>
                <w:color w:val="000000"/>
                <w:sz w:val="22"/>
                <w:szCs w:val="22"/>
              </w:rPr>
              <w:t>3</w:t>
            </w:r>
          </w:p>
        </w:tc>
        <w:tc>
          <w:tcPr>
            <w:tcW w:w="1559" w:type="dxa"/>
          </w:tcPr>
          <w:p w14:paraId="6CCD45BA" w14:textId="77777777" w:rsidR="006475A7" w:rsidRPr="00196387" w:rsidRDefault="006475A7" w:rsidP="00E56E65">
            <w:pPr>
              <w:spacing w:line="480" w:lineRule="auto"/>
              <w:jc w:val="center"/>
              <w:rPr>
                <w:rFonts w:ascii="Arial" w:hAnsi="Arial" w:cs="Arial"/>
                <w:sz w:val="22"/>
                <w:szCs w:val="22"/>
              </w:rPr>
            </w:pPr>
            <w:r>
              <w:rPr>
                <w:rFonts w:ascii="Arial" w:hAnsi="Arial" w:cs="Arial"/>
                <w:color w:val="000000"/>
                <w:sz w:val="22"/>
                <w:szCs w:val="22"/>
              </w:rPr>
              <w:t>0.48</w:t>
            </w:r>
            <w:r w:rsidRPr="00163A57">
              <w:rPr>
                <w:rFonts w:ascii="Arial" w:hAnsi="Arial" w:cs="Arial"/>
                <w:color w:val="000000"/>
                <w:sz w:val="22"/>
                <w:szCs w:val="22"/>
              </w:rPr>
              <w:t>±0.02</w:t>
            </w:r>
          </w:p>
        </w:tc>
        <w:tc>
          <w:tcPr>
            <w:tcW w:w="992" w:type="dxa"/>
          </w:tcPr>
          <w:p w14:paraId="19F8D906" w14:textId="77777777" w:rsidR="006475A7" w:rsidRPr="00196387" w:rsidRDefault="006475A7" w:rsidP="00E56E65">
            <w:pPr>
              <w:spacing w:line="480" w:lineRule="auto"/>
              <w:jc w:val="center"/>
              <w:rPr>
                <w:rFonts w:ascii="Arial" w:hAnsi="Arial" w:cs="Arial"/>
                <w:sz w:val="22"/>
                <w:szCs w:val="22"/>
              </w:rPr>
            </w:pPr>
          </w:p>
        </w:tc>
        <w:tc>
          <w:tcPr>
            <w:tcW w:w="1418" w:type="dxa"/>
          </w:tcPr>
          <w:p w14:paraId="7AAA76BF" w14:textId="77777777" w:rsidR="006475A7" w:rsidRPr="00196387" w:rsidRDefault="006475A7" w:rsidP="00E56E65">
            <w:pPr>
              <w:spacing w:line="480" w:lineRule="auto"/>
              <w:jc w:val="center"/>
              <w:rPr>
                <w:rFonts w:ascii="Arial" w:hAnsi="Arial" w:cs="Arial"/>
                <w:sz w:val="22"/>
                <w:szCs w:val="22"/>
              </w:rPr>
            </w:pPr>
            <w:r>
              <w:rPr>
                <w:rFonts w:ascii="Arial" w:hAnsi="Arial" w:cs="Arial"/>
                <w:color w:val="000000"/>
                <w:sz w:val="22"/>
                <w:szCs w:val="22"/>
              </w:rPr>
              <w:t>0.47</w:t>
            </w:r>
            <w:r w:rsidRPr="00163A57">
              <w:rPr>
                <w:rFonts w:ascii="Arial" w:hAnsi="Arial" w:cs="Arial"/>
                <w:color w:val="000000"/>
                <w:sz w:val="22"/>
                <w:szCs w:val="22"/>
              </w:rPr>
              <w:t>±0.02</w:t>
            </w:r>
          </w:p>
        </w:tc>
        <w:tc>
          <w:tcPr>
            <w:tcW w:w="1559" w:type="dxa"/>
          </w:tcPr>
          <w:p w14:paraId="789A66BC" w14:textId="77777777" w:rsidR="006475A7" w:rsidRPr="00196387" w:rsidRDefault="006475A7" w:rsidP="00E56E65">
            <w:pPr>
              <w:spacing w:line="480" w:lineRule="auto"/>
              <w:jc w:val="center"/>
              <w:rPr>
                <w:rFonts w:ascii="Arial" w:hAnsi="Arial" w:cs="Arial"/>
                <w:sz w:val="22"/>
                <w:szCs w:val="22"/>
              </w:rPr>
            </w:pPr>
            <w:r>
              <w:rPr>
                <w:rFonts w:ascii="Arial" w:hAnsi="Arial" w:cs="Arial"/>
                <w:color w:val="000000"/>
                <w:sz w:val="22"/>
                <w:szCs w:val="22"/>
              </w:rPr>
              <w:t>0.50</w:t>
            </w:r>
            <w:r w:rsidRPr="00163A57">
              <w:rPr>
                <w:rFonts w:ascii="Arial" w:hAnsi="Arial" w:cs="Arial"/>
                <w:color w:val="000000"/>
                <w:sz w:val="22"/>
                <w:szCs w:val="22"/>
              </w:rPr>
              <w:t>±0.0</w:t>
            </w:r>
            <w:r>
              <w:rPr>
                <w:rFonts w:ascii="Arial" w:hAnsi="Arial" w:cs="Arial"/>
                <w:color w:val="000000"/>
                <w:sz w:val="22"/>
                <w:szCs w:val="22"/>
              </w:rPr>
              <w:t>1</w:t>
            </w:r>
          </w:p>
        </w:tc>
        <w:tc>
          <w:tcPr>
            <w:tcW w:w="992" w:type="dxa"/>
          </w:tcPr>
          <w:p w14:paraId="5664231F" w14:textId="77777777" w:rsidR="006475A7" w:rsidRPr="00196387" w:rsidRDefault="006475A7" w:rsidP="00E56E65">
            <w:pPr>
              <w:spacing w:line="480" w:lineRule="auto"/>
              <w:jc w:val="center"/>
              <w:rPr>
                <w:rFonts w:ascii="Arial" w:hAnsi="Arial" w:cs="Arial"/>
                <w:sz w:val="22"/>
                <w:szCs w:val="22"/>
              </w:rPr>
            </w:pPr>
          </w:p>
        </w:tc>
      </w:tr>
      <w:tr w:rsidR="006475A7" w14:paraId="2D3ACE05" w14:textId="77777777" w:rsidTr="00E56E65">
        <w:tc>
          <w:tcPr>
            <w:tcW w:w="1951" w:type="dxa"/>
          </w:tcPr>
          <w:p w14:paraId="6968CD5B" w14:textId="77777777" w:rsidR="006475A7" w:rsidRPr="00196387" w:rsidRDefault="006475A7" w:rsidP="00E56E65">
            <w:pPr>
              <w:spacing w:line="480" w:lineRule="auto"/>
              <w:jc w:val="center"/>
              <w:rPr>
                <w:rFonts w:ascii="Arial" w:hAnsi="Arial" w:cs="Arial"/>
                <w:sz w:val="22"/>
                <w:szCs w:val="22"/>
              </w:rPr>
            </w:pPr>
            <w:r w:rsidRPr="00196387">
              <w:rPr>
                <w:rFonts w:ascii="Arial" w:hAnsi="Arial" w:cs="Arial"/>
                <w:color w:val="000000"/>
                <w:sz w:val="22"/>
                <w:szCs w:val="22"/>
              </w:rPr>
              <w:t>Ct.Th (mm)</w:t>
            </w:r>
          </w:p>
        </w:tc>
        <w:tc>
          <w:tcPr>
            <w:tcW w:w="1418" w:type="dxa"/>
          </w:tcPr>
          <w:p w14:paraId="749B0ABA"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0.2</w:t>
            </w:r>
            <w:r>
              <w:rPr>
                <w:rFonts w:ascii="Arial" w:hAnsi="Arial" w:cs="Arial"/>
                <w:color w:val="000000"/>
                <w:sz w:val="22"/>
                <w:szCs w:val="22"/>
              </w:rPr>
              <w:t>7</w:t>
            </w:r>
            <w:r w:rsidRPr="00163A57">
              <w:rPr>
                <w:rFonts w:ascii="Arial" w:hAnsi="Arial" w:cs="Arial"/>
                <w:color w:val="000000"/>
                <w:sz w:val="22"/>
                <w:szCs w:val="22"/>
              </w:rPr>
              <w:t>±0.00</w:t>
            </w:r>
            <w:r>
              <w:rPr>
                <w:rFonts w:ascii="Arial" w:hAnsi="Arial" w:cs="Arial"/>
                <w:color w:val="000000"/>
                <w:sz w:val="22"/>
                <w:szCs w:val="22"/>
              </w:rPr>
              <w:t>8</w:t>
            </w:r>
          </w:p>
        </w:tc>
        <w:tc>
          <w:tcPr>
            <w:tcW w:w="1559" w:type="dxa"/>
          </w:tcPr>
          <w:p w14:paraId="7AF76645"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0.23±0.00</w:t>
            </w:r>
            <w:r>
              <w:rPr>
                <w:rFonts w:ascii="Arial" w:hAnsi="Arial" w:cs="Arial"/>
                <w:color w:val="000000"/>
                <w:sz w:val="22"/>
                <w:szCs w:val="22"/>
              </w:rPr>
              <w:t>3</w:t>
            </w:r>
          </w:p>
        </w:tc>
        <w:tc>
          <w:tcPr>
            <w:tcW w:w="992" w:type="dxa"/>
          </w:tcPr>
          <w:p w14:paraId="001B6A11" w14:textId="77777777" w:rsidR="006475A7" w:rsidRPr="00196387" w:rsidRDefault="006475A7" w:rsidP="00E56E65">
            <w:pPr>
              <w:spacing w:line="480" w:lineRule="auto"/>
              <w:jc w:val="center"/>
              <w:rPr>
                <w:rFonts w:ascii="Arial" w:hAnsi="Arial" w:cs="Arial"/>
                <w:sz w:val="22"/>
                <w:szCs w:val="22"/>
              </w:rPr>
            </w:pPr>
            <w:proofErr w:type="gramStart"/>
            <w:r>
              <w:rPr>
                <w:rFonts w:ascii="Arial" w:hAnsi="Arial" w:cs="Arial"/>
                <w:sz w:val="22"/>
                <w:szCs w:val="22"/>
              </w:rPr>
              <w:t>d</w:t>
            </w:r>
            <w:proofErr w:type="gramEnd"/>
          </w:p>
        </w:tc>
        <w:tc>
          <w:tcPr>
            <w:tcW w:w="1418" w:type="dxa"/>
          </w:tcPr>
          <w:p w14:paraId="36C0D18A" w14:textId="77777777" w:rsidR="006475A7" w:rsidRPr="00196387" w:rsidRDefault="006475A7" w:rsidP="00E56E65">
            <w:pPr>
              <w:spacing w:line="480" w:lineRule="auto"/>
              <w:jc w:val="center"/>
              <w:rPr>
                <w:rFonts w:ascii="Arial" w:hAnsi="Arial" w:cs="Arial"/>
                <w:sz w:val="22"/>
                <w:szCs w:val="22"/>
              </w:rPr>
            </w:pPr>
            <w:r>
              <w:rPr>
                <w:rFonts w:ascii="Arial" w:hAnsi="Arial" w:cs="Arial"/>
                <w:color w:val="000000"/>
                <w:sz w:val="22"/>
                <w:szCs w:val="22"/>
              </w:rPr>
              <w:t>0.26</w:t>
            </w:r>
            <w:r w:rsidRPr="00163A57">
              <w:rPr>
                <w:rFonts w:ascii="Arial" w:hAnsi="Arial" w:cs="Arial"/>
                <w:color w:val="000000"/>
                <w:sz w:val="22"/>
                <w:szCs w:val="22"/>
              </w:rPr>
              <w:t>±0.00</w:t>
            </w:r>
            <w:r>
              <w:rPr>
                <w:rFonts w:ascii="Arial" w:hAnsi="Arial" w:cs="Arial"/>
                <w:color w:val="000000"/>
                <w:sz w:val="22"/>
                <w:szCs w:val="22"/>
              </w:rPr>
              <w:t>4</w:t>
            </w:r>
          </w:p>
        </w:tc>
        <w:tc>
          <w:tcPr>
            <w:tcW w:w="1559" w:type="dxa"/>
          </w:tcPr>
          <w:p w14:paraId="1E3359ED" w14:textId="77777777" w:rsidR="006475A7" w:rsidRPr="00196387" w:rsidRDefault="006475A7" w:rsidP="00E56E65">
            <w:pPr>
              <w:spacing w:line="480" w:lineRule="auto"/>
              <w:jc w:val="center"/>
              <w:rPr>
                <w:rFonts w:ascii="Arial" w:hAnsi="Arial" w:cs="Arial"/>
                <w:sz w:val="22"/>
                <w:szCs w:val="22"/>
              </w:rPr>
            </w:pPr>
            <w:r w:rsidRPr="00163A57">
              <w:rPr>
                <w:rFonts w:ascii="Arial" w:hAnsi="Arial" w:cs="Arial"/>
                <w:color w:val="000000"/>
                <w:sz w:val="22"/>
                <w:szCs w:val="22"/>
              </w:rPr>
              <w:t>0.23±0.00</w:t>
            </w:r>
            <w:r>
              <w:rPr>
                <w:rFonts w:ascii="Arial" w:hAnsi="Arial" w:cs="Arial"/>
                <w:color w:val="000000"/>
                <w:sz w:val="22"/>
                <w:szCs w:val="22"/>
              </w:rPr>
              <w:t>4</w:t>
            </w:r>
          </w:p>
        </w:tc>
        <w:tc>
          <w:tcPr>
            <w:tcW w:w="992" w:type="dxa"/>
          </w:tcPr>
          <w:p w14:paraId="330DA334" w14:textId="77777777" w:rsidR="006475A7" w:rsidRPr="00196387" w:rsidRDefault="006475A7" w:rsidP="00E56E65">
            <w:pPr>
              <w:spacing w:line="480" w:lineRule="auto"/>
              <w:jc w:val="center"/>
              <w:rPr>
                <w:rFonts w:ascii="Arial" w:hAnsi="Arial" w:cs="Arial"/>
                <w:sz w:val="22"/>
                <w:szCs w:val="22"/>
              </w:rPr>
            </w:pPr>
            <w:proofErr w:type="gramStart"/>
            <w:r w:rsidRPr="00163A57">
              <w:rPr>
                <w:rFonts w:ascii="Arial" w:hAnsi="Arial" w:cs="Arial"/>
                <w:sz w:val="22"/>
                <w:szCs w:val="22"/>
              </w:rPr>
              <w:t>b</w:t>
            </w:r>
            <w:proofErr w:type="gramEnd"/>
          </w:p>
        </w:tc>
      </w:tr>
      <w:tr w:rsidR="006475A7" w14:paraId="280F7807" w14:textId="77777777" w:rsidTr="00E56E65">
        <w:tc>
          <w:tcPr>
            <w:tcW w:w="1951" w:type="dxa"/>
          </w:tcPr>
          <w:p w14:paraId="43FE5E46" w14:textId="77777777" w:rsidR="006475A7" w:rsidRPr="00196387" w:rsidRDefault="006475A7" w:rsidP="00E56E65">
            <w:pPr>
              <w:spacing w:line="480" w:lineRule="auto"/>
              <w:jc w:val="center"/>
              <w:rPr>
                <w:rFonts w:ascii="Arial" w:hAnsi="Arial" w:cs="Arial"/>
                <w:sz w:val="22"/>
                <w:szCs w:val="22"/>
              </w:rPr>
            </w:pPr>
            <w:r w:rsidRPr="00946100">
              <w:rPr>
                <w:rFonts w:ascii="Arial" w:hAnsi="Arial" w:cs="Arial"/>
                <w:b/>
                <w:color w:val="000000"/>
                <w:sz w:val="22"/>
                <w:szCs w:val="22"/>
              </w:rPr>
              <w:t>Trabecular bone</w:t>
            </w:r>
          </w:p>
        </w:tc>
        <w:tc>
          <w:tcPr>
            <w:tcW w:w="1418" w:type="dxa"/>
          </w:tcPr>
          <w:p w14:paraId="10736FB6" w14:textId="77777777" w:rsidR="006475A7" w:rsidRPr="00196387" w:rsidRDefault="006475A7" w:rsidP="00E56E65">
            <w:pPr>
              <w:spacing w:line="480" w:lineRule="auto"/>
              <w:jc w:val="center"/>
              <w:rPr>
                <w:rFonts w:ascii="Arial" w:hAnsi="Arial" w:cs="Arial"/>
                <w:sz w:val="22"/>
                <w:szCs w:val="22"/>
              </w:rPr>
            </w:pPr>
          </w:p>
        </w:tc>
        <w:tc>
          <w:tcPr>
            <w:tcW w:w="1559" w:type="dxa"/>
          </w:tcPr>
          <w:p w14:paraId="37914926" w14:textId="77777777" w:rsidR="006475A7" w:rsidRPr="00196387" w:rsidRDefault="006475A7" w:rsidP="00E56E65">
            <w:pPr>
              <w:spacing w:line="480" w:lineRule="auto"/>
              <w:jc w:val="center"/>
              <w:rPr>
                <w:rFonts w:ascii="Arial" w:hAnsi="Arial" w:cs="Arial"/>
                <w:sz w:val="22"/>
                <w:szCs w:val="22"/>
              </w:rPr>
            </w:pPr>
          </w:p>
        </w:tc>
        <w:tc>
          <w:tcPr>
            <w:tcW w:w="992" w:type="dxa"/>
          </w:tcPr>
          <w:p w14:paraId="5BAFFAD7" w14:textId="77777777" w:rsidR="006475A7" w:rsidRPr="00196387" w:rsidRDefault="006475A7" w:rsidP="00E56E65">
            <w:pPr>
              <w:spacing w:line="480" w:lineRule="auto"/>
              <w:jc w:val="center"/>
              <w:rPr>
                <w:rFonts w:ascii="Arial" w:hAnsi="Arial" w:cs="Arial"/>
                <w:sz w:val="22"/>
                <w:szCs w:val="22"/>
              </w:rPr>
            </w:pPr>
          </w:p>
        </w:tc>
        <w:tc>
          <w:tcPr>
            <w:tcW w:w="1418" w:type="dxa"/>
          </w:tcPr>
          <w:p w14:paraId="0936E140" w14:textId="77777777" w:rsidR="006475A7" w:rsidRPr="00196387" w:rsidRDefault="006475A7" w:rsidP="00E56E65">
            <w:pPr>
              <w:spacing w:line="480" w:lineRule="auto"/>
              <w:jc w:val="center"/>
              <w:rPr>
                <w:rFonts w:ascii="Arial" w:hAnsi="Arial" w:cs="Arial"/>
                <w:sz w:val="22"/>
                <w:szCs w:val="22"/>
              </w:rPr>
            </w:pPr>
          </w:p>
        </w:tc>
        <w:tc>
          <w:tcPr>
            <w:tcW w:w="1559" w:type="dxa"/>
          </w:tcPr>
          <w:p w14:paraId="196C113F" w14:textId="77777777" w:rsidR="006475A7" w:rsidRPr="00196387" w:rsidRDefault="006475A7" w:rsidP="00E56E65">
            <w:pPr>
              <w:spacing w:line="480" w:lineRule="auto"/>
              <w:jc w:val="center"/>
              <w:rPr>
                <w:rFonts w:ascii="Arial" w:hAnsi="Arial" w:cs="Arial"/>
                <w:sz w:val="22"/>
                <w:szCs w:val="22"/>
              </w:rPr>
            </w:pPr>
          </w:p>
        </w:tc>
        <w:tc>
          <w:tcPr>
            <w:tcW w:w="992" w:type="dxa"/>
          </w:tcPr>
          <w:p w14:paraId="61DE4BD1" w14:textId="77777777" w:rsidR="006475A7" w:rsidRPr="00196387" w:rsidRDefault="006475A7" w:rsidP="00E56E65">
            <w:pPr>
              <w:spacing w:line="480" w:lineRule="auto"/>
              <w:jc w:val="center"/>
              <w:rPr>
                <w:rFonts w:ascii="Arial" w:hAnsi="Arial" w:cs="Arial"/>
                <w:sz w:val="22"/>
                <w:szCs w:val="22"/>
              </w:rPr>
            </w:pPr>
          </w:p>
        </w:tc>
      </w:tr>
      <w:tr w:rsidR="006475A7" w14:paraId="64FDB1B7" w14:textId="77777777" w:rsidTr="00E56E65">
        <w:tc>
          <w:tcPr>
            <w:tcW w:w="1951" w:type="dxa"/>
          </w:tcPr>
          <w:p w14:paraId="747C7BFB" w14:textId="77777777" w:rsidR="006475A7" w:rsidRPr="00196387" w:rsidRDefault="006475A7" w:rsidP="00E56E65">
            <w:pPr>
              <w:spacing w:line="480" w:lineRule="auto"/>
              <w:jc w:val="center"/>
              <w:rPr>
                <w:rFonts w:ascii="Arial" w:hAnsi="Arial" w:cs="Arial"/>
                <w:sz w:val="22"/>
                <w:szCs w:val="22"/>
              </w:rPr>
            </w:pPr>
            <w:r w:rsidRPr="00196387">
              <w:rPr>
                <w:rFonts w:ascii="Arial" w:hAnsi="Arial" w:cs="Arial"/>
                <w:color w:val="000000"/>
                <w:sz w:val="22"/>
                <w:szCs w:val="22"/>
              </w:rPr>
              <w:t>BV/TV (%)</w:t>
            </w:r>
          </w:p>
        </w:tc>
        <w:tc>
          <w:tcPr>
            <w:tcW w:w="1418" w:type="dxa"/>
          </w:tcPr>
          <w:p w14:paraId="66AD4B69"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14.7</w:t>
            </w:r>
            <w:r w:rsidRPr="00196387">
              <w:rPr>
                <w:rFonts w:ascii="Arial" w:hAnsi="Arial" w:cs="Arial"/>
                <w:color w:val="000000"/>
                <w:sz w:val="22"/>
                <w:szCs w:val="22"/>
              </w:rPr>
              <w:t>±0.</w:t>
            </w:r>
            <w:r>
              <w:rPr>
                <w:rFonts w:ascii="Arial" w:hAnsi="Arial" w:cs="Arial"/>
                <w:color w:val="000000"/>
                <w:sz w:val="22"/>
                <w:szCs w:val="22"/>
              </w:rPr>
              <w:t>49</w:t>
            </w:r>
          </w:p>
        </w:tc>
        <w:tc>
          <w:tcPr>
            <w:tcW w:w="1559" w:type="dxa"/>
          </w:tcPr>
          <w:p w14:paraId="2132E578"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9.93</w:t>
            </w:r>
            <w:r w:rsidRPr="00196387">
              <w:rPr>
                <w:rFonts w:ascii="Arial" w:hAnsi="Arial" w:cs="Arial"/>
                <w:color w:val="000000"/>
                <w:sz w:val="22"/>
                <w:szCs w:val="22"/>
              </w:rPr>
              <w:t>±0.</w:t>
            </w:r>
            <w:r>
              <w:rPr>
                <w:rFonts w:ascii="Arial" w:hAnsi="Arial" w:cs="Arial"/>
                <w:color w:val="000000"/>
                <w:sz w:val="22"/>
                <w:szCs w:val="22"/>
              </w:rPr>
              <w:t>37</w:t>
            </w:r>
          </w:p>
        </w:tc>
        <w:tc>
          <w:tcPr>
            <w:tcW w:w="992" w:type="dxa"/>
          </w:tcPr>
          <w:p w14:paraId="3899FCC5" w14:textId="77777777" w:rsidR="006475A7" w:rsidRPr="00163A57" w:rsidRDefault="006475A7" w:rsidP="00E56E65">
            <w:pPr>
              <w:spacing w:line="480" w:lineRule="auto"/>
              <w:jc w:val="center"/>
              <w:rPr>
                <w:rFonts w:ascii="Arial" w:hAnsi="Arial" w:cs="Arial"/>
                <w:sz w:val="22"/>
                <w:szCs w:val="22"/>
              </w:rPr>
            </w:pPr>
            <w:proofErr w:type="gramStart"/>
            <w:r w:rsidRPr="00196387">
              <w:rPr>
                <w:rFonts w:ascii="Arial" w:hAnsi="Arial" w:cs="Arial"/>
                <w:sz w:val="22"/>
                <w:szCs w:val="22"/>
              </w:rPr>
              <w:t>d</w:t>
            </w:r>
            <w:proofErr w:type="gramEnd"/>
          </w:p>
        </w:tc>
        <w:tc>
          <w:tcPr>
            <w:tcW w:w="1418" w:type="dxa"/>
          </w:tcPr>
          <w:p w14:paraId="0682D2AF" w14:textId="77777777" w:rsidR="006475A7" w:rsidRPr="00163A57" w:rsidRDefault="006475A7" w:rsidP="00E56E65">
            <w:pPr>
              <w:tabs>
                <w:tab w:val="left" w:pos="592"/>
              </w:tabs>
              <w:spacing w:line="480" w:lineRule="auto"/>
              <w:jc w:val="center"/>
              <w:rPr>
                <w:rFonts w:ascii="Arial" w:hAnsi="Arial" w:cs="Arial"/>
                <w:sz w:val="22"/>
                <w:szCs w:val="22"/>
              </w:rPr>
            </w:pPr>
            <w:r>
              <w:rPr>
                <w:rFonts w:ascii="Arial" w:hAnsi="Arial" w:cs="Arial"/>
                <w:color w:val="000000"/>
                <w:sz w:val="22"/>
                <w:szCs w:val="22"/>
              </w:rPr>
              <w:t>14.02</w:t>
            </w:r>
            <w:r w:rsidRPr="00196387">
              <w:rPr>
                <w:rFonts w:ascii="Arial" w:hAnsi="Arial" w:cs="Arial"/>
                <w:color w:val="000000"/>
                <w:sz w:val="22"/>
                <w:szCs w:val="22"/>
              </w:rPr>
              <w:t>±0.</w:t>
            </w:r>
            <w:r>
              <w:rPr>
                <w:rFonts w:ascii="Arial" w:hAnsi="Arial" w:cs="Arial"/>
                <w:color w:val="000000"/>
                <w:sz w:val="22"/>
                <w:szCs w:val="22"/>
              </w:rPr>
              <w:t>71</w:t>
            </w:r>
          </w:p>
        </w:tc>
        <w:tc>
          <w:tcPr>
            <w:tcW w:w="1559" w:type="dxa"/>
          </w:tcPr>
          <w:p w14:paraId="63D93121"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9.71</w:t>
            </w:r>
            <w:r w:rsidRPr="00196387">
              <w:rPr>
                <w:rFonts w:ascii="Arial" w:hAnsi="Arial" w:cs="Arial"/>
                <w:color w:val="000000"/>
                <w:sz w:val="22"/>
                <w:szCs w:val="22"/>
              </w:rPr>
              <w:t>±0.</w:t>
            </w:r>
            <w:r>
              <w:rPr>
                <w:rFonts w:ascii="Arial" w:hAnsi="Arial" w:cs="Arial"/>
                <w:color w:val="000000"/>
                <w:sz w:val="22"/>
                <w:szCs w:val="22"/>
              </w:rPr>
              <w:t>65</w:t>
            </w:r>
          </w:p>
        </w:tc>
        <w:tc>
          <w:tcPr>
            <w:tcW w:w="992" w:type="dxa"/>
          </w:tcPr>
          <w:p w14:paraId="1E3EA99D" w14:textId="77777777" w:rsidR="006475A7" w:rsidRPr="00163A57" w:rsidRDefault="006475A7" w:rsidP="00E56E65">
            <w:pPr>
              <w:spacing w:line="480" w:lineRule="auto"/>
              <w:jc w:val="center"/>
              <w:rPr>
                <w:rFonts w:ascii="Arial" w:hAnsi="Arial" w:cs="Arial"/>
                <w:sz w:val="22"/>
                <w:szCs w:val="22"/>
              </w:rPr>
            </w:pPr>
            <w:proofErr w:type="gramStart"/>
            <w:r w:rsidRPr="00196387">
              <w:rPr>
                <w:rFonts w:ascii="Arial" w:hAnsi="Arial" w:cs="Arial"/>
                <w:sz w:val="22"/>
                <w:szCs w:val="22"/>
              </w:rPr>
              <w:t>d</w:t>
            </w:r>
            <w:proofErr w:type="gramEnd"/>
          </w:p>
        </w:tc>
      </w:tr>
      <w:tr w:rsidR="006475A7" w14:paraId="61DBBEAE" w14:textId="77777777" w:rsidTr="00E56E65">
        <w:tc>
          <w:tcPr>
            <w:tcW w:w="1951" w:type="dxa"/>
          </w:tcPr>
          <w:p w14:paraId="7397B6D5" w14:textId="77777777" w:rsidR="006475A7" w:rsidRPr="00196387" w:rsidRDefault="006475A7" w:rsidP="00E56E65">
            <w:pPr>
              <w:spacing w:line="480" w:lineRule="auto"/>
              <w:jc w:val="center"/>
              <w:rPr>
                <w:rFonts w:ascii="Arial" w:hAnsi="Arial" w:cs="Arial"/>
                <w:sz w:val="22"/>
                <w:szCs w:val="22"/>
              </w:rPr>
            </w:pPr>
            <w:r w:rsidRPr="00196387">
              <w:rPr>
                <w:rFonts w:ascii="Arial" w:hAnsi="Arial" w:cs="Arial"/>
                <w:color w:val="000000"/>
                <w:sz w:val="22"/>
                <w:szCs w:val="22"/>
              </w:rPr>
              <w:t>Tb.Th (mm)</w:t>
            </w:r>
          </w:p>
        </w:tc>
        <w:tc>
          <w:tcPr>
            <w:tcW w:w="1418" w:type="dxa"/>
          </w:tcPr>
          <w:p w14:paraId="1E4E052A"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0.04</w:t>
            </w:r>
            <w:r w:rsidRPr="00196387">
              <w:rPr>
                <w:rFonts w:ascii="Arial" w:hAnsi="Arial" w:cs="Arial"/>
                <w:color w:val="000000"/>
                <w:sz w:val="22"/>
                <w:szCs w:val="22"/>
              </w:rPr>
              <w:t>±0.00</w:t>
            </w:r>
            <w:r>
              <w:rPr>
                <w:rFonts w:ascii="Arial" w:hAnsi="Arial" w:cs="Arial"/>
                <w:color w:val="000000"/>
                <w:sz w:val="22"/>
                <w:szCs w:val="22"/>
              </w:rPr>
              <w:t>1</w:t>
            </w:r>
          </w:p>
        </w:tc>
        <w:tc>
          <w:tcPr>
            <w:tcW w:w="1559" w:type="dxa"/>
          </w:tcPr>
          <w:p w14:paraId="3228D26F" w14:textId="77777777" w:rsidR="006475A7" w:rsidRPr="00163A57" w:rsidRDefault="006475A7" w:rsidP="00E56E65">
            <w:pPr>
              <w:spacing w:line="480" w:lineRule="auto"/>
              <w:jc w:val="center"/>
              <w:rPr>
                <w:rFonts w:ascii="Arial" w:hAnsi="Arial" w:cs="Arial"/>
                <w:sz w:val="22"/>
                <w:szCs w:val="22"/>
              </w:rPr>
            </w:pPr>
            <w:r w:rsidRPr="00196387">
              <w:rPr>
                <w:rFonts w:ascii="Arial" w:hAnsi="Arial" w:cs="Arial"/>
                <w:color w:val="000000"/>
                <w:sz w:val="22"/>
                <w:szCs w:val="22"/>
              </w:rPr>
              <w:t>0.03±0.00</w:t>
            </w:r>
            <w:r>
              <w:rPr>
                <w:rFonts w:ascii="Arial" w:hAnsi="Arial" w:cs="Arial"/>
                <w:color w:val="000000"/>
                <w:sz w:val="22"/>
                <w:szCs w:val="22"/>
              </w:rPr>
              <w:t>1</w:t>
            </w:r>
          </w:p>
        </w:tc>
        <w:tc>
          <w:tcPr>
            <w:tcW w:w="992" w:type="dxa"/>
          </w:tcPr>
          <w:p w14:paraId="631DAC50" w14:textId="77777777" w:rsidR="006475A7" w:rsidRPr="00163A57" w:rsidRDefault="006475A7" w:rsidP="00E56E65">
            <w:pPr>
              <w:spacing w:line="480" w:lineRule="auto"/>
              <w:jc w:val="center"/>
              <w:rPr>
                <w:rFonts w:ascii="Arial" w:hAnsi="Arial" w:cs="Arial"/>
                <w:sz w:val="22"/>
                <w:szCs w:val="22"/>
              </w:rPr>
            </w:pPr>
            <w:proofErr w:type="gramStart"/>
            <w:r>
              <w:rPr>
                <w:rFonts w:ascii="Arial" w:hAnsi="Arial" w:cs="Arial"/>
                <w:sz w:val="22"/>
                <w:szCs w:val="22"/>
              </w:rPr>
              <w:t>d</w:t>
            </w:r>
            <w:proofErr w:type="gramEnd"/>
          </w:p>
        </w:tc>
        <w:tc>
          <w:tcPr>
            <w:tcW w:w="1418" w:type="dxa"/>
          </w:tcPr>
          <w:p w14:paraId="0468578D"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0.04</w:t>
            </w:r>
            <w:r w:rsidRPr="00196387">
              <w:rPr>
                <w:rFonts w:ascii="Arial" w:hAnsi="Arial" w:cs="Arial"/>
                <w:color w:val="000000"/>
                <w:sz w:val="22"/>
                <w:szCs w:val="22"/>
              </w:rPr>
              <w:t>±0.00</w:t>
            </w:r>
            <w:r>
              <w:rPr>
                <w:rFonts w:ascii="Arial" w:hAnsi="Arial" w:cs="Arial"/>
                <w:color w:val="000000"/>
                <w:sz w:val="22"/>
                <w:szCs w:val="22"/>
              </w:rPr>
              <w:t>1</w:t>
            </w:r>
          </w:p>
        </w:tc>
        <w:tc>
          <w:tcPr>
            <w:tcW w:w="1559" w:type="dxa"/>
          </w:tcPr>
          <w:p w14:paraId="31F37193"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0.03</w:t>
            </w:r>
            <w:r w:rsidRPr="00196387">
              <w:rPr>
                <w:rFonts w:ascii="Arial" w:hAnsi="Arial" w:cs="Arial"/>
                <w:color w:val="000000"/>
                <w:sz w:val="22"/>
                <w:szCs w:val="22"/>
              </w:rPr>
              <w:t>±0.00</w:t>
            </w:r>
            <w:r>
              <w:rPr>
                <w:rFonts w:ascii="Arial" w:hAnsi="Arial" w:cs="Arial"/>
                <w:color w:val="000000"/>
                <w:sz w:val="22"/>
                <w:szCs w:val="22"/>
              </w:rPr>
              <w:t>1</w:t>
            </w:r>
          </w:p>
        </w:tc>
        <w:tc>
          <w:tcPr>
            <w:tcW w:w="992" w:type="dxa"/>
          </w:tcPr>
          <w:p w14:paraId="6358D477" w14:textId="77777777" w:rsidR="006475A7" w:rsidRPr="00163A57" w:rsidRDefault="006475A7" w:rsidP="00E56E65">
            <w:pPr>
              <w:spacing w:line="480" w:lineRule="auto"/>
              <w:jc w:val="center"/>
              <w:rPr>
                <w:rFonts w:ascii="Arial" w:hAnsi="Arial" w:cs="Arial"/>
                <w:sz w:val="22"/>
                <w:szCs w:val="22"/>
              </w:rPr>
            </w:pPr>
            <w:proofErr w:type="gramStart"/>
            <w:r>
              <w:rPr>
                <w:rFonts w:ascii="Arial" w:hAnsi="Arial" w:cs="Arial"/>
                <w:sz w:val="22"/>
                <w:szCs w:val="22"/>
              </w:rPr>
              <w:t>d</w:t>
            </w:r>
            <w:proofErr w:type="gramEnd"/>
          </w:p>
        </w:tc>
      </w:tr>
      <w:tr w:rsidR="006475A7" w14:paraId="07CEB569" w14:textId="77777777" w:rsidTr="00E56E65">
        <w:tc>
          <w:tcPr>
            <w:tcW w:w="1951" w:type="dxa"/>
          </w:tcPr>
          <w:p w14:paraId="462F172A" w14:textId="77777777" w:rsidR="006475A7" w:rsidRPr="00196387" w:rsidRDefault="006475A7" w:rsidP="00E56E65">
            <w:pPr>
              <w:spacing w:line="480" w:lineRule="auto"/>
              <w:jc w:val="center"/>
              <w:rPr>
                <w:rFonts w:ascii="Arial" w:hAnsi="Arial" w:cs="Arial"/>
                <w:sz w:val="22"/>
                <w:szCs w:val="22"/>
              </w:rPr>
            </w:pPr>
            <w:r w:rsidRPr="00196387">
              <w:rPr>
                <w:rFonts w:ascii="Arial" w:hAnsi="Arial" w:cs="Arial"/>
                <w:color w:val="000000"/>
                <w:sz w:val="22"/>
                <w:szCs w:val="22"/>
              </w:rPr>
              <w:t>Tb.N (mm</w:t>
            </w:r>
            <w:r w:rsidRPr="006C2FC2">
              <w:rPr>
                <w:rFonts w:ascii="Arial" w:hAnsi="Arial" w:cs="Arial"/>
                <w:color w:val="000000"/>
                <w:sz w:val="22"/>
                <w:szCs w:val="22"/>
                <w:vertAlign w:val="superscript"/>
              </w:rPr>
              <w:t>-1</w:t>
            </w:r>
            <w:r w:rsidRPr="00196387">
              <w:rPr>
                <w:rFonts w:ascii="Arial" w:hAnsi="Arial" w:cs="Arial"/>
                <w:color w:val="000000"/>
                <w:sz w:val="22"/>
                <w:szCs w:val="22"/>
              </w:rPr>
              <w:t>)</w:t>
            </w:r>
          </w:p>
        </w:tc>
        <w:tc>
          <w:tcPr>
            <w:tcW w:w="1418" w:type="dxa"/>
          </w:tcPr>
          <w:p w14:paraId="17988D10"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3.7</w:t>
            </w:r>
            <w:r w:rsidRPr="00196387">
              <w:rPr>
                <w:rFonts w:ascii="Arial" w:hAnsi="Arial" w:cs="Arial"/>
                <w:color w:val="000000"/>
                <w:sz w:val="22"/>
                <w:szCs w:val="22"/>
              </w:rPr>
              <w:t>±0.</w:t>
            </w:r>
            <w:r>
              <w:rPr>
                <w:rFonts w:ascii="Arial" w:hAnsi="Arial" w:cs="Arial"/>
                <w:color w:val="000000"/>
                <w:sz w:val="22"/>
                <w:szCs w:val="22"/>
              </w:rPr>
              <w:t>12</w:t>
            </w:r>
          </w:p>
        </w:tc>
        <w:tc>
          <w:tcPr>
            <w:tcW w:w="1559" w:type="dxa"/>
          </w:tcPr>
          <w:p w14:paraId="52685A61" w14:textId="77777777" w:rsidR="006475A7" w:rsidRPr="00163A57" w:rsidRDefault="006475A7" w:rsidP="00E56E65">
            <w:pPr>
              <w:tabs>
                <w:tab w:val="left" w:pos="672"/>
              </w:tabs>
              <w:spacing w:line="480" w:lineRule="auto"/>
              <w:jc w:val="center"/>
              <w:rPr>
                <w:rFonts w:ascii="Arial" w:hAnsi="Arial" w:cs="Arial"/>
                <w:sz w:val="22"/>
                <w:szCs w:val="22"/>
              </w:rPr>
            </w:pPr>
            <w:r>
              <w:rPr>
                <w:rFonts w:ascii="Arial" w:hAnsi="Arial" w:cs="Arial"/>
                <w:color w:val="000000"/>
                <w:sz w:val="22"/>
                <w:szCs w:val="22"/>
              </w:rPr>
              <w:t>3.24</w:t>
            </w:r>
            <w:r w:rsidRPr="00196387">
              <w:rPr>
                <w:rFonts w:ascii="Arial" w:hAnsi="Arial" w:cs="Arial"/>
                <w:color w:val="000000"/>
                <w:sz w:val="22"/>
                <w:szCs w:val="22"/>
              </w:rPr>
              <w:t>±0.</w:t>
            </w:r>
            <w:r>
              <w:rPr>
                <w:rFonts w:ascii="Arial" w:hAnsi="Arial" w:cs="Arial"/>
                <w:color w:val="000000"/>
                <w:sz w:val="22"/>
                <w:szCs w:val="22"/>
              </w:rPr>
              <w:t>16</w:t>
            </w:r>
          </w:p>
        </w:tc>
        <w:tc>
          <w:tcPr>
            <w:tcW w:w="992" w:type="dxa"/>
          </w:tcPr>
          <w:p w14:paraId="08602497" w14:textId="77777777" w:rsidR="006475A7" w:rsidRPr="00163A57" w:rsidRDefault="006475A7" w:rsidP="00E56E65">
            <w:pPr>
              <w:spacing w:line="480" w:lineRule="auto"/>
              <w:jc w:val="center"/>
              <w:rPr>
                <w:rFonts w:ascii="Arial" w:hAnsi="Arial" w:cs="Arial"/>
                <w:sz w:val="22"/>
                <w:szCs w:val="22"/>
              </w:rPr>
            </w:pPr>
          </w:p>
        </w:tc>
        <w:tc>
          <w:tcPr>
            <w:tcW w:w="1418" w:type="dxa"/>
          </w:tcPr>
          <w:p w14:paraId="6B68772A" w14:textId="77777777" w:rsidR="006475A7" w:rsidRPr="00163A57" w:rsidRDefault="006475A7" w:rsidP="00E56E65">
            <w:pPr>
              <w:spacing w:line="480" w:lineRule="auto"/>
              <w:jc w:val="center"/>
              <w:rPr>
                <w:rFonts w:ascii="Arial" w:hAnsi="Arial" w:cs="Arial"/>
                <w:sz w:val="22"/>
                <w:szCs w:val="22"/>
              </w:rPr>
            </w:pPr>
            <w:r w:rsidRPr="00196387">
              <w:rPr>
                <w:rFonts w:ascii="Arial" w:hAnsi="Arial" w:cs="Arial"/>
                <w:color w:val="000000"/>
                <w:sz w:val="22"/>
                <w:szCs w:val="22"/>
              </w:rPr>
              <w:t>3.</w:t>
            </w:r>
            <w:r>
              <w:rPr>
                <w:rFonts w:ascii="Arial" w:hAnsi="Arial" w:cs="Arial"/>
                <w:color w:val="000000"/>
                <w:sz w:val="22"/>
                <w:szCs w:val="22"/>
              </w:rPr>
              <w:t>67±0.24</w:t>
            </w:r>
          </w:p>
        </w:tc>
        <w:tc>
          <w:tcPr>
            <w:tcW w:w="1559" w:type="dxa"/>
          </w:tcPr>
          <w:p w14:paraId="21B07CF2"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3.21</w:t>
            </w:r>
            <w:r w:rsidRPr="00196387">
              <w:rPr>
                <w:rFonts w:ascii="Arial" w:hAnsi="Arial" w:cs="Arial"/>
                <w:color w:val="000000"/>
                <w:sz w:val="22"/>
                <w:szCs w:val="22"/>
              </w:rPr>
              <w:t>±0.</w:t>
            </w:r>
            <w:r>
              <w:rPr>
                <w:rFonts w:ascii="Arial" w:hAnsi="Arial" w:cs="Arial"/>
                <w:color w:val="000000"/>
                <w:sz w:val="22"/>
                <w:szCs w:val="22"/>
              </w:rPr>
              <w:t>18</w:t>
            </w:r>
          </w:p>
        </w:tc>
        <w:tc>
          <w:tcPr>
            <w:tcW w:w="992" w:type="dxa"/>
          </w:tcPr>
          <w:p w14:paraId="0AB61EF8" w14:textId="77777777" w:rsidR="006475A7" w:rsidRPr="00163A57" w:rsidRDefault="006475A7" w:rsidP="00E56E65">
            <w:pPr>
              <w:spacing w:line="480" w:lineRule="auto"/>
              <w:jc w:val="center"/>
              <w:rPr>
                <w:rFonts w:ascii="Arial" w:hAnsi="Arial" w:cs="Arial"/>
                <w:sz w:val="22"/>
                <w:szCs w:val="22"/>
              </w:rPr>
            </w:pPr>
          </w:p>
        </w:tc>
      </w:tr>
      <w:tr w:rsidR="006475A7" w14:paraId="01E702C6" w14:textId="77777777" w:rsidTr="00E56E65">
        <w:tc>
          <w:tcPr>
            <w:tcW w:w="1951" w:type="dxa"/>
            <w:tcBorders>
              <w:bottom w:val="single" w:sz="4" w:space="0" w:color="auto"/>
            </w:tcBorders>
          </w:tcPr>
          <w:p w14:paraId="20124228" w14:textId="77777777" w:rsidR="006475A7" w:rsidRPr="00196387" w:rsidRDefault="006475A7" w:rsidP="00E56E65">
            <w:pPr>
              <w:spacing w:line="480" w:lineRule="auto"/>
              <w:jc w:val="center"/>
              <w:rPr>
                <w:rFonts w:ascii="Arial" w:hAnsi="Arial" w:cs="Arial"/>
                <w:sz w:val="22"/>
                <w:szCs w:val="22"/>
              </w:rPr>
            </w:pPr>
            <w:r w:rsidRPr="00196387">
              <w:rPr>
                <w:rFonts w:ascii="Arial" w:hAnsi="Arial" w:cs="Arial"/>
                <w:color w:val="000000"/>
                <w:sz w:val="22"/>
                <w:szCs w:val="22"/>
              </w:rPr>
              <w:t>Tb.Pf (mm</w:t>
            </w:r>
            <w:r w:rsidRPr="006C2FC2">
              <w:rPr>
                <w:rFonts w:ascii="Arial" w:hAnsi="Arial" w:cs="Arial"/>
                <w:color w:val="000000"/>
                <w:sz w:val="22"/>
                <w:szCs w:val="22"/>
                <w:vertAlign w:val="superscript"/>
              </w:rPr>
              <w:t>-1</w:t>
            </w:r>
            <w:r w:rsidRPr="00196387">
              <w:rPr>
                <w:rFonts w:ascii="Arial" w:hAnsi="Arial" w:cs="Arial"/>
                <w:color w:val="000000"/>
                <w:sz w:val="22"/>
                <w:szCs w:val="22"/>
              </w:rPr>
              <w:t>)</w:t>
            </w:r>
          </w:p>
        </w:tc>
        <w:tc>
          <w:tcPr>
            <w:tcW w:w="1418" w:type="dxa"/>
            <w:tcBorders>
              <w:bottom w:val="single" w:sz="4" w:space="0" w:color="auto"/>
            </w:tcBorders>
          </w:tcPr>
          <w:p w14:paraId="7780B72B"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9.14±1.32</w:t>
            </w:r>
          </w:p>
        </w:tc>
        <w:tc>
          <w:tcPr>
            <w:tcW w:w="1559" w:type="dxa"/>
            <w:tcBorders>
              <w:bottom w:val="single" w:sz="4" w:space="0" w:color="auto"/>
            </w:tcBorders>
          </w:tcPr>
          <w:p w14:paraId="1FFFE722"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23.74±1.32</w:t>
            </w:r>
          </w:p>
        </w:tc>
        <w:tc>
          <w:tcPr>
            <w:tcW w:w="992" w:type="dxa"/>
            <w:tcBorders>
              <w:bottom w:val="single" w:sz="4" w:space="0" w:color="auto"/>
            </w:tcBorders>
          </w:tcPr>
          <w:p w14:paraId="3752B63B" w14:textId="77777777" w:rsidR="006475A7" w:rsidRPr="00163A57" w:rsidRDefault="006475A7" w:rsidP="00E56E65">
            <w:pPr>
              <w:spacing w:line="480" w:lineRule="auto"/>
              <w:jc w:val="center"/>
              <w:rPr>
                <w:rFonts w:ascii="Arial" w:hAnsi="Arial" w:cs="Arial"/>
                <w:sz w:val="22"/>
                <w:szCs w:val="22"/>
              </w:rPr>
            </w:pPr>
            <w:proofErr w:type="gramStart"/>
            <w:r>
              <w:rPr>
                <w:rFonts w:ascii="Arial" w:hAnsi="Arial" w:cs="Arial"/>
                <w:sz w:val="22"/>
                <w:szCs w:val="22"/>
              </w:rPr>
              <w:t>d</w:t>
            </w:r>
            <w:proofErr w:type="gramEnd"/>
          </w:p>
        </w:tc>
        <w:tc>
          <w:tcPr>
            <w:tcW w:w="1418" w:type="dxa"/>
            <w:tcBorders>
              <w:bottom w:val="single" w:sz="4" w:space="0" w:color="auto"/>
            </w:tcBorders>
          </w:tcPr>
          <w:p w14:paraId="7B25B5B8"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9.57</w:t>
            </w:r>
            <w:r w:rsidRPr="00196387">
              <w:rPr>
                <w:rFonts w:ascii="Arial" w:hAnsi="Arial" w:cs="Arial"/>
                <w:color w:val="000000"/>
                <w:sz w:val="22"/>
                <w:szCs w:val="22"/>
              </w:rPr>
              <w:t>±1.</w:t>
            </w:r>
            <w:r>
              <w:rPr>
                <w:rFonts w:ascii="Arial" w:hAnsi="Arial" w:cs="Arial"/>
                <w:color w:val="000000"/>
                <w:sz w:val="22"/>
                <w:szCs w:val="22"/>
              </w:rPr>
              <w:t>6</w:t>
            </w:r>
          </w:p>
        </w:tc>
        <w:tc>
          <w:tcPr>
            <w:tcW w:w="1559" w:type="dxa"/>
            <w:tcBorders>
              <w:bottom w:val="single" w:sz="4" w:space="0" w:color="auto"/>
            </w:tcBorders>
          </w:tcPr>
          <w:p w14:paraId="70B94E33" w14:textId="77777777" w:rsidR="006475A7" w:rsidRPr="00163A57" w:rsidRDefault="006475A7" w:rsidP="00E56E65">
            <w:pPr>
              <w:spacing w:line="480" w:lineRule="auto"/>
              <w:jc w:val="center"/>
              <w:rPr>
                <w:rFonts w:ascii="Arial" w:hAnsi="Arial" w:cs="Arial"/>
                <w:sz w:val="22"/>
                <w:szCs w:val="22"/>
              </w:rPr>
            </w:pPr>
            <w:r>
              <w:rPr>
                <w:rFonts w:ascii="Arial" w:hAnsi="Arial" w:cs="Arial"/>
                <w:color w:val="000000"/>
                <w:sz w:val="22"/>
                <w:szCs w:val="22"/>
              </w:rPr>
              <w:t>24.32</w:t>
            </w:r>
            <w:r w:rsidRPr="00196387">
              <w:rPr>
                <w:rFonts w:ascii="Arial" w:hAnsi="Arial" w:cs="Arial"/>
                <w:color w:val="000000"/>
                <w:sz w:val="22"/>
                <w:szCs w:val="22"/>
              </w:rPr>
              <w:t>±1.</w:t>
            </w:r>
            <w:r>
              <w:rPr>
                <w:rFonts w:ascii="Arial" w:hAnsi="Arial" w:cs="Arial"/>
                <w:color w:val="000000"/>
                <w:sz w:val="22"/>
                <w:szCs w:val="22"/>
              </w:rPr>
              <w:t>83</w:t>
            </w:r>
          </w:p>
        </w:tc>
        <w:tc>
          <w:tcPr>
            <w:tcW w:w="992" w:type="dxa"/>
            <w:tcBorders>
              <w:bottom w:val="single" w:sz="4" w:space="0" w:color="auto"/>
            </w:tcBorders>
          </w:tcPr>
          <w:p w14:paraId="0FF9EC32" w14:textId="77777777" w:rsidR="006475A7" w:rsidRPr="00163A57" w:rsidRDefault="006475A7" w:rsidP="00E56E65">
            <w:pPr>
              <w:spacing w:line="480" w:lineRule="auto"/>
              <w:jc w:val="center"/>
              <w:rPr>
                <w:rFonts w:ascii="Arial" w:hAnsi="Arial" w:cs="Arial"/>
                <w:sz w:val="22"/>
                <w:szCs w:val="22"/>
              </w:rPr>
            </w:pPr>
            <w:proofErr w:type="gramStart"/>
            <w:r>
              <w:rPr>
                <w:rFonts w:ascii="Arial" w:hAnsi="Arial" w:cs="Arial"/>
                <w:sz w:val="22"/>
                <w:szCs w:val="22"/>
              </w:rPr>
              <w:t>d</w:t>
            </w:r>
            <w:proofErr w:type="gramEnd"/>
          </w:p>
        </w:tc>
      </w:tr>
    </w:tbl>
    <w:p w14:paraId="166219C8" w14:textId="77777777" w:rsidR="00E56E65" w:rsidRDefault="00E56E65" w:rsidP="00E56E65">
      <w:pPr>
        <w:rPr>
          <w:rFonts w:ascii="Arial" w:eastAsiaTheme="minorHAnsi" w:hAnsi="Arial" w:cs="Arial"/>
          <w:lang w:val="en-US"/>
        </w:rPr>
      </w:pPr>
    </w:p>
    <w:p w14:paraId="4C83DBCF" w14:textId="77777777" w:rsidR="00E56E65" w:rsidRDefault="00E56E65" w:rsidP="00E56E65">
      <w:pPr>
        <w:spacing w:line="360" w:lineRule="auto"/>
        <w:jc w:val="both"/>
        <w:rPr>
          <w:rFonts w:ascii="Arial" w:eastAsiaTheme="minorHAnsi" w:hAnsi="Arial" w:cs="Arial"/>
          <w:sz w:val="22"/>
          <w:szCs w:val="22"/>
          <w:lang w:val="en-US"/>
        </w:rPr>
      </w:pPr>
    </w:p>
    <w:p w14:paraId="79946FFC" w14:textId="77777777" w:rsidR="00E56E65" w:rsidRPr="00F20B1F" w:rsidRDefault="00E56E65" w:rsidP="00E56E65">
      <w:pPr>
        <w:spacing w:line="360" w:lineRule="auto"/>
        <w:jc w:val="both"/>
        <w:rPr>
          <w:rFonts w:ascii="Arial" w:eastAsiaTheme="minorHAnsi" w:hAnsi="Arial" w:cs="Arial"/>
          <w:sz w:val="22"/>
          <w:szCs w:val="22"/>
          <w:lang w:val="en-US"/>
        </w:rPr>
      </w:pPr>
      <w:r w:rsidRPr="00F20B1F">
        <w:rPr>
          <w:rFonts w:ascii="Arial" w:hAnsi="Arial" w:cs="Arial"/>
          <w:color w:val="000000"/>
          <w:sz w:val="22"/>
          <w:szCs w:val="22"/>
        </w:rPr>
        <w:t xml:space="preserve">Ct.Ar = cortical bone area; Tt.Ar = </w:t>
      </w:r>
      <w:r w:rsidRPr="00F20B1F">
        <w:rPr>
          <w:rFonts w:ascii="Arial" w:hAnsi="Arial" w:cs="Arial"/>
          <w:color w:val="000000" w:themeColor="text1"/>
          <w:sz w:val="22"/>
          <w:szCs w:val="22"/>
        </w:rPr>
        <w:t xml:space="preserve">total cross-sectional area; </w:t>
      </w:r>
      <w:r w:rsidRPr="00F20B1F">
        <w:rPr>
          <w:rFonts w:ascii="Arial" w:hAnsi="Arial" w:cs="Arial"/>
          <w:color w:val="000000"/>
          <w:sz w:val="22"/>
          <w:szCs w:val="22"/>
        </w:rPr>
        <w:t xml:space="preserve">Ma.Ar = </w:t>
      </w:r>
      <w:r w:rsidRPr="00F20B1F">
        <w:rPr>
          <w:rFonts w:ascii="Arial" w:hAnsi="Arial" w:cs="Arial"/>
          <w:color w:val="000000" w:themeColor="text1"/>
          <w:sz w:val="22"/>
          <w:szCs w:val="22"/>
        </w:rPr>
        <w:t xml:space="preserve">marrow area; </w:t>
      </w:r>
      <w:r w:rsidRPr="00F20B1F">
        <w:rPr>
          <w:rFonts w:ascii="Arial" w:hAnsi="Arial" w:cs="Arial"/>
          <w:color w:val="000000"/>
          <w:sz w:val="22"/>
          <w:szCs w:val="22"/>
        </w:rPr>
        <w:t xml:space="preserve">Ct.Th = </w:t>
      </w:r>
      <w:r w:rsidRPr="00F20B1F">
        <w:rPr>
          <w:rFonts w:ascii="Arial" w:hAnsi="Arial" w:cs="Arial"/>
          <w:color w:val="000000" w:themeColor="text1"/>
          <w:sz w:val="22"/>
          <w:szCs w:val="22"/>
        </w:rPr>
        <w:t>cortical thickness</w:t>
      </w:r>
      <w:r w:rsidR="00833C5A">
        <w:rPr>
          <w:rFonts w:ascii="Arial" w:hAnsi="Arial" w:cs="Arial"/>
          <w:color w:val="000000" w:themeColor="text1"/>
          <w:sz w:val="22"/>
          <w:szCs w:val="22"/>
        </w:rPr>
        <w:t>;</w:t>
      </w:r>
      <w:r w:rsidR="00833C5A" w:rsidRPr="00833C5A">
        <w:rPr>
          <w:rFonts w:ascii="Arial" w:eastAsiaTheme="minorHAnsi" w:hAnsi="Arial" w:cs="Arial"/>
          <w:sz w:val="22"/>
          <w:szCs w:val="22"/>
          <w:lang w:val="en-US"/>
        </w:rPr>
        <w:t xml:space="preserve"> </w:t>
      </w:r>
      <w:r w:rsidR="00833C5A" w:rsidRPr="00F20B1F">
        <w:rPr>
          <w:rFonts w:ascii="Arial" w:eastAsiaTheme="minorHAnsi" w:hAnsi="Arial" w:cs="Arial"/>
          <w:sz w:val="22"/>
          <w:szCs w:val="22"/>
          <w:lang w:val="en-US"/>
        </w:rPr>
        <w:t xml:space="preserve">BV/TV = trabecular bone volume; </w:t>
      </w:r>
      <w:r w:rsidR="00833C5A" w:rsidRPr="00F20B1F">
        <w:rPr>
          <w:rFonts w:ascii="Arial" w:hAnsi="Arial" w:cs="Arial"/>
          <w:color w:val="000000"/>
          <w:sz w:val="22"/>
          <w:szCs w:val="22"/>
        </w:rPr>
        <w:t>Tb.Th = trabecular thickness; Tb.N = trabecular number; Tb.Pf = trabecular pattern factor</w:t>
      </w:r>
    </w:p>
    <w:p w14:paraId="4E9903F1" w14:textId="77777777" w:rsidR="00E56E65" w:rsidRDefault="00E56E65" w:rsidP="00E56E65">
      <w:pPr>
        <w:spacing w:line="360" w:lineRule="auto"/>
        <w:jc w:val="both"/>
        <w:rPr>
          <w:rFonts w:ascii="Arial" w:eastAsiaTheme="minorHAnsi" w:hAnsi="Arial" w:cs="Arial"/>
          <w:sz w:val="22"/>
          <w:szCs w:val="22"/>
          <w:lang w:val="en-US"/>
        </w:rPr>
      </w:pPr>
      <w:r w:rsidRPr="00337C29">
        <w:rPr>
          <w:rFonts w:ascii="Arial" w:eastAsiaTheme="minorHAnsi" w:hAnsi="Arial" w:cs="Arial"/>
          <w:sz w:val="22"/>
          <w:szCs w:val="22"/>
          <w:lang w:val="en-US"/>
        </w:rPr>
        <w:t>Values are mean</w:t>
      </w:r>
      <w:r w:rsidRPr="00337C29">
        <w:rPr>
          <w:rFonts w:ascii="Arial" w:eastAsia="MS Gothic" w:hAnsi="Arial" w:cs="Arial"/>
          <w:sz w:val="22"/>
          <w:szCs w:val="22"/>
        </w:rPr>
        <w:t>±</w:t>
      </w:r>
      <w:r w:rsidRPr="00337C29">
        <w:rPr>
          <w:rFonts w:ascii="Arial" w:eastAsiaTheme="minorHAnsi" w:hAnsi="Arial" w:cs="Arial"/>
          <w:sz w:val="22"/>
          <w:szCs w:val="22"/>
          <w:lang w:val="en-US"/>
        </w:rPr>
        <w:t>SE.</w:t>
      </w:r>
      <w:r>
        <w:rPr>
          <w:rFonts w:ascii="Arial" w:eastAsiaTheme="minorHAnsi" w:hAnsi="Arial" w:cs="Arial"/>
          <w:sz w:val="22"/>
          <w:szCs w:val="22"/>
          <w:lang w:val="en-US"/>
        </w:rPr>
        <w:t xml:space="preserve"> </w:t>
      </w:r>
      <w:proofErr w:type="gramStart"/>
      <w:r w:rsidRPr="00337C29">
        <w:rPr>
          <w:rFonts w:ascii="Arial" w:eastAsia="MS Gothic" w:hAnsi="Arial" w:cs="Arial"/>
          <w:color w:val="000000"/>
          <w:sz w:val="22"/>
          <w:szCs w:val="22"/>
          <w:vertAlign w:val="superscript"/>
        </w:rPr>
        <w:t>b</w:t>
      </w:r>
      <w:proofErr w:type="gramEnd"/>
      <w:r w:rsidRPr="00337C29">
        <w:rPr>
          <w:rFonts w:ascii="Arial" w:eastAsiaTheme="minorHAnsi" w:hAnsi="Arial" w:cs="Arial"/>
          <w:sz w:val="22"/>
          <w:szCs w:val="22"/>
          <w:lang w:val="en-US"/>
        </w:rPr>
        <w:t xml:space="preserve"> p&lt;0.01, </w:t>
      </w:r>
      <w:r w:rsidRPr="00337C29">
        <w:rPr>
          <w:rFonts w:ascii="Arial" w:eastAsia="MS Gothic" w:hAnsi="Arial" w:cs="Arial"/>
          <w:color w:val="000000"/>
          <w:sz w:val="22"/>
          <w:szCs w:val="22"/>
          <w:vertAlign w:val="superscript"/>
        </w:rPr>
        <w:t xml:space="preserve">c </w:t>
      </w:r>
      <w:r w:rsidRPr="00337C29">
        <w:rPr>
          <w:rFonts w:ascii="Arial" w:eastAsiaTheme="minorHAnsi" w:hAnsi="Arial" w:cs="Arial"/>
          <w:sz w:val="22"/>
          <w:szCs w:val="22"/>
          <w:lang w:val="en-US"/>
        </w:rPr>
        <w:t>p&lt;0.001,</w:t>
      </w:r>
      <w:r w:rsidRPr="00337C29">
        <w:rPr>
          <w:rFonts w:ascii="Arial" w:hAnsi="Arial" w:cs="Arial"/>
          <w:noProof/>
          <w:color w:val="000000" w:themeColor="text1"/>
          <w:sz w:val="22"/>
          <w:szCs w:val="22"/>
        </w:rPr>
        <w:t xml:space="preserve"> </w:t>
      </w:r>
      <w:r w:rsidRPr="00337C29">
        <w:rPr>
          <w:rFonts w:ascii="Arial" w:eastAsia="MS Gothic" w:hAnsi="Arial" w:cs="Arial"/>
          <w:color w:val="000000"/>
          <w:sz w:val="22"/>
          <w:szCs w:val="22"/>
          <w:vertAlign w:val="superscript"/>
        </w:rPr>
        <w:t>d</w:t>
      </w:r>
      <w:r w:rsidRPr="00337C29">
        <w:rPr>
          <w:rFonts w:ascii="Arial" w:eastAsiaTheme="minorHAnsi" w:hAnsi="Arial" w:cs="Arial"/>
          <w:sz w:val="22"/>
          <w:szCs w:val="22"/>
          <w:lang w:val="en-US"/>
        </w:rPr>
        <w:t xml:space="preserve"> p&lt;0.0001</w:t>
      </w:r>
    </w:p>
    <w:p w14:paraId="5F3915E2" w14:textId="77777777" w:rsidR="00E56E65" w:rsidRDefault="00E56E65" w:rsidP="00E56E65">
      <w:pPr>
        <w:spacing w:line="360" w:lineRule="auto"/>
        <w:jc w:val="both"/>
        <w:rPr>
          <w:rFonts w:ascii="Arial" w:eastAsiaTheme="minorHAnsi" w:hAnsi="Arial" w:cs="Arial"/>
          <w:sz w:val="22"/>
          <w:szCs w:val="22"/>
          <w:lang w:val="en-US"/>
        </w:rPr>
      </w:pPr>
    </w:p>
    <w:p w14:paraId="2C095712" w14:textId="77777777" w:rsidR="00E56E65" w:rsidRDefault="00E56E65" w:rsidP="00E56E65">
      <w:pPr>
        <w:spacing w:line="360" w:lineRule="auto"/>
        <w:jc w:val="both"/>
        <w:rPr>
          <w:rFonts w:ascii="Arial" w:eastAsiaTheme="minorHAnsi" w:hAnsi="Arial" w:cs="Arial"/>
          <w:sz w:val="22"/>
          <w:szCs w:val="22"/>
          <w:lang w:val="en-US"/>
        </w:rPr>
      </w:pPr>
    </w:p>
    <w:p w14:paraId="7D5E0A74" w14:textId="77777777" w:rsidR="00E56E65" w:rsidRDefault="00E56E65" w:rsidP="00E56E65">
      <w:pPr>
        <w:spacing w:line="360" w:lineRule="auto"/>
        <w:jc w:val="both"/>
        <w:rPr>
          <w:rFonts w:ascii="Arial" w:eastAsiaTheme="minorHAnsi" w:hAnsi="Arial" w:cs="Arial"/>
          <w:sz w:val="22"/>
          <w:szCs w:val="22"/>
          <w:lang w:val="en-US"/>
        </w:rPr>
      </w:pPr>
    </w:p>
    <w:p w14:paraId="1BC3F7D5" w14:textId="77777777" w:rsidR="00E56E65" w:rsidRDefault="00E56E65" w:rsidP="00E56E65">
      <w:pPr>
        <w:spacing w:line="360" w:lineRule="auto"/>
        <w:jc w:val="both"/>
        <w:rPr>
          <w:rFonts w:ascii="Arial" w:eastAsiaTheme="minorHAnsi" w:hAnsi="Arial" w:cs="Arial"/>
          <w:sz w:val="22"/>
          <w:szCs w:val="22"/>
          <w:lang w:val="en-US"/>
        </w:rPr>
      </w:pPr>
    </w:p>
    <w:p w14:paraId="48076B3D" w14:textId="77777777" w:rsidR="00E56E65" w:rsidRDefault="00E56E65" w:rsidP="00E56E65">
      <w:pPr>
        <w:spacing w:line="360" w:lineRule="auto"/>
        <w:jc w:val="both"/>
        <w:rPr>
          <w:rFonts w:ascii="Arial" w:eastAsiaTheme="minorHAnsi" w:hAnsi="Arial" w:cs="Arial"/>
          <w:sz w:val="22"/>
          <w:szCs w:val="22"/>
          <w:lang w:val="en-US"/>
        </w:rPr>
      </w:pPr>
    </w:p>
    <w:p w14:paraId="5FA9DA3A" w14:textId="77777777" w:rsidR="00E56E65" w:rsidRDefault="00E56E65" w:rsidP="00E56E65">
      <w:pPr>
        <w:spacing w:line="360" w:lineRule="auto"/>
        <w:jc w:val="both"/>
        <w:rPr>
          <w:rFonts w:ascii="Arial" w:eastAsiaTheme="minorHAnsi" w:hAnsi="Arial" w:cs="Arial"/>
          <w:sz w:val="22"/>
          <w:szCs w:val="22"/>
          <w:lang w:val="en-US"/>
        </w:rPr>
      </w:pPr>
    </w:p>
    <w:p w14:paraId="1225BF76" w14:textId="77777777" w:rsidR="00E56E65" w:rsidRDefault="00E56E65" w:rsidP="00E56E65">
      <w:pPr>
        <w:spacing w:line="360" w:lineRule="auto"/>
        <w:jc w:val="both"/>
        <w:rPr>
          <w:rFonts w:ascii="Arial" w:eastAsiaTheme="minorHAnsi" w:hAnsi="Arial" w:cs="Arial"/>
          <w:sz w:val="22"/>
          <w:szCs w:val="22"/>
          <w:lang w:val="en-US"/>
        </w:rPr>
      </w:pPr>
    </w:p>
    <w:p w14:paraId="4D2EC3EB" w14:textId="77777777" w:rsidR="00E56E65" w:rsidRDefault="00E56E65" w:rsidP="00E56E65">
      <w:pPr>
        <w:spacing w:line="360" w:lineRule="auto"/>
        <w:jc w:val="both"/>
        <w:rPr>
          <w:rFonts w:ascii="Arial" w:eastAsiaTheme="minorHAnsi" w:hAnsi="Arial" w:cs="Arial"/>
          <w:sz w:val="22"/>
          <w:szCs w:val="22"/>
          <w:lang w:val="en-US"/>
        </w:rPr>
      </w:pPr>
    </w:p>
    <w:p w14:paraId="161EF51A" w14:textId="77777777" w:rsidR="00E56E65" w:rsidRDefault="00E56E65" w:rsidP="00E56E65">
      <w:pPr>
        <w:spacing w:line="360" w:lineRule="auto"/>
        <w:jc w:val="both"/>
        <w:rPr>
          <w:rFonts w:ascii="Arial" w:hAnsi="Arial" w:cs="Arial"/>
          <w:noProof/>
          <w:color w:val="000000" w:themeColor="text1"/>
          <w:sz w:val="22"/>
          <w:szCs w:val="22"/>
        </w:rPr>
      </w:pPr>
    </w:p>
    <w:p w14:paraId="3CAD9B0C" w14:textId="77777777" w:rsidR="00E56E65" w:rsidRDefault="00E56E65" w:rsidP="00E56E65">
      <w:pPr>
        <w:spacing w:line="360" w:lineRule="auto"/>
        <w:jc w:val="both"/>
        <w:rPr>
          <w:rFonts w:ascii="Arial" w:hAnsi="Arial" w:cs="Arial"/>
          <w:noProof/>
          <w:color w:val="000000" w:themeColor="text1"/>
          <w:sz w:val="22"/>
          <w:szCs w:val="22"/>
        </w:rPr>
      </w:pPr>
    </w:p>
    <w:p w14:paraId="6B21E277" w14:textId="77777777" w:rsidR="004632C8" w:rsidRDefault="004632C8" w:rsidP="00E56E65">
      <w:pPr>
        <w:spacing w:line="360" w:lineRule="auto"/>
        <w:jc w:val="both"/>
        <w:rPr>
          <w:rFonts w:ascii="Arial" w:hAnsi="Arial" w:cs="Arial"/>
          <w:noProof/>
          <w:color w:val="000000" w:themeColor="text1"/>
          <w:sz w:val="22"/>
          <w:szCs w:val="22"/>
        </w:rPr>
      </w:pPr>
    </w:p>
    <w:p w14:paraId="0DF9D789" w14:textId="77777777" w:rsidR="00092BC6" w:rsidRPr="00337C29" w:rsidRDefault="00092BC6" w:rsidP="00E56E65">
      <w:pPr>
        <w:spacing w:line="360" w:lineRule="auto"/>
        <w:jc w:val="both"/>
        <w:rPr>
          <w:rFonts w:ascii="Arial" w:hAnsi="Arial" w:cs="Arial"/>
          <w:noProof/>
          <w:color w:val="000000" w:themeColor="text1"/>
          <w:sz w:val="22"/>
          <w:szCs w:val="22"/>
        </w:rPr>
      </w:pPr>
    </w:p>
    <w:p w14:paraId="44CE5040" w14:textId="77777777" w:rsidR="00E56E65" w:rsidRPr="00644AC1" w:rsidRDefault="00E56E65" w:rsidP="00204988">
      <w:pPr>
        <w:pStyle w:val="TOCHeading"/>
        <w:rPr>
          <w:color w:val="000000" w:themeColor="text1"/>
          <w:sz w:val="24"/>
          <w:szCs w:val="24"/>
        </w:rPr>
      </w:pPr>
      <w:r>
        <w:drawing>
          <wp:inline distT="0" distB="0" distL="0" distR="0" wp14:anchorId="1092E7C1" wp14:editId="6ED1965A">
            <wp:extent cx="3101789" cy="2884907"/>
            <wp:effectExtent l="0" t="0" r="0" b="10795"/>
            <wp:docPr id="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02362" cy="2885440"/>
                    </a:xfrm>
                    <a:prstGeom prst="rect">
                      <a:avLst/>
                    </a:prstGeom>
                    <a:noFill/>
                    <a:ln>
                      <a:noFill/>
                    </a:ln>
                  </pic:spPr>
                </pic:pic>
              </a:graphicData>
            </a:graphic>
          </wp:inline>
        </w:drawing>
      </w:r>
      <w:r w:rsidRPr="00C60619">
        <w:t xml:space="preserve"> </w:t>
      </w:r>
      <w:r>
        <w:drawing>
          <wp:inline distT="0" distB="0" distL="0" distR="0" wp14:anchorId="7981F739" wp14:editId="09F641B8">
            <wp:extent cx="2942303" cy="2545829"/>
            <wp:effectExtent l="0" t="0" r="4445" b="0"/>
            <wp:docPr id="3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42905" cy="2546350"/>
                    </a:xfrm>
                    <a:prstGeom prst="rect">
                      <a:avLst/>
                    </a:prstGeom>
                    <a:noFill/>
                    <a:ln>
                      <a:noFill/>
                    </a:ln>
                  </pic:spPr>
                </pic:pic>
              </a:graphicData>
            </a:graphic>
          </wp:inline>
        </w:drawing>
      </w:r>
    </w:p>
    <w:p w14:paraId="39E98AE8" w14:textId="77777777" w:rsidR="00BC4B12" w:rsidRDefault="00E56E65" w:rsidP="005E4EA5">
      <w:pPr>
        <w:pStyle w:val="TOCHeading"/>
        <w:ind w:firstLine="270"/>
      </w:pPr>
      <w:r>
        <w:drawing>
          <wp:inline distT="0" distB="0" distL="0" distR="0" wp14:anchorId="4743D4A2" wp14:editId="10412BD0">
            <wp:extent cx="2895600" cy="2540000"/>
            <wp:effectExtent l="0" t="0" r="0" b="0"/>
            <wp:docPr id="19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95600" cy="2540000"/>
                    </a:xfrm>
                    <a:prstGeom prst="rect">
                      <a:avLst/>
                    </a:prstGeom>
                    <a:noFill/>
                    <a:ln>
                      <a:noFill/>
                    </a:ln>
                  </pic:spPr>
                </pic:pic>
              </a:graphicData>
            </a:graphic>
          </wp:inline>
        </w:drawing>
      </w:r>
      <w:r w:rsidRPr="009B6668">
        <w:t xml:space="preserve"> </w:t>
      </w:r>
      <w:r>
        <w:rPr>
          <w:color w:val="000000" w:themeColor="text1"/>
          <w:sz w:val="24"/>
          <w:szCs w:val="24"/>
        </w:rPr>
        <w:drawing>
          <wp:inline distT="0" distB="0" distL="0" distR="0" wp14:anchorId="2F3A7FB0" wp14:editId="72415475">
            <wp:extent cx="2958353" cy="2529351"/>
            <wp:effectExtent l="0" t="0" r="0" b="10795"/>
            <wp:docPr id="3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958353" cy="2529351"/>
                    </a:xfrm>
                    <a:prstGeom prst="rect">
                      <a:avLst/>
                    </a:prstGeom>
                    <a:noFill/>
                    <a:ln>
                      <a:noFill/>
                    </a:ln>
                  </pic:spPr>
                </pic:pic>
              </a:graphicData>
            </a:graphic>
          </wp:inline>
        </w:drawing>
      </w:r>
    </w:p>
    <w:p w14:paraId="4F82B016" w14:textId="77777777" w:rsidR="00C90D9B" w:rsidRDefault="00C90D9B" w:rsidP="00834001">
      <w:pPr>
        <w:pStyle w:val="Caption"/>
        <w:spacing w:line="360" w:lineRule="auto"/>
        <w:jc w:val="both"/>
        <w:rPr>
          <w:rFonts w:ascii="Arial" w:hAnsi="Arial" w:cs="Arial"/>
          <w:color w:val="244061" w:themeColor="accent1" w:themeShade="80"/>
          <w:sz w:val="24"/>
          <w:szCs w:val="24"/>
        </w:rPr>
      </w:pPr>
      <w:bookmarkStart w:id="115" w:name="_Toc383544628"/>
    </w:p>
    <w:p w14:paraId="63AA129C" w14:textId="77777777" w:rsidR="00E56E65" w:rsidRPr="00834001" w:rsidRDefault="00BC4B12" w:rsidP="00834001">
      <w:pPr>
        <w:pStyle w:val="Caption"/>
        <w:spacing w:line="360" w:lineRule="auto"/>
        <w:jc w:val="both"/>
        <w:rPr>
          <w:rFonts w:ascii="Arial" w:hAnsi="Arial" w:cs="Arial"/>
          <w:color w:val="244061" w:themeColor="accent1" w:themeShade="80"/>
          <w:sz w:val="24"/>
          <w:szCs w:val="24"/>
        </w:rPr>
      </w:pPr>
      <w:r w:rsidRPr="00834001">
        <w:rPr>
          <w:rFonts w:ascii="Arial" w:hAnsi="Arial" w:cs="Arial"/>
          <w:color w:val="244061" w:themeColor="accent1" w:themeShade="80"/>
          <w:sz w:val="24"/>
          <w:szCs w:val="24"/>
        </w:rPr>
        <w:t xml:space="preserve">Figure </w:t>
      </w:r>
      <w:r w:rsidRPr="00834001">
        <w:rPr>
          <w:rFonts w:ascii="Arial" w:hAnsi="Arial" w:cs="Arial"/>
          <w:color w:val="244061" w:themeColor="accent1" w:themeShade="80"/>
          <w:sz w:val="24"/>
          <w:szCs w:val="24"/>
        </w:rPr>
        <w:fldChar w:fldCharType="begin"/>
      </w:r>
      <w:r w:rsidRPr="00834001">
        <w:rPr>
          <w:rFonts w:ascii="Arial" w:hAnsi="Arial" w:cs="Arial"/>
          <w:color w:val="244061" w:themeColor="accent1" w:themeShade="80"/>
          <w:sz w:val="24"/>
          <w:szCs w:val="24"/>
        </w:rPr>
        <w:instrText xml:space="preserve"> SEQ Figure \* ARABIC </w:instrText>
      </w:r>
      <w:r w:rsidRPr="00834001">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37</w:t>
      </w:r>
      <w:r w:rsidRPr="00834001">
        <w:rPr>
          <w:rFonts w:ascii="Arial" w:hAnsi="Arial" w:cs="Arial"/>
          <w:color w:val="244061" w:themeColor="accent1" w:themeShade="80"/>
          <w:sz w:val="24"/>
          <w:szCs w:val="24"/>
        </w:rPr>
        <w:fldChar w:fldCharType="end"/>
      </w:r>
      <w:r w:rsidRPr="00834001">
        <w:rPr>
          <w:rFonts w:ascii="Arial" w:hAnsi="Arial" w:cs="Arial"/>
          <w:color w:val="244061" w:themeColor="accent1" w:themeShade="80"/>
          <w:sz w:val="24"/>
          <w:szCs w:val="24"/>
        </w:rPr>
        <w:t xml:space="preserve"> </w:t>
      </w:r>
      <w:r w:rsidR="00E56E65" w:rsidRPr="00834001">
        <w:rPr>
          <w:rFonts w:ascii="Arial" w:hAnsi="Arial" w:cs="Arial"/>
          <w:color w:val="244061" w:themeColor="accent1" w:themeShade="80"/>
          <w:sz w:val="24"/>
          <w:szCs w:val="24"/>
        </w:rPr>
        <w:t>Corti</w:t>
      </w:r>
      <w:r w:rsidR="00834001">
        <w:rPr>
          <w:rFonts w:ascii="Arial" w:hAnsi="Arial" w:cs="Arial"/>
          <w:color w:val="244061" w:themeColor="accent1" w:themeShade="80"/>
          <w:sz w:val="24"/>
          <w:szCs w:val="24"/>
        </w:rPr>
        <w:t xml:space="preserve">cal bone mass and architecture </w:t>
      </w:r>
      <w:r w:rsidR="00E56E65" w:rsidRPr="00834001">
        <w:rPr>
          <w:rFonts w:ascii="Arial" w:hAnsi="Arial" w:cs="Arial"/>
          <w:color w:val="244061" w:themeColor="accent1" w:themeShade="80"/>
          <w:sz w:val="24"/>
          <w:szCs w:val="24"/>
        </w:rPr>
        <w:t xml:space="preserve">measured at the mid-shaft region of the left non-loaded (control) and right loaded tibiae with maximal loading regimen of 19-week-old fed (n=6) or overnight fasted </w:t>
      </w:r>
      <w:r w:rsidR="00834001">
        <w:rPr>
          <w:rFonts w:ascii="Arial" w:hAnsi="Arial" w:cs="Arial"/>
          <w:color w:val="244061" w:themeColor="accent1" w:themeShade="80"/>
          <w:sz w:val="24"/>
          <w:szCs w:val="24"/>
        </w:rPr>
        <w:t>3-hour</w:t>
      </w:r>
      <w:r w:rsidR="00834001" w:rsidRPr="00834001">
        <w:rPr>
          <w:rFonts w:ascii="Arial" w:hAnsi="Arial" w:cs="Arial"/>
          <w:color w:val="244061" w:themeColor="accent1" w:themeShade="80"/>
          <w:sz w:val="24"/>
          <w:szCs w:val="24"/>
        </w:rPr>
        <w:t xml:space="preserve"> </w:t>
      </w:r>
      <w:r w:rsidR="00E56E65" w:rsidRPr="00834001">
        <w:rPr>
          <w:rFonts w:ascii="Arial" w:hAnsi="Arial" w:cs="Arial"/>
          <w:color w:val="244061" w:themeColor="accent1" w:themeShade="80"/>
          <w:sz w:val="24"/>
          <w:szCs w:val="24"/>
        </w:rPr>
        <w:t>fed (n=7) male mice</w:t>
      </w:r>
      <w:bookmarkEnd w:id="115"/>
      <w:r w:rsidR="00E56E65" w:rsidRPr="00834001">
        <w:rPr>
          <w:rFonts w:ascii="Arial" w:hAnsi="Arial" w:cs="Arial"/>
          <w:color w:val="244061" w:themeColor="accent1" w:themeShade="80"/>
          <w:sz w:val="24"/>
          <w:szCs w:val="24"/>
        </w:rPr>
        <w:t xml:space="preserve"> </w:t>
      </w:r>
    </w:p>
    <w:p w14:paraId="0E98C39D" w14:textId="77777777" w:rsidR="00E56E65" w:rsidRPr="00337C29" w:rsidRDefault="00E56E65" w:rsidP="00E56E65">
      <w:pPr>
        <w:spacing w:line="360" w:lineRule="auto"/>
        <w:jc w:val="both"/>
        <w:rPr>
          <w:rFonts w:ascii="Arial" w:hAnsi="Arial"/>
          <w:bCs/>
          <w:sz w:val="22"/>
          <w:szCs w:val="22"/>
          <w:lang w:val="en-US"/>
        </w:rPr>
      </w:pPr>
      <w:r w:rsidRPr="00337C29">
        <w:rPr>
          <w:rFonts w:ascii="Arial" w:eastAsiaTheme="minorHAnsi" w:hAnsi="Arial" w:cs="Arial"/>
          <w:sz w:val="22"/>
          <w:szCs w:val="22"/>
          <w:lang w:val="en-US"/>
        </w:rPr>
        <w:t>M</w:t>
      </w:r>
      <w:r>
        <w:rPr>
          <w:rFonts w:ascii="Arial" w:eastAsiaTheme="minorHAnsi" w:hAnsi="Arial" w:cs="Arial"/>
          <w:sz w:val="22"/>
          <w:szCs w:val="22"/>
          <w:lang w:val="en-US"/>
        </w:rPr>
        <w:t>aximal m</w:t>
      </w:r>
      <w:r w:rsidRPr="00337C29">
        <w:rPr>
          <w:rFonts w:ascii="Arial" w:eastAsiaTheme="minorHAnsi" w:hAnsi="Arial" w:cs="Arial"/>
          <w:sz w:val="22"/>
          <w:szCs w:val="22"/>
          <w:lang w:val="en-US"/>
        </w:rPr>
        <w:t xml:space="preserve">echanical loading induced significant increase in Ct.Ar and Ct.Th in the right loaded tibiae compared with the left unloaded </w:t>
      </w:r>
      <w:r>
        <w:rPr>
          <w:rFonts w:ascii="Arial" w:eastAsiaTheme="minorHAnsi" w:hAnsi="Arial" w:cs="Arial"/>
          <w:sz w:val="22"/>
          <w:szCs w:val="22"/>
          <w:lang w:val="en-US"/>
        </w:rPr>
        <w:t xml:space="preserve">control </w:t>
      </w:r>
      <w:r w:rsidRPr="00337C29">
        <w:rPr>
          <w:rFonts w:ascii="Arial" w:eastAsiaTheme="minorHAnsi" w:hAnsi="Arial" w:cs="Arial"/>
          <w:sz w:val="22"/>
          <w:szCs w:val="22"/>
          <w:lang w:val="en-US"/>
        </w:rPr>
        <w:t xml:space="preserve">tibiae in both groups (A, D), </w:t>
      </w:r>
      <w:r w:rsidRPr="00337C29">
        <w:rPr>
          <w:rFonts w:ascii="Arial" w:hAnsi="Arial"/>
          <w:bCs/>
          <w:sz w:val="22"/>
          <w:szCs w:val="22"/>
          <w:lang w:val="en-US"/>
        </w:rPr>
        <w:t>but there were no significant differences between the groups</w:t>
      </w:r>
      <w:r w:rsidRPr="00337C29">
        <w:rPr>
          <w:rFonts w:ascii="Arial" w:eastAsiaTheme="minorHAnsi" w:hAnsi="Arial" w:cs="Arial"/>
          <w:sz w:val="22"/>
          <w:szCs w:val="22"/>
          <w:lang w:val="en-US"/>
        </w:rPr>
        <w:t>. There were no significant differences in Tt.Ar and Ma.Ar measured within and between the experimental groups (B, C)</w:t>
      </w:r>
      <w:r w:rsidRPr="00337C29">
        <w:rPr>
          <w:rFonts w:ascii="Arial" w:hAnsi="Arial"/>
          <w:bCs/>
          <w:sz w:val="22"/>
          <w:szCs w:val="22"/>
          <w:lang w:val="en-US"/>
        </w:rPr>
        <w:t xml:space="preserve">. </w:t>
      </w:r>
    </w:p>
    <w:p w14:paraId="159528D1" w14:textId="77777777" w:rsidR="00E56E65" w:rsidRPr="00DA0812" w:rsidRDefault="00E56E65" w:rsidP="00E56E65">
      <w:pPr>
        <w:spacing w:line="360" w:lineRule="auto"/>
        <w:jc w:val="both"/>
        <w:rPr>
          <w:rFonts w:ascii="Arial" w:hAnsi="Arial"/>
          <w:bCs/>
          <w:sz w:val="22"/>
          <w:szCs w:val="22"/>
          <w:lang w:val="en-US"/>
        </w:rPr>
      </w:pPr>
      <w:r w:rsidRPr="00DA0812">
        <w:rPr>
          <w:rFonts w:ascii="Arial" w:eastAsiaTheme="minorHAnsi" w:hAnsi="Arial" w:cs="Arial"/>
          <w:sz w:val="22"/>
          <w:szCs w:val="22"/>
          <w:lang w:val="en-US"/>
        </w:rPr>
        <w:t>Bars represent mean</w:t>
      </w:r>
      <w:r w:rsidRPr="00DA0812">
        <w:rPr>
          <w:rFonts w:ascii="Arial" w:eastAsia="MS Gothic" w:hAnsi="Arial" w:cs="Arial"/>
          <w:sz w:val="22"/>
          <w:szCs w:val="22"/>
        </w:rPr>
        <w:t>±</w:t>
      </w:r>
      <w:r w:rsidRPr="00DA0812">
        <w:rPr>
          <w:rFonts w:ascii="Arial" w:eastAsiaTheme="minorHAnsi" w:hAnsi="Arial" w:cs="Arial"/>
          <w:sz w:val="22"/>
          <w:szCs w:val="22"/>
          <w:lang w:val="en-US"/>
        </w:rPr>
        <w:t xml:space="preserve">SE. ** </w:t>
      </w:r>
      <w:proofErr w:type="gramStart"/>
      <w:r w:rsidRPr="00DA0812">
        <w:rPr>
          <w:rFonts w:ascii="Arial" w:eastAsiaTheme="minorHAnsi" w:hAnsi="Arial" w:cs="Arial"/>
          <w:sz w:val="22"/>
          <w:szCs w:val="22"/>
          <w:lang w:val="en-US"/>
        </w:rPr>
        <w:t>p</w:t>
      </w:r>
      <w:proofErr w:type="gramEnd"/>
      <w:r w:rsidRPr="00DA0812">
        <w:rPr>
          <w:rFonts w:ascii="Arial" w:eastAsiaTheme="minorHAnsi" w:hAnsi="Arial" w:cs="Arial"/>
          <w:sz w:val="22"/>
          <w:szCs w:val="22"/>
          <w:lang w:val="en-US"/>
        </w:rPr>
        <w:t>&lt;0.01, *** p&lt;0.001, **** p&lt;0.0001</w:t>
      </w:r>
    </w:p>
    <w:p w14:paraId="164B980B" w14:textId="77777777" w:rsidR="00E56E65" w:rsidRPr="00FA0BB3" w:rsidRDefault="00E56E65" w:rsidP="00FA0BB3">
      <w:pPr>
        <w:pStyle w:val="Heading3"/>
        <w:spacing w:line="480" w:lineRule="auto"/>
        <w:jc w:val="both"/>
        <w:rPr>
          <w:rFonts w:ascii="Arial" w:hAnsi="Arial" w:cs="Arial"/>
          <w:noProof/>
          <w:color w:val="auto"/>
        </w:rPr>
      </w:pPr>
      <w:bookmarkStart w:id="116" w:name="_Toc383723899"/>
      <w:r w:rsidRPr="00FA0BB3">
        <w:rPr>
          <w:rFonts w:ascii="Arial" w:hAnsi="Arial" w:cs="Arial"/>
          <w:noProof/>
          <w:color w:val="auto"/>
        </w:rPr>
        <w:lastRenderedPageBreak/>
        <w:t xml:space="preserve">4.2.7 The effect of maximal mechanical loading on tibial trabecular bone mass and architecture of fed or fasted </w:t>
      </w:r>
      <w:r w:rsidR="00C90D9B">
        <w:rPr>
          <w:rFonts w:ascii="Arial" w:hAnsi="Arial" w:cs="Arial"/>
          <w:noProof/>
          <w:color w:val="auto"/>
        </w:rPr>
        <w:t xml:space="preserve">3-hour fed young </w:t>
      </w:r>
      <w:r w:rsidRPr="00FA0BB3">
        <w:rPr>
          <w:rFonts w:ascii="Arial" w:hAnsi="Arial" w:cs="Arial"/>
          <w:noProof/>
          <w:color w:val="auto"/>
        </w:rPr>
        <w:t>mice</w:t>
      </w:r>
      <w:bookmarkEnd w:id="116"/>
    </w:p>
    <w:p w14:paraId="6D14A7B9" w14:textId="77777777" w:rsidR="00E56E65" w:rsidRDefault="00E56E65" w:rsidP="00E56E65">
      <w:pPr>
        <w:spacing w:line="480" w:lineRule="auto"/>
        <w:jc w:val="both"/>
        <w:rPr>
          <w:rFonts w:ascii="Arial" w:hAnsi="Arial" w:cs="Arial"/>
          <w:color w:val="000000" w:themeColor="text1"/>
        </w:rPr>
      </w:pPr>
      <w:r>
        <w:rPr>
          <w:rFonts w:ascii="Arial" w:hAnsi="Arial" w:cs="Arial"/>
          <w:bCs/>
          <w:lang w:val="en-US"/>
        </w:rPr>
        <w:t>Similar to the previous study, maximal m</w:t>
      </w:r>
      <w:r w:rsidRPr="00DD07AF">
        <w:rPr>
          <w:rFonts w:ascii="Arial" w:hAnsi="Arial" w:cs="Arial"/>
          <w:bCs/>
          <w:lang w:val="en-US"/>
        </w:rPr>
        <w:t xml:space="preserve">echanical loading </w:t>
      </w:r>
      <w:r>
        <w:rPr>
          <w:rFonts w:ascii="Arial" w:hAnsi="Arial" w:cs="Arial"/>
          <w:bCs/>
          <w:lang w:val="en-US"/>
        </w:rPr>
        <w:t xml:space="preserve">with a peak force of 13N and regimen of 40 cycles </w:t>
      </w:r>
      <w:r w:rsidRPr="00DD07AF">
        <w:rPr>
          <w:rFonts w:ascii="Arial" w:hAnsi="Arial" w:cs="Arial"/>
          <w:bCs/>
          <w:lang w:val="en-US"/>
        </w:rPr>
        <w:t>cause</w:t>
      </w:r>
      <w:r>
        <w:rPr>
          <w:rFonts w:ascii="Arial" w:hAnsi="Arial" w:cs="Arial"/>
          <w:bCs/>
          <w:lang w:val="en-US"/>
        </w:rPr>
        <w:t>d significant adaptive response</w:t>
      </w:r>
      <w:r w:rsidRPr="00DD07AF">
        <w:rPr>
          <w:rFonts w:ascii="Arial" w:hAnsi="Arial" w:cs="Arial"/>
          <w:bCs/>
          <w:lang w:val="en-US"/>
        </w:rPr>
        <w:t xml:space="preserve"> in </w:t>
      </w:r>
      <w:r>
        <w:rPr>
          <w:rFonts w:ascii="Arial" w:hAnsi="Arial" w:cs="Arial"/>
          <w:bCs/>
          <w:lang w:val="en-US"/>
        </w:rPr>
        <w:t xml:space="preserve">trabecular bone of </w:t>
      </w:r>
      <w:r w:rsidRPr="00DD07AF">
        <w:rPr>
          <w:rFonts w:ascii="Arial" w:hAnsi="Arial" w:cs="Arial"/>
          <w:bCs/>
          <w:lang w:val="en-US"/>
        </w:rPr>
        <w:t xml:space="preserve">loaded right tibiae of mice compared with the unloaded left </w:t>
      </w:r>
      <w:r>
        <w:rPr>
          <w:rFonts w:ascii="Arial" w:hAnsi="Arial" w:cs="Arial"/>
          <w:bCs/>
          <w:lang w:val="en-US"/>
        </w:rPr>
        <w:t xml:space="preserve">control </w:t>
      </w:r>
      <w:r w:rsidRPr="00DD07AF">
        <w:rPr>
          <w:rFonts w:ascii="Arial" w:hAnsi="Arial" w:cs="Arial"/>
          <w:bCs/>
          <w:lang w:val="en-US"/>
        </w:rPr>
        <w:t>tibiae</w:t>
      </w:r>
      <w:r>
        <w:rPr>
          <w:rFonts w:ascii="Arial" w:hAnsi="Arial" w:cs="Arial"/>
          <w:bCs/>
          <w:lang w:val="en-US"/>
        </w:rPr>
        <w:t xml:space="preserve">. </w:t>
      </w:r>
      <w:r w:rsidRPr="006635E8">
        <w:rPr>
          <w:rFonts w:ascii="Arial" w:hAnsi="Arial" w:cs="Arial"/>
          <w:color w:val="000000" w:themeColor="text1"/>
        </w:rPr>
        <w:sym w:font="Symbol" w:char="F06D"/>
      </w:r>
      <w:r>
        <w:rPr>
          <w:rFonts w:ascii="Arial" w:hAnsi="Arial" w:cs="Arial"/>
          <w:color w:val="000000" w:themeColor="text1"/>
        </w:rPr>
        <w:t xml:space="preserve">CT </w:t>
      </w:r>
      <w:r>
        <w:rPr>
          <w:rFonts w:ascii="Arial" w:hAnsi="Arial" w:cs="Arial"/>
          <w:bCs/>
          <w:lang w:val="en-US"/>
        </w:rPr>
        <w:t>analysis of the right tibial trabecular bone structure revealed that both ad-lib fed and fed for 3 h</w:t>
      </w:r>
      <w:r w:rsidR="008862BB">
        <w:rPr>
          <w:rFonts w:ascii="Arial" w:hAnsi="Arial" w:cs="Arial"/>
          <w:bCs/>
          <w:lang w:val="en-US"/>
        </w:rPr>
        <w:t>ours following overnight fast</w:t>
      </w:r>
      <w:r>
        <w:rPr>
          <w:rFonts w:ascii="Arial" w:hAnsi="Arial" w:cs="Arial"/>
          <w:bCs/>
          <w:lang w:val="en-US"/>
        </w:rPr>
        <w:t xml:space="preserve"> mice had significantly increased t</w:t>
      </w:r>
      <w:r w:rsidRPr="00DD07AF">
        <w:rPr>
          <w:rFonts w:ascii="Arial" w:hAnsi="Arial" w:cs="Arial"/>
          <w:bCs/>
          <w:lang w:val="en-US"/>
        </w:rPr>
        <w:t xml:space="preserve">rabecular BV/TV </w:t>
      </w:r>
      <w:r>
        <w:rPr>
          <w:rFonts w:ascii="Arial" w:hAnsi="Arial"/>
          <w:bCs/>
          <w:lang w:val="en-US"/>
        </w:rPr>
        <w:t xml:space="preserve">and </w:t>
      </w:r>
      <w:r>
        <w:rPr>
          <w:rFonts w:ascii="Arial" w:hAnsi="Arial" w:cs="Arial"/>
          <w:bCs/>
          <w:lang w:val="en-US"/>
        </w:rPr>
        <w:t>Tb.Th and decreased Tb.Pf compared with t</w:t>
      </w:r>
      <w:r w:rsidR="00320AF7">
        <w:rPr>
          <w:rFonts w:ascii="Arial" w:hAnsi="Arial" w:cs="Arial"/>
          <w:bCs/>
          <w:lang w:val="en-US"/>
        </w:rPr>
        <w:t>hat of the left tibiae (Figure 38</w:t>
      </w:r>
      <w:r>
        <w:rPr>
          <w:rFonts w:ascii="Arial" w:hAnsi="Arial" w:cs="Arial"/>
          <w:bCs/>
          <w:lang w:val="en-US"/>
        </w:rPr>
        <w:t xml:space="preserve">). </w:t>
      </w:r>
      <w:r>
        <w:rPr>
          <w:rFonts w:ascii="Arial" w:hAnsi="Arial" w:cs="Arial"/>
          <w:color w:val="000000" w:themeColor="text1"/>
        </w:rPr>
        <w:t>The quantitative da</w:t>
      </w:r>
      <w:r w:rsidR="00320AF7">
        <w:rPr>
          <w:rFonts w:ascii="Arial" w:hAnsi="Arial" w:cs="Arial"/>
          <w:color w:val="000000" w:themeColor="text1"/>
        </w:rPr>
        <w:t>ta are summarised in the Table 5 (section 4.2.6</w:t>
      </w:r>
      <w:r>
        <w:rPr>
          <w:rFonts w:ascii="Arial" w:hAnsi="Arial" w:cs="Arial"/>
          <w:color w:val="000000" w:themeColor="text1"/>
        </w:rPr>
        <w:t xml:space="preserve">). </w:t>
      </w:r>
    </w:p>
    <w:p w14:paraId="4C735A38" w14:textId="77777777" w:rsidR="00E56E65" w:rsidRDefault="00E56E65" w:rsidP="00E56E65">
      <w:pPr>
        <w:spacing w:line="480" w:lineRule="auto"/>
        <w:jc w:val="both"/>
        <w:rPr>
          <w:rFonts w:ascii="Arial" w:hAnsi="Arial" w:cs="Arial"/>
          <w:bCs/>
          <w:lang w:val="en-US"/>
        </w:rPr>
      </w:pPr>
    </w:p>
    <w:p w14:paraId="0058F37C" w14:textId="77777777" w:rsidR="00E56E65" w:rsidRDefault="00E56E65" w:rsidP="00E56E65">
      <w:pPr>
        <w:spacing w:line="480" w:lineRule="auto"/>
        <w:jc w:val="both"/>
        <w:rPr>
          <w:rFonts w:ascii="Arial" w:hAnsi="Arial" w:cs="Arial"/>
          <w:bCs/>
          <w:lang w:val="en-US"/>
        </w:rPr>
      </w:pPr>
      <w:r>
        <w:rPr>
          <w:rFonts w:ascii="Arial" w:hAnsi="Arial" w:cs="Arial"/>
          <w:bCs/>
          <w:lang w:val="en-US"/>
        </w:rPr>
        <w:t>T</w:t>
      </w:r>
      <w:r w:rsidRPr="00DD07AF">
        <w:rPr>
          <w:rFonts w:ascii="Arial" w:hAnsi="Arial" w:cs="Arial"/>
          <w:bCs/>
          <w:lang w:val="en-US"/>
        </w:rPr>
        <w:t xml:space="preserve">rabecular BV/TV </w:t>
      </w:r>
      <w:r>
        <w:rPr>
          <w:rFonts w:ascii="Arial" w:hAnsi="Arial" w:cs="Arial"/>
          <w:bCs/>
          <w:lang w:val="en-US"/>
        </w:rPr>
        <w:t>significantly increased by 48</w:t>
      </w:r>
      <w:r w:rsidRPr="00DD07AF">
        <w:rPr>
          <w:rFonts w:ascii="Arial" w:hAnsi="Arial" w:cs="Arial"/>
          <w:bCs/>
          <w:lang w:val="en-US"/>
        </w:rPr>
        <w:t>%</w:t>
      </w:r>
      <w:r>
        <w:rPr>
          <w:rFonts w:ascii="Arial" w:hAnsi="Arial" w:cs="Arial"/>
          <w:bCs/>
          <w:lang w:val="en-US"/>
        </w:rPr>
        <w:t xml:space="preserve"> </w:t>
      </w:r>
      <w:r w:rsidRPr="00DD07AF">
        <w:rPr>
          <w:rFonts w:ascii="Arial" w:hAnsi="Arial" w:cs="Arial"/>
          <w:bCs/>
          <w:lang w:val="en-US"/>
        </w:rPr>
        <w:t>in</w:t>
      </w:r>
      <w:r>
        <w:rPr>
          <w:rFonts w:ascii="Arial" w:hAnsi="Arial" w:cs="Arial"/>
          <w:bCs/>
          <w:lang w:val="en-US"/>
        </w:rPr>
        <w:t xml:space="preserve"> the loaded tibiae of fed mice (</w:t>
      </w:r>
      <w:r w:rsidRPr="00DD07AF">
        <w:rPr>
          <w:rFonts w:ascii="Arial" w:hAnsi="Arial" w:cs="Arial"/>
          <w:bCs/>
          <w:lang w:val="en-US"/>
        </w:rPr>
        <w:t>p&lt;0.0</w:t>
      </w:r>
      <w:r>
        <w:rPr>
          <w:rFonts w:ascii="Arial" w:hAnsi="Arial" w:cs="Arial"/>
          <w:bCs/>
          <w:lang w:val="en-US"/>
        </w:rPr>
        <w:t>001)</w:t>
      </w:r>
      <w:r w:rsidRPr="00DD07AF">
        <w:rPr>
          <w:rFonts w:ascii="Arial" w:hAnsi="Arial" w:cs="Arial"/>
          <w:bCs/>
          <w:lang w:val="en-US"/>
        </w:rPr>
        <w:t xml:space="preserve"> </w:t>
      </w:r>
      <w:r>
        <w:rPr>
          <w:rFonts w:ascii="Arial" w:hAnsi="Arial" w:cs="Arial"/>
          <w:bCs/>
          <w:lang w:val="en-US"/>
        </w:rPr>
        <w:t xml:space="preserve">and by 44% </w:t>
      </w:r>
      <w:r w:rsidRPr="00DD07AF">
        <w:rPr>
          <w:rFonts w:ascii="Arial" w:hAnsi="Arial" w:cs="Arial"/>
          <w:bCs/>
          <w:lang w:val="en-US"/>
        </w:rPr>
        <w:t xml:space="preserve">of fasted </w:t>
      </w:r>
      <w:r w:rsidR="00320AF7">
        <w:rPr>
          <w:rFonts w:ascii="Arial" w:hAnsi="Arial" w:cs="Arial"/>
          <w:bCs/>
          <w:lang w:val="en-US"/>
        </w:rPr>
        <w:t>3-hour</w:t>
      </w:r>
      <w:r>
        <w:rPr>
          <w:rFonts w:ascii="Arial" w:hAnsi="Arial" w:cs="Arial"/>
          <w:bCs/>
          <w:lang w:val="en-US"/>
        </w:rPr>
        <w:t xml:space="preserve"> fed </w:t>
      </w:r>
      <w:r w:rsidRPr="00DD07AF">
        <w:rPr>
          <w:rFonts w:ascii="Arial" w:hAnsi="Arial" w:cs="Arial"/>
          <w:bCs/>
          <w:lang w:val="en-US"/>
        </w:rPr>
        <w:t xml:space="preserve">mice </w:t>
      </w:r>
      <w:r>
        <w:rPr>
          <w:rFonts w:ascii="Arial" w:hAnsi="Arial" w:cs="Arial"/>
          <w:bCs/>
          <w:lang w:val="en-US"/>
        </w:rPr>
        <w:t>(</w:t>
      </w:r>
      <w:r w:rsidRPr="00DD07AF">
        <w:rPr>
          <w:rFonts w:ascii="Arial" w:hAnsi="Arial" w:cs="Arial"/>
          <w:bCs/>
          <w:lang w:val="en-US"/>
        </w:rPr>
        <w:t>p&lt;0.0</w:t>
      </w:r>
      <w:r>
        <w:rPr>
          <w:rFonts w:ascii="Arial" w:hAnsi="Arial" w:cs="Arial"/>
          <w:bCs/>
          <w:lang w:val="en-US"/>
        </w:rPr>
        <w:t>001)</w:t>
      </w:r>
      <w:r w:rsidRPr="00DD07AF">
        <w:rPr>
          <w:rFonts w:ascii="Arial" w:hAnsi="Arial" w:cs="Arial"/>
          <w:bCs/>
          <w:lang w:val="en-US"/>
        </w:rPr>
        <w:t xml:space="preserve"> compared w</w:t>
      </w:r>
      <w:r>
        <w:rPr>
          <w:rFonts w:ascii="Arial" w:hAnsi="Arial" w:cs="Arial"/>
          <w:bCs/>
          <w:lang w:val="en-US"/>
        </w:rPr>
        <w:t>ith the internal no</w:t>
      </w:r>
      <w:r w:rsidR="00320AF7">
        <w:rPr>
          <w:rFonts w:ascii="Arial" w:hAnsi="Arial" w:cs="Arial"/>
          <w:bCs/>
          <w:lang w:val="en-US"/>
        </w:rPr>
        <w:t>n-loaded left controls, Figure 38</w:t>
      </w:r>
      <w:r>
        <w:rPr>
          <w:rFonts w:ascii="Arial" w:hAnsi="Arial" w:cs="Arial"/>
          <w:bCs/>
          <w:lang w:val="en-US"/>
        </w:rPr>
        <w:t xml:space="preserve">A. </w:t>
      </w:r>
      <w:r w:rsidRPr="003B6F9D">
        <w:rPr>
          <w:rFonts w:ascii="Arial" w:hAnsi="Arial"/>
          <w:bCs/>
          <w:lang w:val="en-US"/>
        </w:rPr>
        <w:t>Tb.Pf</w:t>
      </w:r>
      <w:r>
        <w:rPr>
          <w:rFonts w:ascii="Arial" w:hAnsi="Arial" w:cs="Arial"/>
          <w:bCs/>
          <w:lang w:val="en-US"/>
        </w:rPr>
        <w:t xml:space="preserve"> significantly decreased by 61</w:t>
      </w:r>
      <w:r w:rsidRPr="00DD07AF">
        <w:rPr>
          <w:rFonts w:ascii="Arial" w:hAnsi="Arial" w:cs="Arial"/>
          <w:bCs/>
          <w:lang w:val="en-US"/>
        </w:rPr>
        <w:t>%</w:t>
      </w:r>
      <w:r>
        <w:rPr>
          <w:rFonts w:ascii="Arial" w:hAnsi="Arial" w:cs="Arial"/>
          <w:bCs/>
          <w:lang w:val="en-US"/>
        </w:rPr>
        <w:t xml:space="preserve"> </w:t>
      </w:r>
      <w:r w:rsidRPr="00DD07AF">
        <w:rPr>
          <w:rFonts w:ascii="Arial" w:hAnsi="Arial" w:cs="Arial"/>
          <w:bCs/>
          <w:lang w:val="en-US"/>
        </w:rPr>
        <w:t>in</w:t>
      </w:r>
      <w:r>
        <w:rPr>
          <w:rFonts w:ascii="Arial" w:hAnsi="Arial" w:cs="Arial"/>
          <w:bCs/>
          <w:lang w:val="en-US"/>
        </w:rPr>
        <w:t xml:space="preserve"> the right tibiae of fed and </w:t>
      </w:r>
      <w:r w:rsidRPr="00DD07AF">
        <w:rPr>
          <w:rFonts w:ascii="Arial" w:hAnsi="Arial" w:cs="Arial"/>
          <w:bCs/>
          <w:lang w:val="en-US"/>
        </w:rPr>
        <w:t xml:space="preserve">fasted </w:t>
      </w:r>
      <w:r w:rsidR="00320AF7">
        <w:rPr>
          <w:rFonts w:ascii="Arial" w:hAnsi="Arial" w:cs="Arial"/>
          <w:bCs/>
          <w:lang w:val="en-US"/>
        </w:rPr>
        <w:t>3-hour</w:t>
      </w:r>
      <w:r>
        <w:rPr>
          <w:rFonts w:ascii="Arial" w:hAnsi="Arial" w:cs="Arial"/>
          <w:bCs/>
          <w:lang w:val="en-US"/>
        </w:rPr>
        <w:t xml:space="preserve"> fed </w:t>
      </w:r>
      <w:r w:rsidRPr="00DD07AF">
        <w:rPr>
          <w:rFonts w:ascii="Arial" w:hAnsi="Arial" w:cs="Arial"/>
          <w:bCs/>
          <w:lang w:val="en-US"/>
        </w:rPr>
        <w:t xml:space="preserve">mice </w:t>
      </w:r>
      <w:r>
        <w:rPr>
          <w:rFonts w:ascii="Arial" w:hAnsi="Arial" w:cs="Arial"/>
          <w:bCs/>
          <w:lang w:val="en-US"/>
        </w:rPr>
        <w:t>(</w:t>
      </w:r>
      <w:r w:rsidRPr="00DD07AF">
        <w:rPr>
          <w:rFonts w:ascii="Arial" w:hAnsi="Arial" w:cs="Arial"/>
          <w:bCs/>
          <w:lang w:val="en-US"/>
        </w:rPr>
        <w:t>p&lt;0.0</w:t>
      </w:r>
      <w:r>
        <w:rPr>
          <w:rFonts w:ascii="Arial" w:hAnsi="Arial" w:cs="Arial"/>
          <w:bCs/>
          <w:lang w:val="en-US"/>
        </w:rPr>
        <w:t>001)</w:t>
      </w:r>
      <w:r w:rsidRPr="00DD07AF">
        <w:rPr>
          <w:rFonts w:ascii="Arial" w:hAnsi="Arial" w:cs="Arial"/>
          <w:bCs/>
          <w:lang w:val="en-US"/>
        </w:rPr>
        <w:t xml:space="preserve"> compared </w:t>
      </w:r>
      <w:r>
        <w:rPr>
          <w:rFonts w:ascii="Arial" w:hAnsi="Arial" w:cs="Arial"/>
          <w:bCs/>
          <w:lang w:val="en-US"/>
        </w:rPr>
        <w:t>with the contralatera</w:t>
      </w:r>
      <w:r w:rsidR="00320AF7">
        <w:rPr>
          <w:rFonts w:ascii="Arial" w:hAnsi="Arial" w:cs="Arial"/>
          <w:bCs/>
          <w:lang w:val="en-US"/>
        </w:rPr>
        <w:t>l unloaded left tibiae, Figure 38</w:t>
      </w:r>
      <w:r>
        <w:rPr>
          <w:rFonts w:ascii="Arial" w:hAnsi="Arial" w:cs="Arial"/>
          <w:bCs/>
          <w:lang w:val="en-US"/>
        </w:rPr>
        <w:t xml:space="preserve">C. Tb.Th significantly increased by 33% in the right loaded tibiae of fed mice and </w:t>
      </w:r>
      <w:r w:rsidRPr="00DD07AF">
        <w:rPr>
          <w:rFonts w:ascii="Arial" w:hAnsi="Arial" w:cs="Arial"/>
          <w:bCs/>
          <w:lang w:val="en-US"/>
        </w:rPr>
        <w:t xml:space="preserve">fasted </w:t>
      </w:r>
      <w:r w:rsidR="00320AF7">
        <w:rPr>
          <w:rFonts w:ascii="Arial" w:hAnsi="Arial" w:cs="Arial"/>
          <w:bCs/>
          <w:lang w:val="en-US"/>
        </w:rPr>
        <w:t>3-hour</w:t>
      </w:r>
      <w:r>
        <w:rPr>
          <w:rFonts w:ascii="Arial" w:hAnsi="Arial" w:cs="Arial"/>
          <w:bCs/>
          <w:lang w:val="en-US"/>
        </w:rPr>
        <w:t xml:space="preserve"> fed </w:t>
      </w:r>
      <w:r w:rsidRPr="00DD07AF">
        <w:rPr>
          <w:rFonts w:ascii="Arial" w:hAnsi="Arial" w:cs="Arial"/>
          <w:bCs/>
          <w:lang w:val="en-US"/>
        </w:rPr>
        <w:t>mice</w:t>
      </w:r>
      <w:r>
        <w:rPr>
          <w:rFonts w:ascii="Arial" w:hAnsi="Arial" w:cs="Arial"/>
          <w:bCs/>
          <w:lang w:val="en-US"/>
        </w:rPr>
        <w:t xml:space="preserve"> (</w:t>
      </w:r>
      <w:r w:rsidRPr="00DD07AF">
        <w:rPr>
          <w:rFonts w:ascii="Arial" w:hAnsi="Arial" w:cs="Arial"/>
          <w:bCs/>
          <w:lang w:val="en-US"/>
        </w:rPr>
        <w:t>p&lt;0.0</w:t>
      </w:r>
      <w:r>
        <w:rPr>
          <w:rFonts w:ascii="Arial" w:hAnsi="Arial" w:cs="Arial"/>
          <w:bCs/>
          <w:lang w:val="en-US"/>
        </w:rPr>
        <w:t xml:space="preserve">001) </w:t>
      </w:r>
      <w:r w:rsidRPr="00DD07AF">
        <w:rPr>
          <w:rFonts w:ascii="Arial" w:hAnsi="Arial" w:cs="Arial"/>
          <w:bCs/>
          <w:lang w:val="en-US"/>
        </w:rPr>
        <w:t xml:space="preserve">compared </w:t>
      </w:r>
      <w:r>
        <w:rPr>
          <w:rFonts w:ascii="Arial" w:hAnsi="Arial" w:cs="Arial"/>
          <w:bCs/>
          <w:lang w:val="en-US"/>
        </w:rPr>
        <w:t xml:space="preserve">with the </w:t>
      </w:r>
      <w:r w:rsidR="00320AF7">
        <w:rPr>
          <w:rFonts w:ascii="Arial" w:hAnsi="Arial" w:cs="Arial"/>
          <w:bCs/>
          <w:lang w:val="en-US"/>
        </w:rPr>
        <w:t>non-loaded left tibiae, Figure 38</w:t>
      </w:r>
      <w:r>
        <w:rPr>
          <w:rFonts w:ascii="Arial" w:hAnsi="Arial" w:cs="Arial"/>
          <w:bCs/>
          <w:lang w:val="en-US"/>
        </w:rPr>
        <w:t>D. Tb.N of the right lo</w:t>
      </w:r>
      <w:r w:rsidR="00320AF7">
        <w:rPr>
          <w:rFonts w:ascii="Arial" w:hAnsi="Arial" w:cs="Arial"/>
          <w:bCs/>
          <w:lang w:val="en-US"/>
        </w:rPr>
        <w:t>aded tibiae of fed and fasted 3-hour</w:t>
      </w:r>
      <w:r>
        <w:rPr>
          <w:rFonts w:ascii="Arial" w:hAnsi="Arial" w:cs="Arial"/>
          <w:bCs/>
          <w:lang w:val="en-US"/>
        </w:rPr>
        <w:t xml:space="preserve"> fed mice increased, but not significantly from unloaded</w:t>
      </w:r>
      <w:r w:rsidR="00320AF7">
        <w:rPr>
          <w:rFonts w:ascii="Arial" w:hAnsi="Arial" w:cs="Arial"/>
          <w:bCs/>
          <w:lang w:val="en-US"/>
        </w:rPr>
        <w:t xml:space="preserve"> left tibiae (p&gt;0.05), Figures 38</w:t>
      </w:r>
      <w:r>
        <w:rPr>
          <w:rFonts w:ascii="Arial" w:hAnsi="Arial" w:cs="Arial"/>
          <w:bCs/>
          <w:lang w:val="en-US"/>
        </w:rPr>
        <w:t>B. T</w:t>
      </w:r>
      <w:r w:rsidRPr="00DD07AF">
        <w:rPr>
          <w:rFonts w:ascii="Arial" w:hAnsi="Arial" w:cs="Arial"/>
          <w:bCs/>
          <w:lang w:val="en-US"/>
        </w:rPr>
        <w:t xml:space="preserve">here were no significant differences in </w:t>
      </w:r>
      <w:r>
        <w:rPr>
          <w:rFonts w:ascii="Arial" w:hAnsi="Arial" w:cs="Arial"/>
          <w:bCs/>
          <w:lang w:val="en-US"/>
        </w:rPr>
        <w:t xml:space="preserve">any trabecular parameters </w:t>
      </w:r>
      <w:r w:rsidRPr="00DD07AF">
        <w:rPr>
          <w:rFonts w:ascii="Arial" w:hAnsi="Arial" w:cs="Arial"/>
          <w:bCs/>
          <w:lang w:val="en-US"/>
        </w:rPr>
        <w:t xml:space="preserve">between right tibiae of fed mice and those </w:t>
      </w:r>
      <w:r>
        <w:rPr>
          <w:rFonts w:ascii="Arial" w:hAnsi="Arial" w:cs="Arial"/>
          <w:bCs/>
          <w:lang w:val="en-US"/>
        </w:rPr>
        <w:t>fed for 3 hours following overnight fast</w:t>
      </w:r>
      <w:r w:rsidRPr="00DD07AF">
        <w:rPr>
          <w:rFonts w:ascii="Arial" w:hAnsi="Arial" w:cs="Arial"/>
          <w:bCs/>
          <w:lang w:val="en-US"/>
        </w:rPr>
        <w:t xml:space="preserve"> before mechanical loading</w:t>
      </w:r>
      <w:r w:rsidR="00320AF7">
        <w:rPr>
          <w:rFonts w:ascii="Arial" w:hAnsi="Arial" w:cs="Arial"/>
          <w:bCs/>
          <w:lang w:val="en-US"/>
        </w:rPr>
        <w:t xml:space="preserve"> (Figure 38</w:t>
      </w:r>
      <w:r>
        <w:rPr>
          <w:rFonts w:ascii="Arial" w:hAnsi="Arial" w:cs="Arial"/>
          <w:bCs/>
          <w:lang w:val="en-US"/>
        </w:rPr>
        <w:t>)</w:t>
      </w:r>
      <w:r w:rsidRPr="00DD07AF">
        <w:rPr>
          <w:rFonts w:ascii="Arial" w:hAnsi="Arial" w:cs="Arial"/>
          <w:bCs/>
          <w:lang w:val="en-US"/>
        </w:rPr>
        <w:t xml:space="preserve">. </w:t>
      </w:r>
    </w:p>
    <w:p w14:paraId="6F81870E" w14:textId="77777777" w:rsidR="00E56E65" w:rsidRPr="0095644E" w:rsidRDefault="00E56E65" w:rsidP="00E56E65">
      <w:pPr>
        <w:spacing w:line="480" w:lineRule="auto"/>
        <w:jc w:val="both"/>
        <w:rPr>
          <w:rFonts w:ascii="Arial" w:hAnsi="Arial" w:cs="Arial"/>
          <w:bCs/>
          <w:lang w:val="en-US"/>
        </w:rPr>
      </w:pPr>
    </w:p>
    <w:p w14:paraId="572707F7" w14:textId="77777777" w:rsidR="00BD13CB" w:rsidRDefault="00BD13CB" w:rsidP="00E56E65">
      <w:pPr>
        <w:tabs>
          <w:tab w:val="left" w:pos="624"/>
        </w:tabs>
        <w:spacing w:line="480" w:lineRule="auto"/>
        <w:jc w:val="both"/>
      </w:pPr>
    </w:p>
    <w:p w14:paraId="0F697BE7" w14:textId="77777777" w:rsidR="00BD13CB" w:rsidRPr="00BD13CB" w:rsidRDefault="00BD13CB" w:rsidP="00BD13CB"/>
    <w:p w14:paraId="5CC31958" w14:textId="77777777" w:rsidR="00BD13CB" w:rsidRPr="00BD13CB" w:rsidRDefault="00BD13CB" w:rsidP="00BD13CB"/>
    <w:p w14:paraId="43B0294C" w14:textId="77777777" w:rsidR="00BD13CB" w:rsidRPr="00BD13CB" w:rsidRDefault="00BD13CB" w:rsidP="00BD13CB"/>
    <w:p w14:paraId="582D2AC4" w14:textId="77777777" w:rsidR="00BD13CB" w:rsidRPr="00BD13CB" w:rsidRDefault="00BD13CB" w:rsidP="00BD13CB"/>
    <w:p w14:paraId="57CE7918" w14:textId="77777777" w:rsidR="00BD13CB" w:rsidRPr="00BD13CB" w:rsidRDefault="00BD13CB" w:rsidP="00BD13CB"/>
    <w:p w14:paraId="27086A08" w14:textId="77777777" w:rsidR="00BD13CB" w:rsidRDefault="00BD13CB" w:rsidP="00BD13CB"/>
    <w:p w14:paraId="08D8865B" w14:textId="77777777" w:rsidR="00E56E65" w:rsidRDefault="00E56E65" w:rsidP="00BD13CB"/>
    <w:p w14:paraId="75A7158A" w14:textId="77777777" w:rsidR="00BD13CB" w:rsidRDefault="00BD13CB" w:rsidP="00BD13CB"/>
    <w:p w14:paraId="25F25016" w14:textId="77777777" w:rsidR="00D2764F" w:rsidRDefault="00D2764F" w:rsidP="00BD13CB"/>
    <w:p w14:paraId="5BF726B2" w14:textId="77777777" w:rsidR="00BD13CB" w:rsidRPr="00BD13CB" w:rsidRDefault="00BD13CB" w:rsidP="00BD13CB"/>
    <w:p w14:paraId="3394582D" w14:textId="77777777" w:rsidR="00E56E65" w:rsidRDefault="00E56E65" w:rsidP="00E56E65">
      <w:pPr>
        <w:spacing w:line="480" w:lineRule="auto"/>
        <w:jc w:val="both"/>
        <w:rPr>
          <w:rFonts w:ascii="Arial" w:hAnsi="Arial" w:cs="Arial"/>
          <w:b/>
          <w:noProof/>
          <w:color w:val="000000" w:themeColor="text1"/>
        </w:rPr>
      </w:pPr>
      <w:r>
        <w:rPr>
          <w:noProof/>
          <w:lang w:val="en-US"/>
        </w:rPr>
        <w:drawing>
          <wp:inline distT="0" distB="0" distL="0" distR="0" wp14:anchorId="4F51FE52" wp14:editId="17966656">
            <wp:extent cx="3176521" cy="2926080"/>
            <wp:effectExtent l="0" t="0" r="0" b="0"/>
            <wp:docPr id="2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77274" cy="2926774"/>
                    </a:xfrm>
                    <a:prstGeom prst="rect">
                      <a:avLst/>
                    </a:prstGeom>
                    <a:noFill/>
                    <a:ln>
                      <a:noFill/>
                    </a:ln>
                  </pic:spPr>
                </pic:pic>
              </a:graphicData>
            </a:graphic>
          </wp:inline>
        </w:drawing>
      </w:r>
      <w:r w:rsidRPr="00306264">
        <w:t xml:space="preserve"> </w:t>
      </w:r>
      <w:r>
        <w:rPr>
          <w:rFonts w:ascii="Arial" w:hAnsi="Arial" w:cs="Arial"/>
          <w:b/>
          <w:noProof/>
          <w:color w:val="000000" w:themeColor="text1"/>
          <w:lang w:val="en-US"/>
        </w:rPr>
        <w:drawing>
          <wp:inline distT="0" distB="0" distL="0" distR="0" wp14:anchorId="7FE09CD9" wp14:editId="66EE2618">
            <wp:extent cx="2844800" cy="2698750"/>
            <wp:effectExtent l="0" t="0" r="0" b="0"/>
            <wp:docPr id="2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44800" cy="2698750"/>
                    </a:xfrm>
                    <a:prstGeom prst="rect">
                      <a:avLst/>
                    </a:prstGeom>
                    <a:noFill/>
                    <a:ln>
                      <a:noFill/>
                    </a:ln>
                  </pic:spPr>
                </pic:pic>
              </a:graphicData>
            </a:graphic>
          </wp:inline>
        </w:drawing>
      </w:r>
    </w:p>
    <w:p w14:paraId="5D078432" w14:textId="77777777" w:rsidR="00E56E65" w:rsidRDefault="00E56E65" w:rsidP="00E56E65">
      <w:pPr>
        <w:spacing w:line="480" w:lineRule="auto"/>
        <w:jc w:val="both"/>
        <w:rPr>
          <w:rFonts w:ascii="Arial" w:hAnsi="Arial" w:cs="Arial"/>
          <w:b/>
          <w:noProof/>
          <w:color w:val="000000" w:themeColor="text1"/>
        </w:rPr>
      </w:pPr>
    </w:p>
    <w:p w14:paraId="046767CE" w14:textId="77777777" w:rsidR="00320AF7" w:rsidRDefault="00E56E65" w:rsidP="002C3DD5">
      <w:pPr>
        <w:keepNext/>
        <w:spacing w:line="480" w:lineRule="auto"/>
        <w:ind w:left="567" w:hanging="141"/>
        <w:jc w:val="both"/>
      </w:pPr>
      <w:r>
        <w:rPr>
          <w:rFonts w:ascii="Arial" w:hAnsi="Arial" w:cs="Arial"/>
          <w:b/>
          <w:noProof/>
          <w:color w:val="000000" w:themeColor="text1"/>
          <w:lang w:val="en-US"/>
        </w:rPr>
        <w:drawing>
          <wp:inline distT="0" distB="0" distL="0" distR="0" wp14:anchorId="59384AE6" wp14:editId="5F9E2DC6">
            <wp:extent cx="2850777" cy="2519190"/>
            <wp:effectExtent l="0" t="0" r="0" b="0"/>
            <wp:docPr id="2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51331" cy="2519680"/>
                    </a:xfrm>
                    <a:prstGeom prst="rect">
                      <a:avLst/>
                    </a:prstGeom>
                    <a:noFill/>
                    <a:ln>
                      <a:noFill/>
                    </a:ln>
                  </pic:spPr>
                </pic:pic>
              </a:graphicData>
            </a:graphic>
          </wp:inline>
        </w:drawing>
      </w:r>
      <w:r w:rsidRPr="00061CEC">
        <w:t xml:space="preserve"> </w:t>
      </w:r>
      <w:r>
        <w:rPr>
          <w:noProof/>
          <w:lang w:val="en-US"/>
        </w:rPr>
        <w:drawing>
          <wp:inline distT="0" distB="0" distL="0" distR="0" wp14:anchorId="524EE510" wp14:editId="37B67260">
            <wp:extent cx="2949388" cy="2519045"/>
            <wp:effectExtent l="0" t="0" r="0" b="0"/>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50131" cy="2519680"/>
                    </a:xfrm>
                    <a:prstGeom prst="rect">
                      <a:avLst/>
                    </a:prstGeom>
                    <a:noFill/>
                    <a:ln>
                      <a:noFill/>
                    </a:ln>
                  </pic:spPr>
                </pic:pic>
              </a:graphicData>
            </a:graphic>
          </wp:inline>
        </w:drawing>
      </w:r>
    </w:p>
    <w:p w14:paraId="0E06040F" w14:textId="77777777" w:rsidR="00C516F1" w:rsidRDefault="00C516F1" w:rsidP="00BD13CB">
      <w:pPr>
        <w:pStyle w:val="Caption"/>
        <w:spacing w:line="360" w:lineRule="auto"/>
        <w:jc w:val="both"/>
        <w:rPr>
          <w:rFonts w:ascii="Arial" w:hAnsi="Arial" w:cs="Arial"/>
          <w:color w:val="244061" w:themeColor="accent1" w:themeShade="80"/>
          <w:sz w:val="24"/>
          <w:szCs w:val="24"/>
        </w:rPr>
      </w:pPr>
      <w:bookmarkStart w:id="117" w:name="_Toc383544629"/>
    </w:p>
    <w:p w14:paraId="17D66C19" w14:textId="77777777" w:rsidR="00E56E65" w:rsidRPr="00BD13CB" w:rsidRDefault="00320AF7" w:rsidP="00BD13CB">
      <w:pPr>
        <w:pStyle w:val="Caption"/>
        <w:spacing w:line="360" w:lineRule="auto"/>
        <w:jc w:val="both"/>
        <w:rPr>
          <w:rFonts w:ascii="Arial" w:hAnsi="Arial" w:cs="Arial"/>
          <w:b w:val="0"/>
          <w:noProof/>
          <w:color w:val="244061" w:themeColor="accent1" w:themeShade="80"/>
          <w:sz w:val="24"/>
          <w:szCs w:val="24"/>
        </w:rPr>
      </w:pPr>
      <w:r w:rsidRPr="00BD13CB">
        <w:rPr>
          <w:rFonts w:ascii="Arial" w:hAnsi="Arial" w:cs="Arial"/>
          <w:color w:val="244061" w:themeColor="accent1" w:themeShade="80"/>
          <w:sz w:val="24"/>
          <w:szCs w:val="24"/>
        </w:rPr>
        <w:t xml:space="preserve">Figure </w:t>
      </w:r>
      <w:r w:rsidRPr="00BD13CB">
        <w:rPr>
          <w:rFonts w:ascii="Arial" w:hAnsi="Arial" w:cs="Arial"/>
          <w:color w:val="244061" w:themeColor="accent1" w:themeShade="80"/>
          <w:sz w:val="24"/>
          <w:szCs w:val="24"/>
        </w:rPr>
        <w:fldChar w:fldCharType="begin"/>
      </w:r>
      <w:r w:rsidRPr="00BD13CB">
        <w:rPr>
          <w:rFonts w:ascii="Arial" w:hAnsi="Arial" w:cs="Arial"/>
          <w:color w:val="244061" w:themeColor="accent1" w:themeShade="80"/>
          <w:sz w:val="24"/>
          <w:szCs w:val="24"/>
        </w:rPr>
        <w:instrText xml:space="preserve"> SEQ Figure \* ARABIC </w:instrText>
      </w:r>
      <w:r w:rsidRPr="00BD13CB">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38</w:t>
      </w:r>
      <w:r w:rsidRPr="00BD13CB">
        <w:rPr>
          <w:rFonts w:ascii="Arial" w:hAnsi="Arial" w:cs="Arial"/>
          <w:color w:val="244061" w:themeColor="accent1" w:themeShade="80"/>
          <w:sz w:val="24"/>
          <w:szCs w:val="24"/>
        </w:rPr>
        <w:fldChar w:fldCharType="end"/>
      </w:r>
      <w:r w:rsidRPr="00BD13CB">
        <w:rPr>
          <w:rFonts w:ascii="Arial" w:hAnsi="Arial" w:cs="Arial"/>
          <w:b w:val="0"/>
          <w:noProof/>
          <w:color w:val="244061" w:themeColor="accent1" w:themeShade="80"/>
          <w:sz w:val="24"/>
          <w:szCs w:val="24"/>
        </w:rPr>
        <w:t xml:space="preserve"> </w:t>
      </w:r>
      <w:r w:rsidR="00E56E65" w:rsidRPr="00BD13CB">
        <w:rPr>
          <w:rFonts w:ascii="Arial" w:hAnsi="Arial" w:cs="Arial"/>
          <w:color w:val="244061" w:themeColor="accent1" w:themeShade="80"/>
          <w:sz w:val="24"/>
          <w:szCs w:val="24"/>
        </w:rPr>
        <w:t xml:space="preserve">Trabecular bone mass and architecture measured at the proximal region of the </w:t>
      </w:r>
      <w:r w:rsidR="00E56E65" w:rsidRPr="00BD13CB">
        <w:rPr>
          <w:rFonts w:ascii="Arial" w:eastAsiaTheme="minorHAnsi" w:hAnsi="Arial" w:cs="Arial"/>
          <w:bCs w:val="0"/>
          <w:color w:val="244061" w:themeColor="accent1" w:themeShade="80"/>
          <w:sz w:val="24"/>
          <w:szCs w:val="24"/>
          <w:lang w:val="en-US"/>
        </w:rPr>
        <w:t xml:space="preserve">left non-loaded (control) and </w:t>
      </w:r>
      <w:r w:rsidR="00E56E65" w:rsidRPr="00BD13CB">
        <w:rPr>
          <w:rFonts w:ascii="Arial" w:hAnsi="Arial" w:cs="Arial"/>
          <w:color w:val="244061" w:themeColor="accent1" w:themeShade="80"/>
          <w:sz w:val="24"/>
          <w:szCs w:val="24"/>
        </w:rPr>
        <w:t xml:space="preserve">right </w:t>
      </w:r>
      <w:r w:rsidR="00E56E65" w:rsidRPr="00BD13CB">
        <w:rPr>
          <w:rFonts w:ascii="Arial" w:eastAsiaTheme="minorHAnsi" w:hAnsi="Arial" w:cs="Arial"/>
          <w:bCs w:val="0"/>
          <w:color w:val="244061" w:themeColor="accent1" w:themeShade="80"/>
          <w:sz w:val="24"/>
          <w:szCs w:val="24"/>
          <w:lang w:val="en-US"/>
        </w:rPr>
        <w:t xml:space="preserve">loaded tibiae with maximal loading regimen of 19-week-old fed (n=6) or overnight fasted </w:t>
      </w:r>
      <w:r w:rsidR="00BD13CB">
        <w:rPr>
          <w:rFonts w:ascii="Arial" w:eastAsiaTheme="minorHAnsi" w:hAnsi="Arial" w:cs="Arial"/>
          <w:bCs w:val="0"/>
          <w:color w:val="244061" w:themeColor="accent1" w:themeShade="80"/>
          <w:sz w:val="24"/>
          <w:szCs w:val="24"/>
          <w:lang w:val="en-US"/>
        </w:rPr>
        <w:t xml:space="preserve">3-hour </w:t>
      </w:r>
      <w:r w:rsidR="00E56E65" w:rsidRPr="00BD13CB">
        <w:rPr>
          <w:rFonts w:ascii="Arial" w:eastAsiaTheme="minorHAnsi" w:hAnsi="Arial" w:cs="Arial"/>
          <w:bCs w:val="0"/>
          <w:color w:val="244061" w:themeColor="accent1" w:themeShade="80"/>
          <w:sz w:val="24"/>
          <w:szCs w:val="24"/>
          <w:lang w:val="en-US"/>
        </w:rPr>
        <w:t>fed (n=7) male mice</w:t>
      </w:r>
      <w:bookmarkEnd w:id="117"/>
      <w:r w:rsidR="00E56E65" w:rsidRPr="00BD13CB">
        <w:rPr>
          <w:rFonts w:ascii="Arial" w:eastAsiaTheme="minorHAnsi" w:hAnsi="Arial" w:cs="Arial"/>
          <w:bCs w:val="0"/>
          <w:color w:val="244061" w:themeColor="accent1" w:themeShade="80"/>
          <w:sz w:val="24"/>
          <w:szCs w:val="24"/>
          <w:lang w:val="en-US"/>
        </w:rPr>
        <w:t xml:space="preserve"> </w:t>
      </w:r>
    </w:p>
    <w:p w14:paraId="17FDBAD9" w14:textId="77777777" w:rsidR="00E56E65" w:rsidRDefault="00E56E65" w:rsidP="00E56E65">
      <w:pPr>
        <w:spacing w:line="360" w:lineRule="auto"/>
        <w:jc w:val="both"/>
        <w:rPr>
          <w:rFonts w:ascii="Arial" w:eastAsiaTheme="minorHAnsi" w:hAnsi="Arial" w:cs="Arial"/>
          <w:sz w:val="22"/>
          <w:szCs w:val="22"/>
          <w:lang w:val="en-US"/>
        </w:rPr>
      </w:pPr>
      <w:r w:rsidRPr="0066124E">
        <w:rPr>
          <w:rFonts w:ascii="Arial" w:eastAsiaTheme="minorHAnsi" w:hAnsi="Arial" w:cs="Arial"/>
          <w:sz w:val="22"/>
          <w:szCs w:val="22"/>
          <w:lang w:val="en-US"/>
        </w:rPr>
        <w:t>M</w:t>
      </w:r>
      <w:r>
        <w:rPr>
          <w:rFonts w:ascii="Arial" w:eastAsiaTheme="minorHAnsi" w:hAnsi="Arial" w:cs="Arial"/>
          <w:sz w:val="22"/>
          <w:szCs w:val="22"/>
          <w:lang w:val="en-US"/>
        </w:rPr>
        <w:t>aximal m</w:t>
      </w:r>
      <w:r w:rsidRPr="0066124E">
        <w:rPr>
          <w:rFonts w:ascii="Arial" w:eastAsiaTheme="minorHAnsi" w:hAnsi="Arial" w:cs="Arial"/>
          <w:sz w:val="22"/>
          <w:szCs w:val="22"/>
          <w:lang w:val="en-US"/>
        </w:rPr>
        <w:t xml:space="preserve">echanical loading induced significant increase in trabecular BV/TV and Tb.Th and decrease in Tb.Pf in the right loaded tibiae compared with the left unloaded tibiae in both groups (A, C, D), </w:t>
      </w:r>
      <w:r w:rsidRPr="0066124E">
        <w:rPr>
          <w:rFonts w:ascii="Arial" w:hAnsi="Arial"/>
          <w:bCs/>
          <w:sz w:val="22"/>
          <w:szCs w:val="22"/>
          <w:lang w:val="en-US"/>
        </w:rPr>
        <w:t>but there were no significant differences between the two groups</w:t>
      </w:r>
      <w:r w:rsidRPr="0066124E">
        <w:rPr>
          <w:rFonts w:ascii="Arial" w:eastAsiaTheme="minorHAnsi" w:hAnsi="Arial" w:cs="Arial"/>
          <w:sz w:val="22"/>
          <w:szCs w:val="22"/>
          <w:lang w:val="en-US"/>
        </w:rPr>
        <w:t xml:space="preserve">. There was no significant increase in Tb.N measured within and between the experimental groups (B). </w:t>
      </w:r>
    </w:p>
    <w:p w14:paraId="7BF5E069" w14:textId="77777777" w:rsidR="00E56E65" w:rsidRPr="0066124E" w:rsidRDefault="00E56E65" w:rsidP="00E56E65">
      <w:pPr>
        <w:spacing w:line="360" w:lineRule="auto"/>
        <w:jc w:val="both"/>
        <w:rPr>
          <w:rFonts w:ascii="Arial" w:eastAsiaTheme="minorHAnsi" w:hAnsi="Arial" w:cs="Arial"/>
          <w:sz w:val="22"/>
          <w:szCs w:val="22"/>
          <w:lang w:val="en-US"/>
        </w:rPr>
      </w:pPr>
      <w:r w:rsidRPr="0066124E">
        <w:rPr>
          <w:rFonts w:ascii="Arial" w:eastAsiaTheme="minorHAnsi" w:hAnsi="Arial" w:cs="Arial"/>
          <w:sz w:val="22"/>
          <w:szCs w:val="22"/>
          <w:lang w:val="en-US"/>
        </w:rPr>
        <w:t>Bars represent mean</w:t>
      </w:r>
      <w:r w:rsidRPr="0066124E">
        <w:rPr>
          <w:rFonts w:ascii="Arial" w:eastAsia="MS Gothic" w:hAnsi="Arial" w:cs="Arial"/>
          <w:sz w:val="22"/>
          <w:szCs w:val="22"/>
        </w:rPr>
        <w:t>±</w:t>
      </w:r>
      <w:r w:rsidRPr="0066124E">
        <w:rPr>
          <w:rFonts w:ascii="Arial" w:eastAsiaTheme="minorHAnsi" w:hAnsi="Arial" w:cs="Arial"/>
          <w:sz w:val="22"/>
          <w:szCs w:val="22"/>
          <w:lang w:val="en-US"/>
        </w:rPr>
        <w:t xml:space="preserve">SE. **** </w:t>
      </w:r>
      <w:proofErr w:type="gramStart"/>
      <w:r w:rsidRPr="0066124E">
        <w:rPr>
          <w:rFonts w:ascii="Arial" w:eastAsiaTheme="minorHAnsi" w:hAnsi="Arial" w:cs="Arial"/>
          <w:sz w:val="22"/>
          <w:szCs w:val="22"/>
          <w:lang w:val="en-US"/>
        </w:rPr>
        <w:t>p</w:t>
      </w:r>
      <w:proofErr w:type="gramEnd"/>
      <w:r w:rsidRPr="0066124E">
        <w:rPr>
          <w:rFonts w:ascii="Arial" w:eastAsiaTheme="minorHAnsi" w:hAnsi="Arial" w:cs="Arial"/>
          <w:sz w:val="22"/>
          <w:szCs w:val="22"/>
          <w:lang w:val="en-US"/>
        </w:rPr>
        <w:t>&lt;0.0001</w:t>
      </w:r>
    </w:p>
    <w:p w14:paraId="22AF0439" w14:textId="77777777" w:rsidR="00E56E65" w:rsidRDefault="00E56E65" w:rsidP="00D40E59">
      <w:pPr>
        <w:pStyle w:val="Heading2"/>
      </w:pPr>
      <w:bookmarkStart w:id="118" w:name="_Toc383723900"/>
      <w:r>
        <w:lastRenderedPageBreak/>
        <w:t>4.3 Discussion</w:t>
      </w:r>
      <w:bookmarkEnd w:id="118"/>
    </w:p>
    <w:p w14:paraId="2F41BDB9" w14:textId="77777777" w:rsidR="00E56E65" w:rsidRDefault="00E56E65" w:rsidP="00E56E65">
      <w:pPr>
        <w:spacing w:line="480" w:lineRule="auto"/>
        <w:jc w:val="both"/>
        <w:rPr>
          <w:rFonts w:ascii="Arial" w:hAnsi="Arial"/>
          <w:color w:val="000000"/>
        </w:rPr>
      </w:pPr>
      <w:r>
        <w:rPr>
          <w:rFonts w:ascii="Arial" w:hAnsi="Arial"/>
          <w:color w:val="000000"/>
        </w:rPr>
        <w:t xml:space="preserve">The compound interactions between various stimuli including gastrointestinal hormones that regulate energy metabolism and physical activity influence bone homeostasis. </w:t>
      </w:r>
      <w:r w:rsidRPr="00842660">
        <w:rPr>
          <w:rFonts w:ascii="Arial" w:hAnsi="Arial"/>
          <w:color w:val="000000"/>
        </w:rPr>
        <w:t xml:space="preserve">In this chapter </w:t>
      </w:r>
      <w:r>
        <w:rPr>
          <w:rFonts w:ascii="Arial" w:hAnsi="Arial"/>
          <w:color w:val="000000"/>
        </w:rPr>
        <w:t>the effects of timing of food ingestion</w:t>
      </w:r>
      <w:r w:rsidRPr="00842660">
        <w:rPr>
          <w:rFonts w:ascii="Arial" w:hAnsi="Arial"/>
          <w:color w:val="000000"/>
        </w:rPr>
        <w:t xml:space="preserve"> on cortical </w:t>
      </w:r>
      <w:r w:rsidR="00F36E61">
        <w:rPr>
          <w:rFonts w:ascii="Arial" w:hAnsi="Arial"/>
          <w:color w:val="000000"/>
        </w:rPr>
        <w:t xml:space="preserve">and trabecular </w:t>
      </w:r>
      <w:r w:rsidRPr="00842660">
        <w:rPr>
          <w:rFonts w:ascii="Arial" w:hAnsi="Arial"/>
          <w:color w:val="000000"/>
        </w:rPr>
        <w:t xml:space="preserve">bones’ </w:t>
      </w:r>
      <w:r>
        <w:rPr>
          <w:rFonts w:ascii="Arial" w:hAnsi="Arial"/>
          <w:color w:val="000000"/>
        </w:rPr>
        <w:t xml:space="preserve">adaptive </w:t>
      </w:r>
      <w:r w:rsidRPr="00842660">
        <w:rPr>
          <w:rFonts w:ascii="Arial" w:hAnsi="Arial"/>
          <w:color w:val="000000"/>
        </w:rPr>
        <w:t xml:space="preserve">responses to maximal 13N mechanical loading </w:t>
      </w:r>
      <w:r>
        <w:rPr>
          <w:rFonts w:ascii="Arial" w:hAnsi="Arial"/>
          <w:color w:val="000000"/>
        </w:rPr>
        <w:t>is explored in</w:t>
      </w:r>
      <w:r w:rsidRPr="00842660">
        <w:rPr>
          <w:rFonts w:ascii="Arial" w:hAnsi="Arial"/>
          <w:color w:val="000000"/>
        </w:rPr>
        <w:t xml:space="preserve"> fed or overnight fasted fed </w:t>
      </w:r>
      <w:r>
        <w:rPr>
          <w:rFonts w:ascii="Arial" w:hAnsi="Arial"/>
          <w:color w:val="000000"/>
        </w:rPr>
        <w:t xml:space="preserve">young male </w:t>
      </w:r>
      <w:r w:rsidRPr="00842660">
        <w:rPr>
          <w:rFonts w:ascii="Arial" w:hAnsi="Arial"/>
          <w:color w:val="000000"/>
        </w:rPr>
        <w:t xml:space="preserve">mice. </w:t>
      </w:r>
    </w:p>
    <w:p w14:paraId="081832D5" w14:textId="77777777" w:rsidR="00E56E65" w:rsidRPr="007A13F0" w:rsidRDefault="00E17622" w:rsidP="007A13F0">
      <w:pPr>
        <w:pStyle w:val="Heading3"/>
        <w:spacing w:line="480" w:lineRule="auto"/>
        <w:jc w:val="both"/>
        <w:rPr>
          <w:rFonts w:ascii="Arial" w:hAnsi="Arial" w:cs="Arial"/>
          <w:color w:val="auto"/>
        </w:rPr>
      </w:pPr>
      <w:bookmarkStart w:id="119" w:name="_Toc383723901"/>
      <w:r>
        <w:rPr>
          <w:rFonts w:ascii="Arial" w:hAnsi="Arial" w:cs="Arial"/>
          <w:color w:val="auto"/>
        </w:rPr>
        <w:t>4.3.1 Food ingestion for 2</w:t>
      </w:r>
      <w:r w:rsidR="00E56E65" w:rsidRPr="007A13F0">
        <w:rPr>
          <w:rFonts w:ascii="Arial" w:hAnsi="Arial" w:cs="Arial"/>
          <w:color w:val="auto"/>
        </w:rPr>
        <w:t xml:space="preserve"> hours following overnight fast potentiates bone’s osteogenic adaptive response to maximal mechanical loading in young male mice</w:t>
      </w:r>
      <w:bookmarkEnd w:id="119"/>
      <w:r w:rsidR="00E56E65" w:rsidRPr="007A13F0">
        <w:rPr>
          <w:rFonts w:ascii="Arial" w:hAnsi="Arial" w:cs="Arial"/>
          <w:color w:val="auto"/>
        </w:rPr>
        <w:t xml:space="preserve"> </w:t>
      </w:r>
    </w:p>
    <w:p w14:paraId="2362D9F1" w14:textId="77777777" w:rsidR="00E56E65" w:rsidRPr="005874BB" w:rsidRDefault="00E56E65" w:rsidP="00E56E65">
      <w:pPr>
        <w:pStyle w:val="Default"/>
        <w:spacing w:line="480" w:lineRule="auto"/>
        <w:contextualSpacing/>
        <w:jc w:val="both"/>
        <w:rPr>
          <w:rFonts w:ascii="Arial" w:hAnsi="Arial"/>
          <w:bCs/>
          <w:lang w:val="en-US"/>
        </w:rPr>
      </w:pPr>
      <w:r>
        <w:rPr>
          <w:rFonts w:ascii="Arial" w:hAnsi="Arial"/>
          <w:bCs/>
          <w:lang w:val="en-US"/>
        </w:rPr>
        <w:t>What we have shown here for the first time is that the cortical bone adaptive response to osteogenic loading was potentiated in young male mice that ingested food for 2 hours following overnight prolonged fast before mechanical loading. As discussed in section 4.1, nu</w:t>
      </w:r>
      <w:r w:rsidR="00EC5538">
        <w:rPr>
          <w:rFonts w:ascii="Arial" w:hAnsi="Arial"/>
          <w:bCs/>
          <w:lang w:val="en-US"/>
        </w:rPr>
        <w:t>merous previous studies emphasis</w:t>
      </w:r>
      <w:r>
        <w:rPr>
          <w:rFonts w:ascii="Arial" w:hAnsi="Arial"/>
          <w:bCs/>
          <w:lang w:val="en-US"/>
        </w:rPr>
        <w:t>ed interactions between osteotropic factors and bone homeostasis</w:t>
      </w:r>
      <w:r w:rsidR="00BA0BD7">
        <w:rPr>
          <w:rFonts w:ascii="Arial" w:hAnsi="Arial"/>
          <w:bCs/>
          <w:lang w:val="en-US"/>
        </w:rPr>
        <w:t xml:space="preserve"> </w:t>
      </w:r>
      <w:r w:rsidR="0000415D">
        <w:rPr>
          <w:rFonts w:ascii="Arial" w:hAnsi="Arial"/>
          <w:bCs/>
          <w:lang w:val="en-US"/>
        </w:rPr>
        <w:fldChar w:fldCharType="begin">
          <w:fldData xml:space="preserve">PEVuZE5vdGU+PENpdGU+PEF1dGhvcj5TYW11ZWxzPC9BdXRob3I+PFllYXI+MjAwMDwvWWVhcj48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==
</w:fldData>
        </w:fldChar>
      </w:r>
      <w:r w:rsidR="0000415D">
        <w:rPr>
          <w:rFonts w:ascii="Arial" w:hAnsi="Arial"/>
          <w:bCs/>
          <w:lang w:val="en-US"/>
        </w:rPr>
        <w:instrText xml:space="preserve"> ADDIN EN.CITE </w:instrText>
      </w:r>
      <w:r w:rsidR="0000415D">
        <w:rPr>
          <w:rFonts w:ascii="Arial" w:hAnsi="Arial"/>
          <w:bCs/>
          <w:lang w:val="en-US"/>
        </w:rPr>
        <w:fldChar w:fldCharType="begin">
          <w:fldData xml:space="preserve">PEVuZE5vdGU+PENpdGU+PEF1dGhvcj5TYW11ZWxzPC9BdXRob3I+PFllYXI+MjAwMDwvWWVhcj48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==
</w:fldData>
        </w:fldChar>
      </w:r>
      <w:r w:rsidR="0000415D">
        <w:rPr>
          <w:rFonts w:ascii="Arial" w:hAnsi="Arial"/>
          <w:bCs/>
          <w:lang w:val="en-US"/>
        </w:rPr>
        <w:instrText xml:space="preserve"> ADDIN EN.CITE.DATA </w:instrText>
      </w:r>
      <w:r w:rsidR="0000415D">
        <w:rPr>
          <w:rFonts w:ascii="Arial" w:hAnsi="Arial"/>
          <w:bCs/>
          <w:lang w:val="en-US"/>
        </w:rPr>
      </w:r>
      <w:r w:rsidR="0000415D">
        <w:rPr>
          <w:rFonts w:ascii="Arial" w:hAnsi="Arial"/>
          <w:bCs/>
          <w:lang w:val="en-US"/>
        </w:rPr>
        <w:fldChar w:fldCharType="end"/>
      </w:r>
      <w:r w:rsidR="0000415D">
        <w:rPr>
          <w:rFonts w:ascii="Arial" w:hAnsi="Arial"/>
          <w:bCs/>
          <w:lang w:val="en-US"/>
        </w:rPr>
      </w:r>
      <w:r w:rsidR="0000415D">
        <w:rPr>
          <w:rFonts w:ascii="Arial" w:hAnsi="Arial"/>
          <w:bCs/>
          <w:lang w:val="en-US"/>
        </w:rPr>
        <w:fldChar w:fldCharType="separate"/>
      </w:r>
      <w:r w:rsidR="0000415D">
        <w:rPr>
          <w:rFonts w:ascii="Arial" w:hAnsi="Arial"/>
          <w:bCs/>
          <w:noProof/>
          <w:lang w:val="en-US"/>
        </w:rPr>
        <w:t>(Samuels et al., 2000, Kim et al., 2003, Tang et al., 2007, Sugiyama et al., 2008)</w:t>
      </w:r>
      <w:r w:rsidR="0000415D">
        <w:rPr>
          <w:rFonts w:ascii="Arial" w:hAnsi="Arial"/>
          <w:bCs/>
          <w:lang w:val="en-US"/>
        </w:rPr>
        <w:fldChar w:fldCharType="end"/>
      </w:r>
      <w:r w:rsidR="00BA0BD7">
        <w:rPr>
          <w:rFonts w:ascii="Arial" w:hAnsi="Arial"/>
          <w:bCs/>
          <w:lang w:val="en-US"/>
        </w:rPr>
        <w:t>.</w:t>
      </w:r>
      <w:r>
        <w:rPr>
          <w:rFonts w:ascii="Arial" w:hAnsi="Arial"/>
          <w:bCs/>
          <w:lang w:val="en-US"/>
        </w:rPr>
        <w:t xml:space="preserve"> Since concentrations of metabolic hormones with anabolic effects on bone differ during fasted and fed states, this finding could reveal </w:t>
      </w:r>
      <w:r>
        <w:rPr>
          <w:rFonts w:ascii="Arial" w:hAnsi="Arial" w:cs="Calibri"/>
          <w:bCs/>
        </w:rPr>
        <w:t xml:space="preserve">interlinks between bone’s adaptive response to loading and metabolic hormones regulated by timing of feeding, </w:t>
      </w:r>
      <w:r>
        <w:rPr>
          <w:rFonts w:ascii="Arial" w:hAnsi="Arial" w:cs="Arial"/>
          <w:noProof/>
          <w:color w:val="000000" w:themeColor="text1"/>
        </w:rPr>
        <w:t>c</w:t>
      </w:r>
      <w:r w:rsidRPr="00905BEE">
        <w:rPr>
          <w:rFonts w:ascii="Arial" w:hAnsi="Arial" w:cs="Arial"/>
          <w:noProof/>
          <w:color w:val="000000" w:themeColor="text1"/>
        </w:rPr>
        <w:t>onsistent with our overarching hypothesis</w:t>
      </w:r>
      <w:r>
        <w:rPr>
          <w:rFonts w:ascii="Arial" w:hAnsi="Arial" w:cs="Arial"/>
          <w:noProof/>
          <w:color w:val="000000" w:themeColor="text1"/>
        </w:rPr>
        <w:t xml:space="preserve">. </w:t>
      </w:r>
      <w:r w:rsidRPr="00905BEE">
        <w:rPr>
          <w:rFonts w:ascii="Arial" w:hAnsi="Arial" w:cs="Arial"/>
          <w:noProof/>
          <w:color w:val="000000" w:themeColor="text1"/>
        </w:rPr>
        <w:t xml:space="preserve"> </w:t>
      </w:r>
      <w:r w:rsidR="00C8752B">
        <w:rPr>
          <w:rFonts w:ascii="Arial" w:hAnsi="Arial" w:cs="Arial"/>
          <w:color w:val="000000" w:themeColor="text1"/>
        </w:rPr>
        <w:t>The studies included in the C</w:t>
      </w:r>
      <w:r>
        <w:rPr>
          <w:rFonts w:ascii="Arial" w:hAnsi="Arial" w:cs="Arial"/>
          <w:color w:val="000000" w:themeColor="text1"/>
        </w:rPr>
        <w:t xml:space="preserve">hapter 7 are aimed to investigate possible responsible hormonal changes underlying bone’s potentiated osteogenic response to maximal mechanical loading in fasted/fed states. It would be interesting to study in the future the effects of osteogenic mechanical loading in the proximal and distal sites of the tibiae in both young male and female mice as it has been shown previously cortical bone’s adaptive response to loading is site and gender specific </w:t>
      </w:r>
      <w:r w:rsidR="005A6ED6">
        <w:rPr>
          <w:rFonts w:ascii="Arial" w:hAnsi="Arial"/>
          <w:bCs/>
          <w:lang w:val="en-US"/>
        </w:rPr>
        <w:fldChar w:fldCharType="begin">
          <w:fldData xml:space="preserve">PEVuZE5vdGU+PENpdGU+PEF1dGhvcj5EZSBTb3V6YTwvQXV0aG9yPjxZZWFyPjIwMDU8L1llYXI+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</w:fldData>
        </w:fldChar>
      </w:r>
      <w:r w:rsidR="00A108A1">
        <w:rPr>
          <w:rFonts w:ascii="Arial" w:hAnsi="Arial"/>
          <w:bCs/>
          <w:lang w:val="en-US"/>
        </w:rPr>
        <w:instrText xml:space="preserve"> ADDIN EN.CITE </w:instrText>
      </w:r>
      <w:r w:rsidR="00A108A1">
        <w:rPr>
          <w:rFonts w:ascii="Arial" w:hAnsi="Arial"/>
          <w:bCs/>
          <w:lang w:val="en-US"/>
        </w:rPr>
        <w:fldChar w:fldCharType="begin">
          <w:fldData xml:space="preserve">PEVuZE5vdGU+PENpdGU+PEF1dGhvcj5EZSBTb3V6YTwvQXV0aG9yPjxZZWFyPjIwMDU8L1llYXI+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</w:fldData>
        </w:fldChar>
      </w:r>
      <w:r w:rsidR="00A108A1">
        <w:rPr>
          <w:rFonts w:ascii="Arial" w:hAnsi="Arial"/>
          <w:bCs/>
          <w:lang w:val="en-US"/>
        </w:rPr>
        <w:instrText xml:space="preserve"> ADDIN EN.CITE.DATA </w:instrText>
      </w:r>
      <w:r w:rsidR="00A108A1">
        <w:rPr>
          <w:rFonts w:ascii="Arial" w:hAnsi="Arial"/>
          <w:bCs/>
          <w:lang w:val="en-US"/>
        </w:rPr>
      </w:r>
      <w:r w:rsidR="00A108A1">
        <w:rPr>
          <w:rFonts w:ascii="Arial" w:hAnsi="Arial"/>
          <w:bCs/>
          <w:lang w:val="en-US"/>
        </w:rPr>
        <w:fldChar w:fldCharType="end"/>
      </w:r>
      <w:r w:rsidR="005A6ED6">
        <w:rPr>
          <w:rFonts w:ascii="Arial" w:hAnsi="Arial"/>
          <w:bCs/>
          <w:lang w:val="en-US"/>
        </w:rPr>
      </w:r>
      <w:r w:rsidR="005A6ED6">
        <w:rPr>
          <w:rFonts w:ascii="Arial" w:hAnsi="Arial"/>
          <w:bCs/>
          <w:lang w:val="en-US"/>
        </w:rPr>
        <w:fldChar w:fldCharType="separate"/>
      </w:r>
      <w:r w:rsidR="005A6ED6">
        <w:rPr>
          <w:rFonts w:ascii="Arial" w:hAnsi="Arial"/>
          <w:bCs/>
          <w:noProof/>
          <w:lang w:val="en-US"/>
        </w:rPr>
        <w:t>(De Souza et al., 2005a, Fritton et al., 2005, Wallace et al., 2007, Sugiyama et al., 2010)</w:t>
      </w:r>
      <w:r w:rsidR="005A6ED6">
        <w:rPr>
          <w:rFonts w:ascii="Arial" w:hAnsi="Arial"/>
          <w:bCs/>
          <w:lang w:val="en-US"/>
        </w:rPr>
        <w:fldChar w:fldCharType="end"/>
      </w:r>
      <w:r w:rsidR="000A2E63">
        <w:rPr>
          <w:rFonts w:ascii="Arial" w:hAnsi="Arial"/>
          <w:bCs/>
          <w:lang w:val="en-US"/>
        </w:rPr>
        <w:t>.</w:t>
      </w:r>
    </w:p>
    <w:p w14:paraId="224FADBF" w14:textId="77777777" w:rsidR="00E56E65" w:rsidRDefault="00E56E65" w:rsidP="00E56E65">
      <w:pPr>
        <w:pStyle w:val="Default"/>
        <w:spacing w:line="480" w:lineRule="auto"/>
        <w:contextualSpacing/>
        <w:jc w:val="both"/>
        <w:rPr>
          <w:rFonts w:ascii="Arial" w:hAnsi="Arial" w:cs="Arial"/>
          <w:color w:val="000000" w:themeColor="text1"/>
        </w:rPr>
      </w:pPr>
    </w:p>
    <w:p w14:paraId="65C93EE4" w14:textId="77777777" w:rsidR="00E56E65" w:rsidRDefault="00E56E65" w:rsidP="00E56E65">
      <w:pPr>
        <w:pStyle w:val="Default"/>
        <w:spacing w:line="480" w:lineRule="auto"/>
        <w:contextualSpacing/>
        <w:jc w:val="both"/>
        <w:rPr>
          <w:rFonts w:ascii="Arial" w:hAnsi="Arial" w:cs="Arial"/>
          <w:color w:val="000000" w:themeColor="text1"/>
        </w:rPr>
      </w:pPr>
      <w:r>
        <w:rPr>
          <w:rFonts w:ascii="Arial" w:hAnsi="Arial" w:cs="Arial"/>
          <w:color w:val="000000" w:themeColor="text1"/>
        </w:rPr>
        <w:t xml:space="preserve">We have found that feeding following overnight fast did not potentiate trabecular bone changes induced by osteogenic loading in young male mice. One of the possible </w:t>
      </w:r>
      <w:r>
        <w:rPr>
          <w:rFonts w:ascii="Arial" w:hAnsi="Arial" w:cs="Arial"/>
          <w:color w:val="000000" w:themeColor="text1"/>
        </w:rPr>
        <w:lastRenderedPageBreak/>
        <w:t xml:space="preserve">explanations might be that unlike cortex, the trabeculae at tibial </w:t>
      </w:r>
      <w:r w:rsidR="00BE5E07">
        <w:rPr>
          <w:rFonts w:ascii="Arial" w:hAnsi="Arial" w:cs="Arial"/>
          <w:color w:val="000000" w:themeColor="text1"/>
        </w:rPr>
        <w:t xml:space="preserve">proximal metaphysis have seldom </w:t>
      </w:r>
      <w:r>
        <w:rPr>
          <w:rFonts w:ascii="Arial" w:hAnsi="Arial" w:cs="Arial"/>
          <w:color w:val="000000" w:themeColor="text1"/>
        </w:rPr>
        <w:t xml:space="preserve">internal blood supply relying on diffusion and active transport of metabolites independent of the bone blood flow </w:t>
      </w:r>
      <w:r w:rsidR="005A6ED6">
        <w:rPr>
          <w:rFonts w:ascii="Arial" w:hAnsi="Arial" w:cs="Arial"/>
          <w:color w:val="000000" w:themeColor="text1"/>
        </w:rPr>
        <w:fldChar w:fldCharType="begin"/>
      </w:r>
      <w:r w:rsidR="00A108A1">
        <w:rPr>
          <w:rFonts w:ascii="Arial" w:hAnsi="Arial" w:cs="Arial"/>
          <w:color w:val="000000" w:themeColor="text1"/>
        </w:rPr>
        <w:instrText xml:space="preserve"> ADDIN EN.CITE &lt;EndNote&gt;&lt;Cite&gt;&lt;Author&gt;Fyhrie&lt;/Author&gt;&lt;Year&gt;1999&lt;/Year&gt;&lt;RecNum&gt;497&lt;/RecNum&gt;&lt;DisplayText&gt;(Fyhrie and Kimura, 1999)&lt;/DisplayText&gt;&lt;record&gt;&lt;rec-number&gt;497&lt;/rec-number&gt;&lt;foreign-keys&gt;&lt;key app="EN" db-id="ae9rewfrpdttrheppfxxv0p4950wpd25r09x" timestamp="1520658309"&gt;497&lt;/key&gt;&lt;/foreign-keys&gt;&lt;ref-type name="Journal Article"&gt;17&lt;/ref-type&gt;&lt;contributors&gt;&lt;authors&gt;&lt;author&gt;Fyhrie, D. P.&lt;/author&gt;&lt;author&gt;Kimura, J. H.&lt;/author&gt;&lt;/authors&gt;&lt;/contributors&gt;&lt;titles&gt;&lt;title&gt;Cancellous bone biomechanics&lt;/title&gt;&lt;secondary-title&gt;Journal of Biomechanics&lt;/secondary-title&gt;&lt;/titles&gt;&lt;periodical&gt;&lt;full-title&gt;Journal of Biomechanics&lt;/full-title&gt;&lt;/periodical&gt;&lt;pages&gt;1139-1148&lt;/pages&gt;&lt;volume&gt;32&lt;/volume&gt;&lt;number&gt;11&lt;/number&gt;&lt;keywords&gt;&lt;keyword&gt;Cancellous Bone&lt;/keyword&gt;&lt;keyword&gt;Cortical Bone&lt;/keyword&gt;&lt;keyword&gt;Biomechanics&lt;/keyword&gt;&lt;keyword&gt;Osteoporosis&lt;/keyword&gt;&lt;keyword&gt;Bone Stiffness&lt;/keyword&gt;&lt;keyword&gt;Bone Strength&lt;/keyword&gt;&lt;/keywords&gt;&lt;dates&gt;&lt;year&gt;1999&lt;/year&gt;&lt;/dates&gt;&lt;isbn&gt;0021-9290&lt;/isbn&gt;&lt;urls&gt;&lt;/urls&gt;&lt;electronic-resource-num&gt;10.1016/S0021-9290(99)00114-1&lt;/electronic-resource-num&gt;&lt;/record&gt;&lt;/Cite&gt;&lt;/EndNote&gt;</w:instrText>
      </w:r>
      <w:r w:rsidR="005A6ED6">
        <w:rPr>
          <w:rFonts w:ascii="Arial" w:hAnsi="Arial" w:cs="Arial"/>
          <w:color w:val="000000" w:themeColor="text1"/>
        </w:rPr>
        <w:fldChar w:fldCharType="separate"/>
      </w:r>
      <w:r w:rsidR="005A6ED6">
        <w:rPr>
          <w:rFonts w:ascii="Arial" w:hAnsi="Arial" w:cs="Arial"/>
          <w:noProof/>
          <w:color w:val="000000" w:themeColor="text1"/>
        </w:rPr>
        <w:t>(Fyhrie and Kimura, 1999)</w:t>
      </w:r>
      <w:r w:rsidR="005A6ED6">
        <w:rPr>
          <w:rFonts w:ascii="Arial" w:hAnsi="Arial" w:cs="Arial"/>
          <w:color w:val="000000" w:themeColor="text1"/>
        </w:rPr>
        <w:fldChar w:fldCharType="end"/>
      </w:r>
      <w:r w:rsidR="00BE5E07">
        <w:rPr>
          <w:rFonts w:ascii="Arial" w:hAnsi="Arial" w:cs="Arial"/>
          <w:color w:val="000000" w:themeColor="text1"/>
        </w:rPr>
        <w:t>.</w:t>
      </w:r>
      <w:r>
        <w:rPr>
          <w:rFonts w:ascii="Arial" w:hAnsi="Arial" w:cs="Arial"/>
          <w:color w:val="000000" w:themeColor="text1"/>
        </w:rPr>
        <w:t xml:space="preserve"> </w:t>
      </w:r>
    </w:p>
    <w:p w14:paraId="747EAE1B" w14:textId="77777777" w:rsidR="00E56E65" w:rsidRPr="009E1474" w:rsidRDefault="00E56E65" w:rsidP="009E1474">
      <w:pPr>
        <w:pStyle w:val="Heading3"/>
        <w:spacing w:line="480" w:lineRule="auto"/>
        <w:jc w:val="both"/>
        <w:rPr>
          <w:rFonts w:ascii="Arial" w:hAnsi="Arial" w:cs="Arial"/>
          <w:color w:val="auto"/>
        </w:rPr>
      </w:pPr>
      <w:bookmarkStart w:id="120" w:name="_Toc383723902"/>
      <w:r w:rsidRPr="009E1474">
        <w:rPr>
          <w:rFonts w:ascii="Arial" w:hAnsi="Arial" w:cs="Arial"/>
          <w:color w:val="auto"/>
        </w:rPr>
        <w:t xml:space="preserve">4.3.2 </w:t>
      </w:r>
      <w:proofErr w:type="gramStart"/>
      <w:r w:rsidRPr="009E1474">
        <w:rPr>
          <w:rFonts w:ascii="Arial" w:hAnsi="Arial" w:cs="Arial"/>
          <w:color w:val="auto"/>
        </w:rPr>
        <w:t>The</w:t>
      </w:r>
      <w:proofErr w:type="gramEnd"/>
      <w:r w:rsidRPr="009E1474">
        <w:rPr>
          <w:rFonts w:ascii="Arial" w:hAnsi="Arial" w:cs="Arial"/>
          <w:color w:val="auto"/>
        </w:rPr>
        <w:t xml:space="preserve"> effect of timing of feeding on cortical bone’s response to maximal mechanical loading in young male mice</w:t>
      </w:r>
      <w:bookmarkEnd w:id="120"/>
    </w:p>
    <w:p w14:paraId="3AEA369F" w14:textId="77777777" w:rsidR="00E56E65" w:rsidRDefault="00E56E65" w:rsidP="00E56E65">
      <w:pPr>
        <w:spacing w:line="480" w:lineRule="auto"/>
        <w:jc w:val="both"/>
        <w:rPr>
          <w:rFonts w:ascii="Arial" w:eastAsiaTheme="minorHAnsi" w:hAnsi="Arial"/>
          <w:bCs/>
          <w:lang w:val="en-US"/>
        </w:rPr>
      </w:pPr>
      <w:r w:rsidRPr="00431EFD">
        <w:rPr>
          <w:rFonts w:ascii="Arial" w:hAnsi="Arial"/>
          <w:bCs/>
          <w:lang w:val="en-US"/>
        </w:rPr>
        <w:t>Since ov</w:t>
      </w:r>
      <w:r w:rsidR="009E1474">
        <w:rPr>
          <w:rFonts w:ascii="Arial" w:hAnsi="Arial"/>
          <w:bCs/>
          <w:lang w:val="en-US"/>
        </w:rPr>
        <w:t>ernight 16-hour</w:t>
      </w:r>
      <w:r w:rsidRPr="00431EFD">
        <w:rPr>
          <w:rFonts w:ascii="Arial" w:hAnsi="Arial"/>
          <w:bCs/>
          <w:lang w:val="en-US"/>
        </w:rPr>
        <w:t xml:space="preserve"> fasting neither potentiated nor inhibited bone’s response to </w:t>
      </w:r>
      <w:r>
        <w:rPr>
          <w:rFonts w:ascii="Arial" w:hAnsi="Arial"/>
          <w:bCs/>
          <w:lang w:val="en-US"/>
        </w:rPr>
        <w:t>maximal</w:t>
      </w:r>
      <w:r w:rsidRPr="00431EFD">
        <w:rPr>
          <w:rFonts w:ascii="Arial" w:hAnsi="Arial"/>
          <w:bCs/>
          <w:lang w:val="en-US"/>
        </w:rPr>
        <w:t xml:space="preserve"> mechanical loading in mice, we next determined the ability of food ingestion to potentiate oste</w:t>
      </w:r>
      <w:r>
        <w:rPr>
          <w:rFonts w:ascii="Arial" w:hAnsi="Arial"/>
          <w:bCs/>
          <w:lang w:val="en-US"/>
        </w:rPr>
        <w:t xml:space="preserve">ogenic mechanical loading with </w:t>
      </w:r>
      <w:r w:rsidRPr="00431EFD">
        <w:rPr>
          <w:rFonts w:ascii="Arial" w:hAnsi="Arial"/>
          <w:bCs/>
          <w:lang w:val="en-US"/>
        </w:rPr>
        <w:t>regimen of 40 cycles</w:t>
      </w:r>
      <w:r>
        <w:rPr>
          <w:rFonts w:ascii="Arial" w:hAnsi="Arial"/>
          <w:bCs/>
          <w:lang w:val="en-US"/>
        </w:rPr>
        <w:t xml:space="preserve"> and a peak force of 13N on tibiae of fed or fed for 2</w:t>
      </w:r>
      <w:r w:rsidRPr="00431EFD">
        <w:rPr>
          <w:rFonts w:ascii="Arial" w:hAnsi="Arial"/>
          <w:bCs/>
          <w:lang w:val="en-US"/>
        </w:rPr>
        <w:t xml:space="preserve"> h</w:t>
      </w:r>
      <w:r w:rsidR="000C3B2F">
        <w:rPr>
          <w:rFonts w:ascii="Arial" w:hAnsi="Arial"/>
          <w:bCs/>
          <w:lang w:val="en-US"/>
        </w:rPr>
        <w:t>ours following overnight fast</w:t>
      </w:r>
      <w:r w:rsidRPr="00431EFD">
        <w:rPr>
          <w:rFonts w:ascii="Arial" w:hAnsi="Arial"/>
          <w:bCs/>
          <w:lang w:val="en-US"/>
        </w:rPr>
        <w:t xml:space="preserve"> </w:t>
      </w:r>
      <w:r>
        <w:rPr>
          <w:rFonts w:ascii="Arial" w:hAnsi="Arial"/>
          <w:bCs/>
          <w:lang w:val="en-US"/>
        </w:rPr>
        <w:t xml:space="preserve">young </w:t>
      </w:r>
      <w:r w:rsidRPr="00431EFD">
        <w:rPr>
          <w:rFonts w:ascii="Arial" w:eastAsiaTheme="minorHAnsi" w:hAnsi="Arial"/>
          <w:bCs/>
          <w:lang w:val="en-US"/>
        </w:rPr>
        <w:t>male</w:t>
      </w:r>
      <w:r w:rsidRPr="00431EFD">
        <w:rPr>
          <w:rFonts w:ascii="Arial" w:hAnsi="Arial"/>
          <w:bCs/>
          <w:lang w:val="en-US"/>
        </w:rPr>
        <w:t xml:space="preserve"> mice. </w:t>
      </w:r>
    </w:p>
    <w:p w14:paraId="463E527E" w14:textId="77777777" w:rsidR="00E56E65" w:rsidRDefault="00E56E65" w:rsidP="00E56E65"/>
    <w:p w14:paraId="5FEF98B8" w14:textId="77777777" w:rsidR="00E56E65" w:rsidRDefault="00E56E65" w:rsidP="00E56E65">
      <w:pPr>
        <w:spacing w:line="480" w:lineRule="auto"/>
        <w:jc w:val="both"/>
        <w:rPr>
          <w:rFonts w:ascii="Arial" w:hAnsi="Arial" w:cs="Arial"/>
          <w:color w:val="000000" w:themeColor="text1"/>
        </w:rPr>
      </w:pPr>
      <w:r>
        <w:rPr>
          <w:rFonts w:ascii="Arial" w:hAnsi="Arial"/>
          <w:bCs/>
          <w:lang w:val="en-US"/>
        </w:rPr>
        <w:t xml:space="preserve">High resolution </w:t>
      </w:r>
      <w:r w:rsidRPr="006635E8">
        <w:rPr>
          <w:rFonts w:ascii="Arial" w:hAnsi="Arial" w:cs="Arial"/>
          <w:color w:val="000000" w:themeColor="text1"/>
        </w:rPr>
        <w:sym w:font="Symbol" w:char="F06D"/>
      </w:r>
      <w:r w:rsidRPr="006635E8">
        <w:rPr>
          <w:rFonts w:ascii="Arial" w:hAnsi="Arial" w:cs="Arial"/>
          <w:color w:val="000000" w:themeColor="text1"/>
        </w:rPr>
        <w:t>CT</w:t>
      </w:r>
      <w:r>
        <w:rPr>
          <w:rFonts w:ascii="Arial" w:hAnsi="Arial" w:cs="Arial"/>
          <w:color w:val="000000" w:themeColor="text1"/>
        </w:rPr>
        <w:t xml:space="preserve"> analysis of cortical bone at the mid-shaft region of the loaded tibiae revealed significant increase in cortical bone area and thickness compared with that of left controls in both ad-lib fed and fasted 2-hour fed mice. The marrow area of the loaded tibiae in ad-lib fed and fasted 2-hour fed mice consequently decreased but not significantly from non-loaded left tibiae, with overall increase in total cross-sectional area inside the periosteal envelope. This observed osteogenic loading response could indicate that </w:t>
      </w:r>
      <w:r>
        <w:rPr>
          <w:rFonts w:ascii="Arial" w:hAnsi="Arial" w:cs="Arial"/>
          <w:color w:val="1A1A1A"/>
          <w:lang w:val="en-US"/>
        </w:rPr>
        <w:t xml:space="preserve">cortical bone was able to adapt adequately to a strain-related stimulus and reflects increased osteoblast recruitment, proliferation and function in the cortex of the loaded tibiae.  </w:t>
      </w:r>
      <w:r>
        <w:rPr>
          <w:rFonts w:ascii="Arial" w:hAnsi="Arial" w:cs="Arial"/>
          <w:color w:val="000000" w:themeColor="text1"/>
        </w:rPr>
        <w:t>The fasted 2-hour fed mice had higher osteogenic response and greater increases in CT.Ar and Ct.Th in the right tibiae compared with that in ad-lib f</w:t>
      </w:r>
      <w:r w:rsidR="00074F0E">
        <w:rPr>
          <w:rFonts w:ascii="Arial" w:hAnsi="Arial" w:cs="Arial"/>
          <w:color w:val="000000" w:themeColor="text1"/>
        </w:rPr>
        <w:t>ed mice. To determine the extent</w:t>
      </w:r>
      <w:r>
        <w:rPr>
          <w:rFonts w:ascii="Arial" w:hAnsi="Arial" w:cs="Arial"/>
          <w:color w:val="000000" w:themeColor="text1"/>
        </w:rPr>
        <w:t xml:space="preserve"> of cortical bone osteogenic response between ad-lib fed and fasted 2-hour fed mice, cortical bone parameters from the right loaded tibiae were compared between 2 groups. Mice that have been fed for 2 hours following overnight fast had further significant increase in Ct.Th in the loaded tibiae compared with t</w:t>
      </w:r>
      <w:r w:rsidR="006841A0">
        <w:rPr>
          <w:rFonts w:ascii="Arial" w:hAnsi="Arial" w:cs="Arial"/>
          <w:color w:val="000000" w:themeColor="text1"/>
        </w:rPr>
        <w:t>hat in ad-lib fed mice (Figure 30</w:t>
      </w:r>
      <w:r>
        <w:rPr>
          <w:rFonts w:ascii="Arial" w:hAnsi="Arial" w:cs="Arial"/>
          <w:color w:val="000000" w:themeColor="text1"/>
        </w:rPr>
        <w:t xml:space="preserve">). </w:t>
      </w:r>
    </w:p>
    <w:p w14:paraId="05C2A8BC" w14:textId="77777777" w:rsidR="006841A0" w:rsidRDefault="006841A0" w:rsidP="00E56E65">
      <w:pPr>
        <w:spacing w:line="480" w:lineRule="auto"/>
        <w:jc w:val="both"/>
        <w:rPr>
          <w:rFonts w:ascii="Arial" w:hAnsi="Arial" w:cs="Arial"/>
          <w:color w:val="000000" w:themeColor="text1"/>
        </w:rPr>
      </w:pPr>
    </w:p>
    <w:p w14:paraId="17CFD844" w14:textId="77777777" w:rsidR="006841A0" w:rsidRDefault="00E56E65" w:rsidP="00E56E65">
      <w:pPr>
        <w:spacing w:line="480" w:lineRule="auto"/>
        <w:jc w:val="both"/>
        <w:rPr>
          <w:rFonts w:ascii="Arial" w:hAnsi="Arial" w:cs="Arial"/>
          <w:color w:val="1A1A1A"/>
          <w:lang w:val="en-US"/>
        </w:rPr>
      </w:pPr>
      <w:r>
        <w:rPr>
          <w:rFonts w:ascii="Arial" w:hAnsi="Arial"/>
          <w:bCs/>
          <w:lang w:val="en-US"/>
        </w:rPr>
        <w:t xml:space="preserve">The </w:t>
      </w:r>
      <w:r>
        <w:rPr>
          <w:rFonts w:ascii="Arial" w:hAnsi="Arial" w:cs="Arial"/>
          <w:color w:val="1A1A1A"/>
          <w:lang w:val="en-US"/>
        </w:rPr>
        <w:t xml:space="preserve">dynamic histomorphometry </w:t>
      </w:r>
      <w:r>
        <w:rPr>
          <w:rFonts w:ascii="Arial" w:hAnsi="Arial"/>
          <w:bCs/>
          <w:lang w:val="en-US"/>
        </w:rPr>
        <w:t xml:space="preserve">analysis of the </w:t>
      </w:r>
      <w:r w:rsidRPr="00D17118">
        <w:rPr>
          <w:rFonts w:ascii="Arial" w:hAnsi="Arial"/>
          <w:bCs/>
          <w:lang w:val="en-US"/>
        </w:rPr>
        <w:t xml:space="preserve">total </w:t>
      </w:r>
      <w:r>
        <w:rPr>
          <w:rFonts w:ascii="Arial" w:hAnsi="Arial" w:cs="Arial"/>
          <w:color w:val="1A1A1A"/>
          <w:lang w:val="en-US"/>
        </w:rPr>
        <w:t xml:space="preserve">BFR/BS, </w:t>
      </w:r>
      <w:r w:rsidRPr="00D17118">
        <w:rPr>
          <w:rFonts w:ascii="Arial" w:hAnsi="Arial" w:cs="Arial"/>
          <w:color w:val="1A1A1A"/>
          <w:lang w:val="en-US"/>
        </w:rPr>
        <w:t xml:space="preserve">MAR </w:t>
      </w:r>
      <w:r>
        <w:rPr>
          <w:rFonts w:ascii="Arial" w:hAnsi="Arial" w:cs="Arial"/>
          <w:color w:val="1A1A1A"/>
          <w:lang w:val="en-US"/>
        </w:rPr>
        <w:t xml:space="preserve">and MS </w:t>
      </w:r>
      <w:r w:rsidRPr="00D17118">
        <w:rPr>
          <w:rFonts w:ascii="Arial" w:hAnsi="Arial" w:cs="Arial"/>
          <w:color w:val="1A1A1A"/>
          <w:lang w:val="en-US"/>
        </w:rPr>
        <w:t xml:space="preserve">of the tibiae of </w:t>
      </w:r>
    </w:p>
    <w:p w14:paraId="1BA86360" w14:textId="77777777" w:rsidR="00E56E65" w:rsidRPr="00A81834" w:rsidRDefault="00E56E65" w:rsidP="00E56E65">
      <w:pPr>
        <w:spacing w:line="480" w:lineRule="auto"/>
        <w:jc w:val="both"/>
        <w:rPr>
          <w:rFonts w:ascii="Arial" w:hAnsi="Arial" w:cs="Arial"/>
          <w:color w:val="1A1A1A"/>
          <w:lang w:val="en-US"/>
        </w:rPr>
      </w:pPr>
      <w:proofErr w:type="gramStart"/>
      <w:r w:rsidRPr="00D17118">
        <w:rPr>
          <w:rFonts w:ascii="Arial" w:hAnsi="Arial" w:cs="Arial"/>
          <w:color w:val="1A1A1A"/>
          <w:lang w:val="en-US"/>
        </w:rPr>
        <w:lastRenderedPageBreak/>
        <w:t>fasted</w:t>
      </w:r>
      <w:proofErr w:type="gramEnd"/>
      <w:r w:rsidRPr="00D17118">
        <w:rPr>
          <w:rFonts w:ascii="Arial" w:hAnsi="Arial" w:cs="Arial"/>
          <w:color w:val="1A1A1A"/>
          <w:lang w:val="en-US"/>
        </w:rPr>
        <w:t xml:space="preserve"> </w:t>
      </w:r>
      <w:r>
        <w:rPr>
          <w:rFonts w:ascii="Arial" w:hAnsi="Arial" w:cs="Arial"/>
          <w:color w:val="1A1A1A"/>
          <w:lang w:val="en-US"/>
        </w:rPr>
        <w:t>2-hour</w:t>
      </w:r>
      <w:r w:rsidRPr="00D17118">
        <w:rPr>
          <w:rFonts w:ascii="Arial" w:hAnsi="Arial" w:cs="Arial"/>
          <w:color w:val="1A1A1A"/>
          <w:lang w:val="en-US"/>
        </w:rPr>
        <w:t xml:space="preserve"> fed mice was consistent with the </w:t>
      </w:r>
      <w:r w:rsidRPr="006635E8">
        <w:rPr>
          <w:rFonts w:ascii="Arial" w:hAnsi="Arial" w:cs="Arial"/>
          <w:color w:val="000000" w:themeColor="text1"/>
        </w:rPr>
        <w:sym w:font="Symbol" w:char="F06D"/>
      </w:r>
      <w:r w:rsidRPr="006635E8">
        <w:rPr>
          <w:rFonts w:ascii="Arial" w:hAnsi="Arial" w:cs="Arial"/>
          <w:color w:val="000000" w:themeColor="text1"/>
        </w:rPr>
        <w:t>CT</w:t>
      </w:r>
      <w:r w:rsidRPr="00D17118">
        <w:rPr>
          <w:rFonts w:ascii="Arial" w:hAnsi="Arial" w:cs="Arial"/>
          <w:color w:val="1A1A1A"/>
          <w:lang w:val="en-US"/>
        </w:rPr>
        <w:t xml:space="preserve"> analysis</w:t>
      </w:r>
      <w:r w:rsidR="00D2764F">
        <w:rPr>
          <w:rFonts w:ascii="Arial" w:hAnsi="Arial" w:cs="Arial"/>
          <w:color w:val="1A1A1A"/>
          <w:lang w:val="en-US"/>
        </w:rPr>
        <w:t xml:space="preserve"> (Figure</w:t>
      </w:r>
      <w:r w:rsidR="006841A0">
        <w:rPr>
          <w:rFonts w:ascii="Arial" w:hAnsi="Arial" w:cs="Arial"/>
          <w:color w:val="1A1A1A"/>
          <w:lang w:val="en-US"/>
        </w:rPr>
        <w:t xml:space="preserve"> 32</w:t>
      </w:r>
      <w:r>
        <w:rPr>
          <w:rFonts w:ascii="Arial" w:hAnsi="Arial" w:cs="Arial"/>
          <w:color w:val="1A1A1A"/>
          <w:lang w:val="en-US"/>
        </w:rPr>
        <w:t>). Enhanced osteoblastic bone formation activities were confirmed by the results of double fluorochrome labeling in cortical compartment, which reveale</w:t>
      </w:r>
      <w:r w:rsidR="00A81834">
        <w:rPr>
          <w:rFonts w:ascii="Arial" w:hAnsi="Arial" w:cs="Arial"/>
          <w:color w:val="1A1A1A"/>
          <w:lang w:val="en-US"/>
        </w:rPr>
        <w:t>d</w:t>
      </w:r>
      <w:r>
        <w:rPr>
          <w:rFonts w:ascii="Arial" w:hAnsi="Arial" w:cs="Arial"/>
          <w:color w:val="1A1A1A"/>
          <w:lang w:val="en-US"/>
        </w:rPr>
        <w:t xml:space="preserve"> significant increase in BFR/BS and MAR in loaded tibiae of fasted 2-hour fed mice compared with ad-lib fed mice. Increased bone formation was observed in endocortical and mainly in periosteal surfaces of the cortex in the loaded tibiae of </w:t>
      </w:r>
      <w:r w:rsidR="006841A0">
        <w:rPr>
          <w:rFonts w:ascii="Arial" w:hAnsi="Arial" w:cs="Arial"/>
          <w:color w:val="1A1A1A"/>
          <w:lang w:val="en-US"/>
        </w:rPr>
        <w:t>fasted 2-hour fed mice (Figure 31</w:t>
      </w:r>
      <w:r>
        <w:rPr>
          <w:rFonts w:ascii="Arial" w:hAnsi="Arial" w:cs="Arial"/>
          <w:color w:val="1A1A1A"/>
          <w:lang w:val="en-US"/>
        </w:rPr>
        <w:t xml:space="preserve">). Consistent with </w:t>
      </w:r>
      <w:r w:rsidR="00A81834">
        <w:rPr>
          <w:rFonts w:ascii="Arial" w:hAnsi="Arial" w:cs="Arial"/>
          <w:color w:val="1A1A1A"/>
          <w:lang w:val="en-US"/>
        </w:rPr>
        <w:t xml:space="preserve">the </w:t>
      </w:r>
      <w:r>
        <w:rPr>
          <w:rFonts w:ascii="Arial" w:hAnsi="Arial" w:cs="Arial"/>
          <w:color w:val="1A1A1A"/>
          <w:lang w:val="en-US"/>
        </w:rPr>
        <w:t>previous findings, the areas of new woven bone were observed predominantly in the periosteal surfaces of cortical bone of the loaded tibiae</w:t>
      </w:r>
      <w:r w:rsidR="00881A6C">
        <w:rPr>
          <w:rFonts w:ascii="Arial" w:hAnsi="Arial" w:cs="Arial"/>
          <w:color w:val="1A1A1A"/>
          <w:lang w:val="en-US"/>
        </w:rPr>
        <w:t xml:space="preserve"> as shown in 3D images, Figure 29 </w:t>
      </w:r>
      <w:r w:rsidR="005A6ED6">
        <w:rPr>
          <w:rFonts w:ascii="Arial" w:hAnsi="Arial" w:cs="Arial"/>
          <w:color w:val="1A1A1A"/>
          <w:lang w:val="en-US"/>
        </w:rPr>
        <w:fldChar w:fldCharType="begin">
          <w:fldData xml:space="preserve">PEVuZE5vdGU+PENpdGU+PEF1dGhvcj5IZXJ0PC9BdXRob3I+PFllYXI+MTk3MTwvWWVhcj48UmVj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</w:fldData>
        </w:fldChar>
      </w:r>
      <w:r w:rsidR="00A108A1">
        <w:rPr>
          <w:rFonts w:ascii="Arial" w:hAnsi="Arial" w:cs="Arial"/>
          <w:color w:val="1A1A1A"/>
          <w:lang w:val="en-US"/>
        </w:rPr>
        <w:instrText xml:space="preserve"> ADDIN EN.CITE </w:instrText>
      </w:r>
      <w:r w:rsidR="00A108A1">
        <w:rPr>
          <w:rFonts w:ascii="Arial" w:hAnsi="Arial" w:cs="Arial"/>
          <w:color w:val="1A1A1A"/>
          <w:lang w:val="en-US"/>
        </w:rPr>
        <w:fldChar w:fldCharType="begin">
          <w:fldData xml:space="preserve">PEVuZE5vdGU+PENpdGU+PEF1dGhvcj5IZXJ0PC9BdXRob3I+PFllYXI+MTk3MTwvWWVhcj48UmVj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</w:fldData>
        </w:fldChar>
      </w:r>
      <w:r w:rsidR="00A108A1">
        <w:rPr>
          <w:rFonts w:ascii="Arial" w:hAnsi="Arial" w:cs="Arial"/>
          <w:color w:val="1A1A1A"/>
          <w:lang w:val="en-US"/>
        </w:rPr>
        <w:instrText xml:space="preserve"> ADDIN EN.CITE.DATA </w:instrText>
      </w:r>
      <w:r w:rsidR="00A108A1">
        <w:rPr>
          <w:rFonts w:ascii="Arial" w:hAnsi="Arial" w:cs="Arial"/>
          <w:color w:val="1A1A1A"/>
          <w:lang w:val="en-US"/>
        </w:rPr>
      </w:r>
      <w:r w:rsidR="00A108A1">
        <w:rPr>
          <w:rFonts w:ascii="Arial" w:hAnsi="Arial" w:cs="Arial"/>
          <w:color w:val="1A1A1A"/>
          <w:lang w:val="en-US"/>
        </w:rPr>
        <w:fldChar w:fldCharType="end"/>
      </w:r>
      <w:r w:rsidR="005A6ED6">
        <w:rPr>
          <w:rFonts w:ascii="Arial" w:hAnsi="Arial" w:cs="Arial"/>
          <w:color w:val="1A1A1A"/>
          <w:lang w:val="en-US"/>
        </w:rPr>
      </w:r>
      <w:r w:rsidR="005A6ED6">
        <w:rPr>
          <w:rFonts w:ascii="Arial" w:hAnsi="Arial" w:cs="Arial"/>
          <w:color w:val="1A1A1A"/>
          <w:lang w:val="en-US"/>
        </w:rPr>
        <w:fldChar w:fldCharType="separate"/>
      </w:r>
      <w:r w:rsidR="005A6ED6">
        <w:rPr>
          <w:rFonts w:ascii="Arial" w:hAnsi="Arial" w:cs="Arial"/>
          <w:noProof/>
          <w:color w:val="1A1A1A"/>
          <w:lang w:val="en-US"/>
        </w:rPr>
        <w:t>(Hert et al., 1971, Akhter et al., 1998, Mosley and Lanyon, 1998, De Souza et al., 2005a, Sugiyama et al., 2010, Sugiyama et al., 2012)</w:t>
      </w:r>
      <w:r w:rsidR="005A6ED6">
        <w:rPr>
          <w:rFonts w:ascii="Arial" w:hAnsi="Arial" w:cs="Arial"/>
          <w:color w:val="1A1A1A"/>
          <w:lang w:val="en-US"/>
        </w:rPr>
        <w:fldChar w:fldCharType="end"/>
      </w:r>
      <w:r w:rsidR="000F5B08">
        <w:rPr>
          <w:rFonts w:ascii="Arial" w:hAnsi="Arial" w:cs="Arial"/>
          <w:color w:val="1A1A1A"/>
          <w:lang w:val="en-US"/>
        </w:rPr>
        <w:t>.</w:t>
      </w:r>
      <w:r>
        <w:rPr>
          <w:rFonts w:ascii="Arial" w:hAnsi="Arial" w:cs="Arial"/>
          <w:color w:val="1A1A1A"/>
          <w:lang w:val="en-US"/>
        </w:rPr>
        <w:t xml:space="preserve"> </w:t>
      </w:r>
    </w:p>
    <w:p w14:paraId="25F915F8" w14:textId="77777777" w:rsidR="00E56E65" w:rsidRDefault="00E56E65" w:rsidP="00E56E65">
      <w:pPr>
        <w:spacing w:line="480" w:lineRule="auto"/>
        <w:jc w:val="both"/>
        <w:rPr>
          <w:rFonts w:ascii="Arial" w:hAnsi="Arial" w:cs="Arial"/>
          <w:color w:val="1A1A1A"/>
          <w:lang w:val="en-US"/>
        </w:rPr>
      </w:pPr>
    </w:p>
    <w:p w14:paraId="5FCC987E" w14:textId="77777777" w:rsidR="00E56E65" w:rsidRDefault="00E56E65" w:rsidP="00E56E65">
      <w:pPr>
        <w:spacing w:line="480" w:lineRule="auto"/>
        <w:jc w:val="both"/>
        <w:rPr>
          <w:rFonts w:ascii="Arial" w:hAnsi="Arial" w:cs="Arial"/>
          <w:color w:val="000000" w:themeColor="text1"/>
        </w:rPr>
      </w:pPr>
      <w:r>
        <w:rPr>
          <w:rFonts w:ascii="Arial" w:hAnsi="Arial" w:cs="Arial"/>
          <w:color w:val="1A1A1A"/>
          <w:lang w:val="en-US"/>
        </w:rPr>
        <w:t xml:space="preserve">Cortical bone area and cortical thickness </w:t>
      </w:r>
      <w:r w:rsidRPr="0088711C">
        <w:rPr>
          <w:rFonts w:ascii="Arial" w:hAnsi="Arial" w:cs="Arial"/>
          <w:color w:val="000000" w:themeColor="text1"/>
        </w:rPr>
        <w:t>at the mid-shaft region of the loaded tibiae</w:t>
      </w:r>
      <w:r>
        <w:rPr>
          <w:rFonts w:ascii="Arial" w:hAnsi="Arial" w:cs="Arial"/>
          <w:color w:val="000000" w:themeColor="text1"/>
        </w:rPr>
        <w:t xml:space="preserve"> in mice that were fed for 1 hour or 3 h</w:t>
      </w:r>
      <w:r w:rsidR="00041F52">
        <w:rPr>
          <w:rFonts w:ascii="Arial" w:hAnsi="Arial" w:cs="Arial"/>
          <w:color w:val="000000" w:themeColor="text1"/>
        </w:rPr>
        <w:t>ours following overnight fast</w:t>
      </w:r>
      <w:r>
        <w:rPr>
          <w:rFonts w:ascii="Arial" w:hAnsi="Arial" w:cs="Arial"/>
          <w:color w:val="000000" w:themeColor="text1"/>
        </w:rPr>
        <w:t xml:space="preserve"> significantly increased compared with the contralateral non-loaded left tibiae, but not significantly from the loaded tibiae of ad-lib fed mice. Increases in cortical bone area and thickness were linked to increased </w:t>
      </w:r>
      <w:r w:rsidRPr="00F7439A">
        <w:rPr>
          <w:rFonts w:ascii="Arial" w:hAnsi="Arial" w:cs="Arial"/>
          <w:color w:val="000000" w:themeColor="text1"/>
        </w:rPr>
        <w:t>total cross-sectional area inside the periosteal envelope</w:t>
      </w:r>
      <w:r>
        <w:rPr>
          <w:rFonts w:ascii="Arial" w:hAnsi="Arial" w:cs="Arial"/>
          <w:color w:val="000000" w:themeColor="text1"/>
        </w:rPr>
        <w:t xml:space="preserve"> and decreased </w:t>
      </w:r>
      <w:r w:rsidRPr="00F7439A">
        <w:rPr>
          <w:rFonts w:ascii="Arial" w:hAnsi="Arial" w:cs="Arial"/>
          <w:color w:val="000000" w:themeColor="text1"/>
        </w:rPr>
        <w:t>marrow area</w:t>
      </w:r>
      <w:r>
        <w:rPr>
          <w:rFonts w:ascii="Arial" w:hAnsi="Arial" w:cs="Arial"/>
          <w:color w:val="000000" w:themeColor="text1"/>
        </w:rPr>
        <w:t xml:space="preserve"> of the loaded tibiae compared with non-loaded controls within the groups although changes did n</w:t>
      </w:r>
      <w:r w:rsidR="007D1F5F">
        <w:rPr>
          <w:rFonts w:ascii="Arial" w:hAnsi="Arial" w:cs="Arial"/>
          <w:color w:val="000000" w:themeColor="text1"/>
        </w:rPr>
        <w:t>ot reach significance (Figures 35 and 37</w:t>
      </w:r>
      <w:r>
        <w:rPr>
          <w:rFonts w:ascii="Arial" w:hAnsi="Arial" w:cs="Arial"/>
          <w:color w:val="000000" w:themeColor="text1"/>
        </w:rPr>
        <w:t>).</w:t>
      </w:r>
    </w:p>
    <w:p w14:paraId="47030BF7" w14:textId="77777777" w:rsidR="00E56E65" w:rsidRPr="0057709E" w:rsidRDefault="00E56E65" w:rsidP="00E56E65"/>
    <w:p w14:paraId="5AEED5AD" w14:textId="77777777" w:rsidR="00E56E65" w:rsidRPr="00125DE7" w:rsidRDefault="00E56E65" w:rsidP="00125DE7">
      <w:pPr>
        <w:pStyle w:val="Heading3"/>
        <w:spacing w:line="480" w:lineRule="auto"/>
        <w:jc w:val="both"/>
        <w:rPr>
          <w:rFonts w:ascii="Arial" w:hAnsi="Arial" w:cs="Arial"/>
          <w:color w:val="auto"/>
        </w:rPr>
      </w:pPr>
      <w:bookmarkStart w:id="121" w:name="_Toc383723903"/>
      <w:r w:rsidRPr="00125DE7">
        <w:rPr>
          <w:rFonts w:ascii="Arial" w:hAnsi="Arial" w:cs="Arial"/>
          <w:color w:val="auto"/>
        </w:rPr>
        <w:t xml:space="preserve">4.3.3 </w:t>
      </w:r>
      <w:proofErr w:type="gramStart"/>
      <w:r w:rsidRPr="00125DE7">
        <w:rPr>
          <w:rFonts w:ascii="Arial" w:hAnsi="Arial" w:cs="Arial"/>
          <w:color w:val="auto"/>
        </w:rPr>
        <w:t>The</w:t>
      </w:r>
      <w:proofErr w:type="gramEnd"/>
      <w:r w:rsidRPr="00125DE7">
        <w:rPr>
          <w:rFonts w:ascii="Arial" w:hAnsi="Arial" w:cs="Arial"/>
          <w:color w:val="auto"/>
        </w:rPr>
        <w:t xml:space="preserve"> effect of timing of feeding on trabecular bone’s response to maximal mechanical loading in young male mice</w:t>
      </w:r>
      <w:bookmarkEnd w:id="121"/>
      <w:r w:rsidRPr="00125DE7">
        <w:rPr>
          <w:rFonts w:ascii="Arial" w:hAnsi="Arial" w:cs="Arial"/>
          <w:color w:val="auto"/>
        </w:rPr>
        <w:t xml:space="preserve"> </w:t>
      </w:r>
    </w:p>
    <w:p w14:paraId="17882A9D" w14:textId="77777777" w:rsidR="00E56E65" w:rsidRDefault="00E56E65" w:rsidP="00E56E65">
      <w:pPr>
        <w:spacing w:line="480" w:lineRule="auto"/>
        <w:jc w:val="both"/>
        <w:rPr>
          <w:rFonts w:ascii="Arial" w:hAnsi="Arial"/>
          <w:bCs/>
          <w:lang w:val="en-US"/>
        </w:rPr>
      </w:pPr>
      <w:r>
        <w:rPr>
          <w:rFonts w:ascii="Arial" w:hAnsi="Arial"/>
          <w:bCs/>
          <w:lang w:val="en-US"/>
        </w:rPr>
        <w:t>Non-invasive axial mechanical l</w:t>
      </w:r>
      <w:r w:rsidRPr="00C96CC0">
        <w:rPr>
          <w:rFonts w:ascii="Arial" w:hAnsi="Arial"/>
          <w:bCs/>
          <w:lang w:val="en-US"/>
        </w:rPr>
        <w:t xml:space="preserve">oading caused significant adaptive response in most trabecular bone parameters in the loaded right tibiae </w:t>
      </w:r>
      <w:r>
        <w:rPr>
          <w:rFonts w:ascii="Arial" w:hAnsi="Arial"/>
          <w:bCs/>
          <w:lang w:val="en-US"/>
        </w:rPr>
        <w:t>of fed or fed for 2</w:t>
      </w:r>
      <w:r w:rsidRPr="00431EFD">
        <w:rPr>
          <w:rFonts w:ascii="Arial" w:hAnsi="Arial"/>
          <w:bCs/>
          <w:lang w:val="en-US"/>
        </w:rPr>
        <w:t xml:space="preserve"> hours fo</w:t>
      </w:r>
      <w:r w:rsidR="00817CBC">
        <w:rPr>
          <w:rFonts w:ascii="Arial" w:hAnsi="Arial"/>
          <w:bCs/>
          <w:lang w:val="en-US"/>
        </w:rPr>
        <w:t>llowing overnight fast</w:t>
      </w:r>
      <w:r w:rsidRPr="00431EFD">
        <w:rPr>
          <w:rFonts w:ascii="Arial" w:hAnsi="Arial"/>
          <w:bCs/>
          <w:lang w:val="en-US"/>
        </w:rPr>
        <w:t xml:space="preserve"> mice</w:t>
      </w:r>
      <w:r>
        <w:rPr>
          <w:rFonts w:ascii="Arial" w:hAnsi="Arial"/>
          <w:bCs/>
          <w:lang w:val="en-US"/>
        </w:rPr>
        <w:t xml:space="preserve"> compared with the contralateral non-loaded left tibiae</w:t>
      </w:r>
      <w:r w:rsidRPr="00C96CC0">
        <w:rPr>
          <w:rFonts w:ascii="Arial" w:hAnsi="Arial"/>
          <w:bCs/>
          <w:lang w:val="en-US"/>
        </w:rPr>
        <w:t xml:space="preserve">. </w:t>
      </w:r>
      <w:r>
        <w:rPr>
          <w:rFonts w:ascii="Arial" w:hAnsi="Arial"/>
          <w:bCs/>
          <w:lang w:val="en-US"/>
        </w:rPr>
        <w:t xml:space="preserve">High resolution </w:t>
      </w:r>
      <w:r w:rsidRPr="006635E8">
        <w:rPr>
          <w:rFonts w:ascii="Arial" w:hAnsi="Arial" w:cs="Arial"/>
          <w:color w:val="000000" w:themeColor="text1"/>
        </w:rPr>
        <w:sym w:font="Symbol" w:char="F06D"/>
      </w:r>
      <w:r w:rsidRPr="006635E8">
        <w:rPr>
          <w:rFonts w:ascii="Arial" w:hAnsi="Arial" w:cs="Arial"/>
          <w:color w:val="000000" w:themeColor="text1"/>
        </w:rPr>
        <w:t>CT</w:t>
      </w:r>
      <w:r>
        <w:rPr>
          <w:rFonts w:ascii="Arial" w:hAnsi="Arial" w:cs="Arial"/>
          <w:color w:val="000000" w:themeColor="text1"/>
        </w:rPr>
        <w:t xml:space="preserve"> analysis of trabecular bone at the proximal region of the tibiae revealed that </w:t>
      </w:r>
      <w:r>
        <w:rPr>
          <w:rFonts w:ascii="Arial" w:hAnsi="Arial"/>
          <w:bCs/>
          <w:lang w:val="en-US"/>
        </w:rPr>
        <w:t>t</w:t>
      </w:r>
      <w:r w:rsidRPr="00C96CC0">
        <w:rPr>
          <w:rFonts w:ascii="Arial" w:hAnsi="Arial"/>
          <w:bCs/>
          <w:lang w:val="en-US"/>
        </w:rPr>
        <w:t xml:space="preserve">he trabecular </w:t>
      </w:r>
      <w:r>
        <w:rPr>
          <w:rFonts w:ascii="Arial" w:hAnsi="Arial"/>
          <w:bCs/>
          <w:lang w:val="en-US"/>
        </w:rPr>
        <w:t xml:space="preserve">BV/TV and trabecular thickness of loaded tibiae </w:t>
      </w:r>
      <w:r w:rsidRPr="00C96CC0">
        <w:rPr>
          <w:rFonts w:ascii="Arial" w:hAnsi="Arial"/>
          <w:bCs/>
          <w:lang w:val="en-US"/>
        </w:rPr>
        <w:t>significantly increased</w:t>
      </w:r>
      <w:r>
        <w:rPr>
          <w:rFonts w:ascii="Arial" w:hAnsi="Arial"/>
          <w:bCs/>
          <w:lang w:val="en-US"/>
        </w:rPr>
        <w:t xml:space="preserve">, </w:t>
      </w:r>
      <w:r w:rsidRPr="00C96CC0">
        <w:rPr>
          <w:rFonts w:ascii="Arial" w:hAnsi="Arial"/>
          <w:bCs/>
          <w:lang w:val="en-US"/>
        </w:rPr>
        <w:t xml:space="preserve">and </w:t>
      </w:r>
      <w:r w:rsidRPr="00C96CC0">
        <w:rPr>
          <w:rFonts w:ascii="Arial" w:eastAsiaTheme="minorHAnsi" w:hAnsi="Arial"/>
          <w:bCs/>
          <w:lang w:val="en-US"/>
        </w:rPr>
        <w:lastRenderedPageBreak/>
        <w:t xml:space="preserve">trabecular pattern factor </w:t>
      </w:r>
      <w:r>
        <w:rPr>
          <w:rFonts w:ascii="Arial" w:eastAsiaTheme="minorHAnsi" w:hAnsi="Arial"/>
          <w:bCs/>
          <w:lang w:val="en-US"/>
        </w:rPr>
        <w:t xml:space="preserve">significantly </w:t>
      </w:r>
      <w:r w:rsidRPr="00C96CC0">
        <w:rPr>
          <w:rFonts w:ascii="Arial" w:hAnsi="Arial"/>
          <w:bCs/>
          <w:lang w:val="en-US"/>
        </w:rPr>
        <w:t xml:space="preserve">decreased </w:t>
      </w:r>
      <w:r>
        <w:rPr>
          <w:rFonts w:ascii="Arial" w:hAnsi="Arial"/>
          <w:bCs/>
          <w:lang w:val="en-US"/>
        </w:rPr>
        <w:t>in both ad-lib fed and fasted fed mice</w:t>
      </w:r>
      <w:r w:rsidRPr="00C96CC0">
        <w:rPr>
          <w:rFonts w:ascii="Arial" w:hAnsi="Arial"/>
          <w:bCs/>
          <w:lang w:val="en-US"/>
        </w:rPr>
        <w:t xml:space="preserve"> compared to the left non-loaded tibiae. </w:t>
      </w:r>
      <w:r>
        <w:rPr>
          <w:rFonts w:ascii="Arial" w:hAnsi="Arial"/>
          <w:bCs/>
          <w:lang w:val="en-US"/>
        </w:rPr>
        <w:t>Trabecular number of the right tibiae in ad-lib fed and fasted fed mice increased, but not significantly from</w:t>
      </w:r>
      <w:r w:rsidR="00125DE7">
        <w:rPr>
          <w:rFonts w:ascii="Arial" w:hAnsi="Arial"/>
          <w:bCs/>
          <w:lang w:val="en-US"/>
        </w:rPr>
        <w:t xml:space="preserve"> the non-loaded tibiae (Figure 34</w:t>
      </w:r>
      <w:r>
        <w:rPr>
          <w:rFonts w:ascii="Arial" w:hAnsi="Arial"/>
          <w:bCs/>
          <w:lang w:val="en-US"/>
        </w:rPr>
        <w:t>). Previous studies have demonstrated that mechanical loading can lead to formation of new trabeculae and increase in trabecular number in adult mice</w:t>
      </w:r>
      <w:r w:rsidR="00C77C67">
        <w:rPr>
          <w:rFonts w:ascii="Arial" w:hAnsi="Arial"/>
          <w:bCs/>
          <w:lang w:val="en-US"/>
        </w:rPr>
        <w:t xml:space="preserve"> </w:t>
      </w:r>
      <w:r w:rsidR="005A6ED6">
        <w:rPr>
          <w:rFonts w:ascii="Arial" w:hAnsi="Arial"/>
          <w:bCs/>
          <w:lang w:val="en-US"/>
        </w:rPr>
        <w:fldChar w:fldCharType="begin">
          <w:fldData xml:space="preserve">PEVuZE5vdGU+PENpdGU+PEF1dGhvcj5TdWdpeWFtYTwvQXV0aG9yPjxZZWFyPjIwMDg8L1llYXI+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==
</w:fldData>
        </w:fldChar>
      </w:r>
      <w:r w:rsidR="00A108A1">
        <w:rPr>
          <w:rFonts w:ascii="Arial" w:hAnsi="Arial"/>
          <w:bCs/>
          <w:lang w:val="en-US"/>
        </w:rPr>
        <w:instrText xml:space="preserve"> ADDIN EN.CITE </w:instrText>
      </w:r>
      <w:r w:rsidR="00A108A1">
        <w:rPr>
          <w:rFonts w:ascii="Arial" w:hAnsi="Arial"/>
          <w:bCs/>
          <w:lang w:val="en-US"/>
        </w:rPr>
        <w:fldChar w:fldCharType="begin">
          <w:fldData xml:space="preserve">PEVuZE5vdGU+PENpdGU+PEF1dGhvcj5TdWdpeWFtYTwvQXV0aG9yPjxZZWFyPjIwMDg8L1llYXI+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==
</w:fldData>
        </w:fldChar>
      </w:r>
      <w:r w:rsidR="00A108A1">
        <w:rPr>
          <w:rFonts w:ascii="Arial" w:hAnsi="Arial"/>
          <w:bCs/>
          <w:lang w:val="en-US"/>
        </w:rPr>
        <w:instrText xml:space="preserve"> ADDIN EN.CITE.DATA </w:instrText>
      </w:r>
      <w:r w:rsidR="00A108A1">
        <w:rPr>
          <w:rFonts w:ascii="Arial" w:hAnsi="Arial"/>
          <w:bCs/>
          <w:lang w:val="en-US"/>
        </w:rPr>
      </w:r>
      <w:r w:rsidR="00A108A1">
        <w:rPr>
          <w:rFonts w:ascii="Arial" w:hAnsi="Arial"/>
          <w:bCs/>
          <w:lang w:val="en-US"/>
        </w:rPr>
        <w:fldChar w:fldCharType="end"/>
      </w:r>
      <w:r w:rsidR="005A6ED6">
        <w:rPr>
          <w:rFonts w:ascii="Arial" w:hAnsi="Arial"/>
          <w:bCs/>
          <w:lang w:val="en-US"/>
        </w:rPr>
      </w:r>
      <w:r w:rsidR="005A6ED6">
        <w:rPr>
          <w:rFonts w:ascii="Arial" w:hAnsi="Arial"/>
          <w:bCs/>
          <w:lang w:val="en-US"/>
        </w:rPr>
        <w:fldChar w:fldCharType="separate"/>
      </w:r>
      <w:r w:rsidR="005A6ED6">
        <w:rPr>
          <w:rFonts w:ascii="Arial" w:hAnsi="Arial"/>
          <w:bCs/>
          <w:noProof/>
          <w:lang w:val="en-US"/>
        </w:rPr>
        <w:t>(Sugiyama et al., 2008, Sugiyama et al., 2010, Sugiyama et al., 2012, Meakin et al., 2013)</w:t>
      </w:r>
      <w:r w:rsidR="005A6ED6">
        <w:rPr>
          <w:rFonts w:ascii="Arial" w:hAnsi="Arial"/>
          <w:bCs/>
          <w:lang w:val="en-US"/>
        </w:rPr>
        <w:fldChar w:fldCharType="end"/>
      </w:r>
      <w:r w:rsidR="00C77C67">
        <w:rPr>
          <w:rFonts w:ascii="Arial" w:hAnsi="Arial"/>
          <w:bCs/>
          <w:lang w:val="en-US"/>
        </w:rPr>
        <w:t>.</w:t>
      </w:r>
      <w:r>
        <w:rPr>
          <w:rFonts w:ascii="Arial" w:hAnsi="Arial"/>
          <w:bCs/>
          <w:lang w:val="en-US"/>
        </w:rPr>
        <w:t xml:space="preserve"> Loading-related increase in trabecular BV/TV was primarily due to a greater increase in trab</w:t>
      </w:r>
      <w:r w:rsidR="00B479CB">
        <w:rPr>
          <w:rFonts w:ascii="Arial" w:hAnsi="Arial"/>
          <w:bCs/>
          <w:lang w:val="en-US"/>
        </w:rPr>
        <w:t xml:space="preserve">ecular thickness and a smaller </w:t>
      </w:r>
      <w:r>
        <w:rPr>
          <w:rFonts w:ascii="Arial" w:hAnsi="Arial"/>
          <w:bCs/>
          <w:lang w:val="en-US"/>
        </w:rPr>
        <w:t xml:space="preserve">increase in trabecular number. Trabecular thickness is one of the trabecular parameters that was shown previously to be most affected by mechanical loading </w:t>
      </w:r>
      <w:r w:rsidR="005A6ED6">
        <w:rPr>
          <w:rFonts w:ascii="Arial" w:hAnsi="Arial"/>
          <w:bCs/>
          <w:lang w:val="en-US"/>
        </w:rPr>
        <w:fldChar w:fldCharType="begin"/>
      </w:r>
      <w:r w:rsidR="00A108A1">
        <w:rPr>
          <w:rFonts w:ascii="Arial" w:hAnsi="Arial"/>
          <w:bCs/>
          <w:lang w:val="en-US"/>
        </w:rPr>
        <w:instrText xml:space="preserve"> ADDIN EN.CITE &lt;EndNote&gt;&lt;Cite&gt;&lt;Author&gt;Sugiyama&lt;/Author&gt;&lt;Year&gt;2012&lt;/Year&gt;&lt;RecNum&gt;283&lt;/RecNum&gt;&lt;DisplayText&gt;(Sugiyama et al., 2012)&lt;/DisplayText&gt;&lt;record&gt;&lt;rec-number&gt;283&lt;/rec-number&gt;&lt;foreign-keys&gt;&lt;key app="EN" db-id="ae9rewfrpdttrheppfxxv0p4950wpd25r09x" timestamp="1520658274"&gt;283&lt;/key&gt;&lt;key app="ENWeb" db-id=""&gt;0&lt;/key&gt;&lt;/foreign-keys&gt;&lt;ref-type name="Journal Article"&gt;17&lt;/ref-type&gt;&lt;contributors&gt;&lt;authors&gt;&lt;author&gt;Sugiyama, Toshihiro&lt;/author&gt;&lt;author&gt;Meakin, Lee B.&lt;/author&gt;&lt;author&gt;Browne, William J.&lt;/author&gt;&lt;author&gt;Galea, Gabriel L.&lt;/author&gt;&lt;author&gt;Price, Joanna S.&lt;/author&gt;&lt;author&gt;Lanyon, Lance E.&lt;/author&gt;&lt;/authors&gt;&lt;/contributors&gt;&lt;titles&gt;&lt;title&gt;Bones&amp;apos; adaptive response to mechanical loading is essentially linear between the low strains associated with disuse and the high strains associated with the lamellar/woven bone transition&lt;/title&gt;&lt;secondary-title&gt;Journal of Bone and Mineral Research&lt;/secondary-title&gt;&lt;/titles&gt;&lt;periodical&gt;&lt;full-title&gt;Journal of Bone and Mineral Research&lt;/full-title&gt;&lt;/periodical&gt;&lt;pages&gt;1784-1793&lt;/pages&gt;&lt;volume&gt;27&lt;/volume&gt;&lt;number&gt;8&lt;/number&gt;&lt;keywords&gt;&lt;keyword&gt;Bone Loading&lt;/keyword&gt;&lt;keyword&gt;Lazy Zone&lt;/keyword&gt;&lt;keyword&gt;Mechanostat&lt;/keyword&gt;&lt;keyword&gt;Minimum Effective Strain&lt;/keyword&gt;&lt;keyword&gt;Strain-Related Adaptation&lt;/keyword&gt;&lt;/keywords&gt;&lt;dates&gt;&lt;year&gt;2012&lt;/year&gt;&lt;/dates&gt;&lt;isbn&gt;08840431&lt;/isbn&gt;&lt;urls&gt;&lt;/urls&gt;&lt;electronic-resource-num&gt;10.1002/jbmr.1599&lt;/electronic-resource-num&gt;&lt;/record&gt;&lt;/Cite&gt;&lt;/EndNote&gt;</w:instrText>
      </w:r>
      <w:r w:rsidR="005A6ED6">
        <w:rPr>
          <w:rFonts w:ascii="Arial" w:hAnsi="Arial"/>
          <w:bCs/>
          <w:lang w:val="en-US"/>
        </w:rPr>
        <w:fldChar w:fldCharType="separate"/>
      </w:r>
      <w:r w:rsidR="005A6ED6">
        <w:rPr>
          <w:rFonts w:ascii="Arial" w:hAnsi="Arial"/>
          <w:bCs/>
          <w:noProof/>
          <w:lang w:val="en-US"/>
        </w:rPr>
        <w:t>(Sugiyama et al., 2012)</w:t>
      </w:r>
      <w:r w:rsidR="005A6ED6">
        <w:rPr>
          <w:rFonts w:ascii="Arial" w:hAnsi="Arial"/>
          <w:bCs/>
          <w:lang w:val="en-US"/>
        </w:rPr>
        <w:fldChar w:fldCharType="end"/>
      </w:r>
      <w:r w:rsidR="00B479CB">
        <w:rPr>
          <w:rFonts w:ascii="Arial" w:hAnsi="Arial"/>
          <w:bCs/>
          <w:lang w:val="en-US"/>
        </w:rPr>
        <w:t>.</w:t>
      </w:r>
      <w:r>
        <w:rPr>
          <w:rFonts w:ascii="Arial" w:hAnsi="Arial"/>
          <w:bCs/>
          <w:lang w:val="en-US"/>
        </w:rPr>
        <w:t xml:space="preserve"> The increase we observed in trabecular BV/TV and thickness of the right loaded tibiae of</w:t>
      </w:r>
      <w:r w:rsidR="002D64B3">
        <w:rPr>
          <w:rFonts w:ascii="Arial" w:hAnsi="Arial"/>
          <w:bCs/>
          <w:lang w:val="en-US"/>
        </w:rPr>
        <w:t xml:space="preserve"> fed and f</w:t>
      </w:r>
      <w:r>
        <w:rPr>
          <w:rFonts w:ascii="Arial" w:hAnsi="Arial"/>
          <w:bCs/>
          <w:lang w:val="en-US"/>
        </w:rPr>
        <w:t xml:space="preserve">asted </w:t>
      </w:r>
      <w:r w:rsidR="002D64B3">
        <w:rPr>
          <w:rFonts w:ascii="Arial" w:hAnsi="Arial"/>
          <w:bCs/>
          <w:lang w:val="en-US"/>
        </w:rPr>
        <w:t xml:space="preserve">2-hour </w:t>
      </w:r>
      <w:r>
        <w:rPr>
          <w:rFonts w:ascii="Arial" w:hAnsi="Arial"/>
          <w:bCs/>
          <w:lang w:val="en-US"/>
        </w:rPr>
        <w:t xml:space="preserve">fed young male mice was consistent with previous studies </w:t>
      </w:r>
      <w:r w:rsidR="005A6ED6">
        <w:rPr>
          <w:rFonts w:ascii="Arial" w:hAnsi="Arial"/>
          <w:bCs/>
          <w:lang w:val="en-US"/>
        </w:rPr>
        <w:fldChar w:fldCharType="begin">
          <w:fldData xml:space="preserve">PEVuZE5vdGU+PENpdGU+PEF1dGhvcj5TdWdpeWFtYTwvQXV0aG9yPjxZZWFyPjIwMDg8L1llYXI+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</w:fldData>
        </w:fldChar>
      </w:r>
      <w:r w:rsidR="00A108A1">
        <w:rPr>
          <w:rFonts w:ascii="Arial" w:hAnsi="Arial"/>
          <w:bCs/>
          <w:lang w:val="en-US"/>
        </w:rPr>
        <w:instrText xml:space="preserve"> ADDIN EN.CITE </w:instrText>
      </w:r>
      <w:r w:rsidR="00A108A1">
        <w:rPr>
          <w:rFonts w:ascii="Arial" w:hAnsi="Arial"/>
          <w:bCs/>
          <w:lang w:val="en-US"/>
        </w:rPr>
        <w:fldChar w:fldCharType="begin">
          <w:fldData xml:space="preserve">PEVuZE5vdGU+PENpdGU+PEF1dGhvcj5TdWdpeWFtYTwvQXV0aG9yPjxZZWFyPjIwMDg8L1llYXI+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</w:fldData>
        </w:fldChar>
      </w:r>
      <w:r w:rsidR="00A108A1">
        <w:rPr>
          <w:rFonts w:ascii="Arial" w:hAnsi="Arial"/>
          <w:bCs/>
          <w:lang w:val="en-US"/>
        </w:rPr>
        <w:instrText xml:space="preserve"> ADDIN EN.CITE.DATA </w:instrText>
      </w:r>
      <w:r w:rsidR="00A108A1">
        <w:rPr>
          <w:rFonts w:ascii="Arial" w:hAnsi="Arial"/>
          <w:bCs/>
          <w:lang w:val="en-US"/>
        </w:rPr>
      </w:r>
      <w:r w:rsidR="00A108A1">
        <w:rPr>
          <w:rFonts w:ascii="Arial" w:hAnsi="Arial"/>
          <w:bCs/>
          <w:lang w:val="en-US"/>
        </w:rPr>
        <w:fldChar w:fldCharType="end"/>
      </w:r>
      <w:r w:rsidR="005A6ED6">
        <w:rPr>
          <w:rFonts w:ascii="Arial" w:hAnsi="Arial"/>
          <w:bCs/>
          <w:lang w:val="en-US"/>
        </w:rPr>
      </w:r>
      <w:r w:rsidR="005A6ED6">
        <w:rPr>
          <w:rFonts w:ascii="Arial" w:hAnsi="Arial"/>
          <w:bCs/>
          <w:lang w:val="en-US"/>
        </w:rPr>
        <w:fldChar w:fldCharType="separate"/>
      </w:r>
      <w:r w:rsidR="005A6ED6">
        <w:rPr>
          <w:rFonts w:ascii="Arial" w:hAnsi="Arial"/>
          <w:bCs/>
          <w:noProof/>
          <w:lang w:val="en-US"/>
        </w:rPr>
        <w:t>(Sugiyama et al., 2008, Sugiyama et al., 2010, Sugiyama et al., 2012, Saxon et al., 2011)</w:t>
      </w:r>
      <w:r w:rsidR="005A6ED6">
        <w:rPr>
          <w:rFonts w:ascii="Arial" w:hAnsi="Arial"/>
          <w:bCs/>
          <w:lang w:val="en-US"/>
        </w:rPr>
        <w:fldChar w:fldCharType="end"/>
      </w:r>
      <w:r w:rsidR="002D64B3">
        <w:rPr>
          <w:rFonts w:ascii="Arial" w:hAnsi="Arial"/>
          <w:bCs/>
          <w:lang w:val="en-US"/>
        </w:rPr>
        <w:t xml:space="preserve">. </w:t>
      </w:r>
      <w:r>
        <w:rPr>
          <w:rFonts w:ascii="Arial" w:hAnsi="Arial"/>
          <w:bCs/>
          <w:lang w:val="en-US"/>
        </w:rPr>
        <w:t xml:space="preserve">Decrease in </w:t>
      </w:r>
      <w:r w:rsidR="0057793B">
        <w:rPr>
          <w:rFonts w:ascii="Arial" w:hAnsi="Arial"/>
          <w:bCs/>
          <w:lang w:val="en-US"/>
        </w:rPr>
        <w:t xml:space="preserve">trabecular </w:t>
      </w:r>
      <w:r>
        <w:rPr>
          <w:rFonts w:ascii="Arial" w:eastAsiaTheme="minorHAnsi" w:hAnsi="Arial"/>
          <w:bCs/>
          <w:lang w:val="en-US"/>
        </w:rPr>
        <w:t xml:space="preserve">pattern factor, </w:t>
      </w:r>
      <w:r>
        <w:rPr>
          <w:rFonts w:ascii="Arial" w:hAnsi="Arial"/>
          <w:bCs/>
          <w:lang w:val="en-US"/>
        </w:rPr>
        <w:t xml:space="preserve">which indicates how well connected the trabeculae are within the volume of interest, </w:t>
      </w:r>
      <w:r>
        <w:rPr>
          <w:rFonts w:ascii="Arial" w:eastAsiaTheme="minorHAnsi" w:hAnsi="Arial"/>
          <w:bCs/>
          <w:lang w:val="en-US"/>
        </w:rPr>
        <w:t xml:space="preserve">corresponded to increased connectivity of the trabeculae in the loaded right tibiae of both ad-lib fed and fasted 2-hour fed mice. However, the effect of maximal loading on changes in trabecular pattern factor was greater in tibiae of fasted 2-hour fed mice compared with that of ad-lib fed mice. This suggests that in response to maximal loading, more new trabecular connections were formed in the loaded right tibiae of fasted 2-hour fed young male mice due to increased trabecular number, although it did not reach statistical significance, and significant increase </w:t>
      </w:r>
      <w:r w:rsidR="0057793B">
        <w:rPr>
          <w:rFonts w:ascii="Arial" w:eastAsiaTheme="minorHAnsi" w:hAnsi="Arial"/>
          <w:bCs/>
          <w:lang w:val="en-US"/>
        </w:rPr>
        <w:t xml:space="preserve">in trabecular thickness (Table </w:t>
      </w:r>
      <w:r w:rsidR="00885C73">
        <w:rPr>
          <w:rFonts w:ascii="Arial" w:eastAsiaTheme="minorHAnsi" w:hAnsi="Arial"/>
          <w:bCs/>
          <w:lang w:val="en-US"/>
        </w:rPr>
        <w:t>2</w:t>
      </w:r>
      <w:r>
        <w:rPr>
          <w:rFonts w:ascii="Arial" w:eastAsiaTheme="minorHAnsi" w:hAnsi="Arial"/>
          <w:bCs/>
          <w:lang w:val="en-US"/>
        </w:rPr>
        <w:t xml:space="preserve">). </w:t>
      </w:r>
      <w:r>
        <w:rPr>
          <w:rFonts w:ascii="Arial" w:hAnsi="Arial"/>
          <w:bCs/>
          <w:lang w:val="en-US"/>
        </w:rPr>
        <w:t>There was</w:t>
      </w:r>
      <w:r w:rsidRPr="00C96CC0">
        <w:rPr>
          <w:rFonts w:ascii="Arial" w:hAnsi="Arial"/>
          <w:bCs/>
          <w:lang w:val="en-US"/>
        </w:rPr>
        <w:t xml:space="preserve"> no sign</w:t>
      </w:r>
      <w:r>
        <w:rPr>
          <w:rFonts w:ascii="Arial" w:hAnsi="Arial"/>
          <w:bCs/>
          <w:lang w:val="en-US"/>
        </w:rPr>
        <w:t>ificant difference</w:t>
      </w:r>
      <w:r w:rsidRPr="00C96CC0">
        <w:rPr>
          <w:rFonts w:ascii="Arial" w:hAnsi="Arial"/>
          <w:bCs/>
          <w:lang w:val="en-US"/>
        </w:rPr>
        <w:t xml:space="preserve"> in trabecular bone parameters between </w:t>
      </w:r>
      <w:r>
        <w:rPr>
          <w:rFonts w:ascii="Arial" w:hAnsi="Arial"/>
          <w:bCs/>
          <w:lang w:val="en-US"/>
        </w:rPr>
        <w:t>ad-lib</w:t>
      </w:r>
      <w:r w:rsidRPr="00C96CC0">
        <w:rPr>
          <w:rFonts w:ascii="Arial" w:hAnsi="Arial"/>
          <w:bCs/>
          <w:lang w:val="en-US"/>
        </w:rPr>
        <w:t xml:space="preserve"> fed mice and those fed </w:t>
      </w:r>
      <w:r>
        <w:rPr>
          <w:rFonts w:ascii="Arial" w:hAnsi="Arial"/>
          <w:bCs/>
          <w:lang w:val="en-US"/>
        </w:rPr>
        <w:t xml:space="preserve">for 2 hours </w:t>
      </w:r>
      <w:r w:rsidR="00817CBC">
        <w:rPr>
          <w:rFonts w:ascii="Arial" w:hAnsi="Arial"/>
          <w:bCs/>
          <w:lang w:val="en-US"/>
        </w:rPr>
        <w:t>following overnight fast</w:t>
      </w:r>
      <w:r w:rsidRPr="00C96CC0">
        <w:rPr>
          <w:rFonts w:ascii="Arial" w:hAnsi="Arial"/>
          <w:bCs/>
          <w:lang w:val="en-US"/>
        </w:rPr>
        <w:t xml:space="preserve"> </w:t>
      </w:r>
      <w:r>
        <w:rPr>
          <w:rFonts w:ascii="Arial" w:hAnsi="Arial"/>
          <w:bCs/>
          <w:lang w:val="en-US"/>
        </w:rPr>
        <w:t>before loading</w:t>
      </w:r>
      <w:r w:rsidRPr="00C96CC0">
        <w:rPr>
          <w:rFonts w:ascii="Arial" w:hAnsi="Arial"/>
          <w:bCs/>
          <w:lang w:val="en-US"/>
        </w:rPr>
        <w:t xml:space="preserve">. </w:t>
      </w:r>
    </w:p>
    <w:p w14:paraId="5DD77790" w14:textId="77777777" w:rsidR="00E56E65" w:rsidRDefault="00E56E65" w:rsidP="00E56E65">
      <w:pPr>
        <w:spacing w:line="480" w:lineRule="auto"/>
        <w:jc w:val="both"/>
        <w:rPr>
          <w:rFonts w:ascii="Arial" w:hAnsi="Arial"/>
          <w:bCs/>
          <w:lang w:val="en-US"/>
        </w:rPr>
      </w:pPr>
    </w:p>
    <w:p w14:paraId="2E12C7CC" w14:textId="77777777" w:rsidR="00E56E65" w:rsidRPr="00712AB4" w:rsidRDefault="00E56E65" w:rsidP="00E56E65">
      <w:pPr>
        <w:spacing w:line="480" w:lineRule="auto"/>
        <w:jc w:val="both"/>
        <w:rPr>
          <w:rFonts w:ascii="Arial" w:hAnsi="Arial"/>
          <w:bCs/>
          <w:lang w:val="en-US"/>
        </w:rPr>
      </w:pPr>
      <w:r>
        <w:rPr>
          <w:rFonts w:ascii="Arial" w:hAnsi="Arial"/>
          <w:bCs/>
          <w:lang w:val="en-US"/>
        </w:rPr>
        <w:t xml:space="preserve">We then examined bone’s adaptive response to osteogenic mechanical loading in young male mice that had free access to maintenance diet or were fed for 1 hour following </w:t>
      </w:r>
      <w:r>
        <w:rPr>
          <w:rFonts w:ascii="Arial" w:hAnsi="Arial"/>
          <w:bCs/>
          <w:lang w:val="en-US"/>
        </w:rPr>
        <w:lastRenderedPageBreak/>
        <w:t xml:space="preserve">overnight fast before the loading. </w:t>
      </w:r>
      <w:r w:rsidRPr="00712AB4">
        <w:rPr>
          <w:rFonts w:ascii="Arial" w:hAnsi="Arial"/>
          <w:bCs/>
          <w:lang w:val="en-US"/>
        </w:rPr>
        <w:t xml:space="preserve">Trabecular BV/TV of loaded tibiae significantly increased, and </w:t>
      </w:r>
      <w:r w:rsidRPr="00712AB4">
        <w:rPr>
          <w:rFonts w:ascii="Arial" w:eastAsiaTheme="minorHAnsi" w:hAnsi="Arial"/>
          <w:bCs/>
          <w:lang w:val="en-US"/>
        </w:rPr>
        <w:t xml:space="preserve">trabecular pattern factor significantly </w:t>
      </w:r>
      <w:r w:rsidRPr="00712AB4">
        <w:rPr>
          <w:rFonts w:ascii="Arial" w:hAnsi="Arial"/>
          <w:bCs/>
          <w:lang w:val="en-US"/>
        </w:rPr>
        <w:t xml:space="preserve">decreased in both ad-lib fed and fasted 1-hour fed mice compared to the left non-loaded tibiae. Trabecular thickness and </w:t>
      </w:r>
      <w:r>
        <w:rPr>
          <w:rFonts w:ascii="Arial" w:hAnsi="Arial"/>
          <w:bCs/>
          <w:lang w:val="en-US"/>
        </w:rPr>
        <w:t>trabecular number in the right tibiae of</w:t>
      </w:r>
      <w:r w:rsidRPr="00712AB4">
        <w:rPr>
          <w:rFonts w:ascii="Arial" w:hAnsi="Arial"/>
          <w:bCs/>
          <w:lang w:val="en-US"/>
        </w:rPr>
        <w:t xml:space="preserve"> ad-lib fed and fasted </w:t>
      </w:r>
      <w:r>
        <w:rPr>
          <w:rFonts w:ascii="Arial" w:hAnsi="Arial"/>
          <w:bCs/>
          <w:lang w:val="en-US"/>
        </w:rPr>
        <w:t xml:space="preserve">1-hour </w:t>
      </w:r>
      <w:r w:rsidRPr="00712AB4">
        <w:rPr>
          <w:rFonts w:ascii="Arial" w:hAnsi="Arial"/>
          <w:bCs/>
          <w:lang w:val="en-US"/>
        </w:rPr>
        <w:t>fed mice increased</w:t>
      </w:r>
      <w:r>
        <w:rPr>
          <w:rFonts w:ascii="Arial" w:hAnsi="Arial"/>
          <w:bCs/>
          <w:lang w:val="en-US"/>
        </w:rPr>
        <w:t xml:space="preserve"> compared with the non-loaded left tibiae, but did not reach st</w:t>
      </w:r>
      <w:r w:rsidR="0047059F">
        <w:rPr>
          <w:rFonts w:ascii="Arial" w:hAnsi="Arial"/>
          <w:bCs/>
          <w:lang w:val="en-US"/>
        </w:rPr>
        <w:t>atistical significance (Figure 36</w:t>
      </w:r>
      <w:r>
        <w:rPr>
          <w:rFonts w:ascii="Arial" w:hAnsi="Arial"/>
          <w:bCs/>
          <w:lang w:val="en-US"/>
        </w:rPr>
        <w:t>).</w:t>
      </w:r>
      <w:r w:rsidRPr="00712AB4">
        <w:rPr>
          <w:rFonts w:ascii="Arial" w:hAnsi="Arial"/>
          <w:bCs/>
          <w:lang w:val="en-US"/>
        </w:rPr>
        <w:t xml:space="preserve"> </w:t>
      </w:r>
      <w:r>
        <w:rPr>
          <w:rFonts w:ascii="Arial" w:hAnsi="Arial"/>
          <w:bCs/>
          <w:lang w:val="en-US"/>
        </w:rPr>
        <w:t>In fasted 1-hour fed mice, the loading-related increase in trabecular number and thickness appeared to be reduced compared with that in fasted 2-hours</w:t>
      </w:r>
      <w:r w:rsidR="0047059F">
        <w:rPr>
          <w:rFonts w:ascii="Arial" w:hAnsi="Arial"/>
          <w:bCs/>
          <w:lang w:val="en-US"/>
        </w:rPr>
        <w:t xml:space="preserve"> fed mice (Table 4</w:t>
      </w:r>
      <w:r>
        <w:rPr>
          <w:rFonts w:ascii="Arial" w:hAnsi="Arial"/>
          <w:bCs/>
          <w:lang w:val="en-US"/>
        </w:rPr>
        <w:t>). However, similar to the previous study, we did not observe statistical significant difference in any trabecular bone parameters between</w:t>
      </w:r>
      <w:r w:rsidR="00410B9B">
        <w:rPr>
          <w:rFonts w:ascii="Arial" w:hAnsi="Arial"/>
          <w:bCs/>
          <w:lang w:val="en-US"/>
        </w:rPr>
        <w:t xml:space="preserve"> the</w:t>
      </w:r>
      <w:r>
        <w:rPr>
          <w:rFonts w:ascii="Arial" w:hAnsi="Arial"/>
          <w:bCs/>
          <w:lang w:val="en-US"/>
        </w:rPr>
        <w:t xml:space="preserve"> two experimental groups. </w:t>
      </w:r>
    </w:p>
    <w:p w14:paraId="2187B9F3" w14:textId="77777777" w:rsidR="00E56E65" w:rsidRDefault="00E56E65" w:rsidP="00E56E65">
      <w:pPr>
        <w:spacing w:line="480" w:lineRule="auto"/>
        <w:jc w:val="both"/>
        <w:rPr>
          <w:rFonts w:ascii="Arial" w:hAnsi="Arial"/>
          <w:bCs/>
          <w:lang w:val="en-US"/>
        </w:rPr>
      </w:pPr>
    </w:p>
    <w:p w14:paraId="6EF554C6" w14:textId="77777777" w:rsidR="00E56E65" w:rsidRDefault="00E56E65" w:rsidP="00E56E65">
      <w:pPr>
        <w:spacing w:line="480" w:lineRule="auto"/>
        <w:jc w:val="both"/>
        <w:rPr>
          <w:rFonts w:ascii="Arial" w:hAnsi="Arial"/>
          <w:bCs/>
          <w:lang w:val="en-US"/>
        </w:rPr>
      </w:pPr>
      <w:r>
        <w:rPr>
          <w:rFonts w:ascii="Arial" w:hAnsi="Arial" w:cs="Arial"/>
          <w:noProof/>
          <w:color w:val="000000" w:themeColor="text1"/>
        </w:rPr>
        <w:t xml:space="preserve">To compare the effects of timing of food ingestion on bone’s response to maximal mechanical loading we next determined the effects of 3 hours of food ingestion following overnight fast on the tibiae of young male mice. </w:t>
      </w:r>
      <w:r w:rsidRPr="003F4CC0">
        <w:rPr>
          <w:rFonts w:ascii="Arial" w:hAnsi="Arial"/>
          <w:bCs/>
          <w:lang w:val="en-US"/>
        </w:rPr>
        <w:t xml:space="preserve">High resolution </w:t>
      </w:r>
      <w:r w:rsidRPr="003F4CC0">
        <w:rPr>
          <w:rFonts w:ascii="Arial" w:hAnsi="Arial" w:cs="Arial"/>
          <w:color w:val="000000" w:themeColor="text1"/>
        </w:rPr>
        <w:sym w:font="Symbol" w:char="F06D"/>
      </w:r>
      <w:r w:rsidRPr="003F4CC0">
        <w:rPr>
          <w:rFonts w:ascii="Arial" w:hAnsi="Arial" w:cs="Arial"/>
          <w:color w:val="000000" w:themeColor="text1"/>
        </w:rPr>
        <w:t>CT anal</w:t>
      </w:r>
      <w:r>
        <w:rPr>
          <w:rFonts w:ascii="Arial" w:hAnsi="Arial" w:cs="Arial"/>
          <w:color w:val="000000" w:themeColor="text1"/>
        </w:rPr>
        <w:t>ysis of trabecular bone of the l</w:t>
      </w:r>
      <w:r w:rsidRPr="003F4CC0">
        <w:rPr>
          <w:rFonts w:ascii="Arial" w:hAnsi="Arial" w:cs="Arial"/>
          <w:color w:val="000000" w:themeColor="text1"/>
        </w:rPr>
        <w:t xml:space="preserve">oaded right tibiae </w:t>
      </w:r>
      <w:r>
        <w:rPr>
          <w:rFonts w:ascii="Arial" w:hAnsi="Arial" w:cs="Arial"/>
          <w:color w:val="000000" w:themeColor="text1"/>
        </w:rPr>
        <w:t>showed</w:t>
      </w:r>
      <w:r w:rsidRPr="003F4CC0">
        <w:rPr>
          <w:rFonts w:ascii="Arial" w:hAnsi="Arial" w:cs="Arial"/>
          <w:color w:val="000000" w:themeColor="text1"/>
        </w:rPr>
        <w:t xml:space="preserve"> that </w:t>
      </w:r>
      <w:r w:rsidRPr="003F4CC0">
        <w:rPr>
          <w:rFonts w:ascii="Arial" w:hAnsi="Arial"/>
          <w:bCs/>
          <w:lang w:val="en-US"/>
        </w:rPr>
        <w:t xml:space="preserve">the trabecular BV/TV and trabecular thickness significantly increased, and </w:t>
      </w:r>
      <w:r w:rsidRPr="003F4CC0">
        <w:rPr>
          <w:rFonts w:ascii="Arial" w:eastAsiaTheme="minorHAnsi" w:hAnsi="Arial"/>
          <w:bCs/>
          <w:lang w:val="en-US"/>
        </w:rPr>
        <w:t xml:space="preserve">trabecular pattern factor </w:t>
      </w:r>
      <w:r w:rsidRPr="003F4CC0">
        <w:rPr>
          <w:rFonts w:ascii="Arial" w:hAnsi="Arial"/>
          <w:bCs/>
          <w:lang w:val="en-US"/>
        </w:rPr>
        <w:t>decreased in both ad-lib fed and fasted 3-hour fed mice compared to the left non-loaded tibiae.</w:t>
      </w:r>
      <w:r w:rsidRPr="003F4CC0">
        <w:rPr>
          <w:rFonts w:ascii="Arial" w:hAnsi="Arial"/>
          <w:bCs/>
          <w:i/>
          <w:lang w:val="en-US"/>
        </w:rPr>
        <w:t xml:space="preserve"> </w:t>
      </w:r>
      <w:r w:rsidRPr="003F4CC0">
        <w:rPr>
          <w:rFonts w:ascii="Arial" w:hAnsi="Arial"/>
          <w:bCs/>
          <w:lang w:val="en-US"/>
        </w:rPr>
        <w:t>Similar</w:t>
      </w:r>
      <w:r>
        <w:rPr>
          <w:rFonts w:ascii="Arial" w:hAnsi="Arial"/>
          <w:bCs/>
          <w:lang w:val="en-US"/>
        </w:rPr>
        <w:t xml:space="preserve"> to the previous studies, the trabecular number in the right tibiae of</w:t>
      </w:r>
      <w:r w:rsidRPr="003F4CC0">
        <w:rPr>
          <w:rFonts w:ascii="Arial" w:hAnsi="Arial"/>
          <w:bCs/>
          <w:lang w:val="en-US"/>
        </w:rPr>
        <w:t xml:space="preserve"> ad-lib fed and fasted </w:t>
      </w:r>
      <w:r>
        <w:rPr>
          <w:rFonts w:ascii="Arial" w:hAnsi="Arial"/>
          <w:bCs/>
          <w:lang w:val="en-US"/>
        </w:rPr>
        <w:t xml:space="preserve">3-hour </w:t>
      </w:r>
      <w:r w:rsidRPr="003F4CC0">
        <w:rPr>
          <w:rFonts w:ascii="Arial" w:hAnsi="Arial"/>
          <w:bCs/>
          <w:lang w:val="en-US"/>
        </w:rPr>
        <w:t xml:space="preserve">fed mice increased, but not significantly from the non-loaded </w:t>
      </w:r>
      <w:r>
        <w:rPr>
          <w:rFonts w:ascii="Arial" w:hAnsi="Arial"/>
          <w:bCs/>
          <w:lang w:val="en-US"/>
        </w:rPr>
        <w:t xml:space="preserve">control </w:t>
      </w:r>
      <w:r w:rsidRPr="003F4CC0">
        <w:rPr>
          <w:rFonts w:ascii="Arial" w:hAnsi="Arial"/>
          <w:bCs/>
          <w:lang w:val="en-US"/>
        </w:rPr>
        <w:t>tibiae</w:t>
      </w:r>
      <w:r w:rsidR="00B6619A">
        <w:rPr>
          <w:rFonts w:ascii="Arial" w:hAnsi="Arial"/>
          <w:bCs/>
          <w:lang w:val="en-US"/>
        </w:rPr>
        <w:t xml:space="preserve"> (Figure 38)</w:t>
      </w:r>
      <w:r w:rsidRPr="003F4CC0">
        <w:rPr>
          <w:rFonts w:ascii="Arial" w:hAnsi="Arial"/>
          <w:bCs/>
          <w:lang w:val="en-US"/>
        </w:rPr>
        <w:t xml:space="preserve">. </w:t>
      </w:r>
      <w:r>
        <w:rPr>
          <w:rFonts w:ascii="Arial" w:hAnsi="Arial"/>
          <w:bCs/>
          <w:lang w:val="en-US"/>
        </w:rPr>
        <w:t xml:space="preserve">Therefore, increase in trabecular BV/TV and decrease in pattern factor may be primarily due to increase in trabecular thickness. We did not observe significant changes in trabecular bone parameters of loaded tibiae between ad-lib fed and fasted 3-hour fed mice </w:t>
      </w:r>
      <w:r w:rsidR="002F015E">
        <w:rPr>
          <w:rFonts w:ascii="Arial" w:hAnsi="Arial"/>
          <w:bCs/>
          <w:lang w:val="en-US"/>
        </w:rPr>
        <w:t xml:space="preserve">(Table 5) </w:t>
      </w:r>
      <w:r>
        <w:rPr>
          <w:rFonts w:ascii="Arial" w:hAnsi="Arial"/>
          <w:bCs/>
          <w:lang w:val="en-US"/>
        </w:rPr>
        <w:t>suggesting that food ingestion for 3 hours follo</w:t>
      </w:r>
      <w:r w:rsidR="002A60D6">
        <w:rPr>
          <w:rFonts w:ascii="Arial" w:hAnsi="Arial"/>
          <w:bCs/>
          <w:lang w:val="en-US"/>
        </w:rPr>
        <w:t>wing overnight prolonged fast</w:t>
      </w:r>
      <w:r>
        <w:rPr>
          <w:rFonts w:ascii="Arial" w:hAnsi="Arial"/>
          <w:bCs/>
          <w:lang w:val="en-US"/>
        </w:rPr>
        <w:t xml:space="preserve"> did not affect trabecular bone’s response to osteogenic mechanical loading in young male mice. </w:t>
      </w:r>
    </w:p>
    <w:p w14:paraId="54C2244B" w14:textId="77777777" w:rsidR="002F015E" w:rsidRDefault="002F015E" w:rsidP="00E56E65">
      <w:pPr>
        <w:spacing w:line="480" w:lineRule="auto"/>
        <w:jc w:val="both"/>
        <w:rPr>
          <w:rFonts w:ascii="Arial" w:hAnsi="Arial"/>
          <w:bCs/>
          <w:lang w:val="en-US"/>
        </w:rPr>
      </w:pPr>
    </w:p>
    <w:p w14:paraId="36F72E88" w14:textId="77777777" w:rsidR="002F015E" w:rsidRPr="0041218B" w:rsidRDefault="002F015E" w:rsidP="00E56E65">
      <w:pPr>
        <w:spacing w:line="480" w:lineRule="auto"/>
        <w:jc w:val="both"/>
        <w:rPr>
          <w:rFonts w:ascii="Arial" w:hAnsi="Arial"/>
          <w:bCs/>
          <w:lang w:val="en-US"/>
        </w:rPr>
      </w:pPr>
    </w:p>
    <w:p w14:paraId="43C0F6B7" w14:textId="77777777" w:rsidR="002F015E" w:rsidRDefault="002F015E" w:rsidP="00D40E59">
      <w:pPr>
        <w:pStyle w:val="Heading2"/>
      </w:pPr>
      <w:bookmarkStart w:id="122" w:name="_Toc383723904"/>
      <w:r w:rsidRPr="005874BB">
        <w:lastRenderedPageBreak/>
        <w:t>4.4 Conclusions</w:t>
      </w:r>
      <w:bookmarkEnd w:id="122"/>
    </w:p>
    <w:p w14:paraId="5CC5A61E" w14:textId="77777777" w:rsidR="00E56E65" w:rsidRPr="00B60C5E" w:rsidRDefault="00E56E65" w:rsidP="00E56E65">
      <w:pPr>
        <w:spacing w:line="480" w:lineRule="auto"/>
        <w:jc w:val="both"/>
      </w:pPr>
      <w:r>
        <w:rPr>
          <w:rFonts w:ascii="Arial" w:hAnsi="Arial"/>
          <w:color w:val="000000"/>
        </w:rPr>
        <w:t xml:space="preserve">This study revealed </w:t>
      </w:r>
      <w:r w:rsidRPr="00842660">
        <w:rPr>
          <w:rFonts w:ascii="Arial" w:hAnsi="Arial"/>
          <w:color w:val="000000"/>
        </w:rPr>
        <w:t>the effect of differe</w:t>
      </w:r>
      <w:r>
        <w:rPr>
          <w:rFonts w:ascii="Arial" w:hAnsi="Arial"/>
          <w:color w:val="000000"/>
        </w:rPr>
        <w:t>nt periods of food ingestion (1 hour,</w:t>
      </w:r>
      <w:r w:rsidRPr="00842660">
        <w:rPr>
          <w:rFonts w:ascii="Arial" w:hAnsi="Arial"/>
          <w:color w:val="000000"/>
        </w:rPr>
        <w:t xml:space="preserve"> 2 </w:t>
      </w:r>
      <w:r>
        <w:rPr>
          <w:rFonts w:ascii="Arial" w:hAnsi="Arial"/>
          <w:color w:val="000000"/>
        </w:rPr>
        <w:t xml:space="preserve">hours </w:t>
      </w:r>
      <w:r w:rsidRPr="00842660">
        <w:rPr>
          <w:rFonts w:ascii="Arial" w:hAnsi="Arial"/>
          <w:color w:val="000000"/>
        </w:rPr>
        <w:t xml:space="preserve">or </w:t>
      </w:r>
      <w:r w:rsidR="002F015E">
        <w:rPr>
          <w:rFonts w:ascii="Arial" w:hAnsi="Arial"/>
          <w:color w:val="000000"/>
        </w:rPr>
        <w:t>3 hours) following overnight 16-hour</w:t>
      </w:r>
      <w:r w:rsidRPr="00842660">
        <w:rPr>
          <w:rFonts w:ascii="Arial" w:hAnsi="Arial"/>
          <w:color w:val="000000"/>
        </w:rPr>
        <w:t xml:space="preserve"> fasting on bone’s adaptive response to mechanical loading in</w:t>
      </w:r>
      <w:r>
        <w:rPr>
          <w:rFonts w:ascii="Arial" w:hAnsi="Arial"/>
          <w:color w:val="000000"/>
        </w:rPr>
        <w:t xml:space="preserve"> young male mice</w:t>
      </w:r>
      <w:r>
        <w:t xml:space="preserve">. </w:t>
      </w:r>
      <w:r>
        <w:rPr>
          <w:rFonts w:ascii="Arial" w:hAnsi="Arial" w:cs="Arial"/>
          <w:bCs/>
          <w:lang w:val="en-US"/>
        </w:rPr>
        <w:t>Food ingestion for 2 hours</w:t>
      </w:r>
      <w:r w:rsidRPr="00057E85">
        <w:rPr>
          <w:rFonts w:ascii="Arial" w:hAnsi="Arial" w:cs="Arial"/>
          <w:bCs/>
          <w:lang w:val="en-US"/>
        </w:rPr>
        <w:t xml:space="preserve"> </w:t>
      </w:r>
      <w:r w:rsidRPr="00057E85">
        <w:rPr>
          <w:rFonts w:ascii="Arial" w:hAnsi="Arial" w:cs="Arial"/>
          <w:color w:val="1A1A1A"/>
          <w:lang w:val="en-US"/>
        </w:rPr>
        <w:t xml:space="preserve">after overnight </w:t>
      </w:r>
      <w:r>
        <w:rPr>
          <w:rFonts w:ascii="Arial" w:hAnsi="Arial" w:cs="Arial"/>
          <w:color w:val="1A1A1A"/>
          <w:lang w:val="en-US"/>
        </w:rPr>
        <w:t xml:space="preserve">prolonged </w:t>
      </w:r>
      <w:r w:rsidR="00314A37">
        <w:rPr>
          <w:rFonts w:ascii="Arial" w:hAnsi="Arial" w:cs="Arial"/>
          <w:color w:val="1A1A1A"/>
          <w:lang w:val="en-US"/>
        </w:rPr>
        <w:t>fast</w:t>
      </w:r>
      <w:r w:rsidRPr="00057E85">
        <w:rPr>
          <w:rFonts w:ascii="Arial" w:hAnsi="Arial" w:cs="Arial"/>
          <w:color w:val="1A1A1A"/>
          <w:lang w:val="en-US"/>
        </w:rPr>
        <w:t xml:space="preserve"> </w:t>
      </w:r>
      <w:r w:rsidRPr="00057E85">
        <w:rPr>
          <w:rFonts w:ascii="Arial" w:hAnsi="Arial" w:cs="Arial"/>
          <w:bCs/>
          <w:lang w:val="en-US"/>
        </w:rPr>
        <w:t xml:space="preserve">potentiated bone’s osteogenic response to </w:t>
      </w:r>
      <w:r>
        <w:rPr>
          <w:rFonts w:ascii="Arial" w:hAnsi="Arial" w:cs="Arial"/>
          <w:bCs/>
          <w:lang w:val="en-US"/>
        </w:rPr>
        <w:t xml:space="preserve">maximal </w:t>
      </w:r>
      <w:r w:rsidRPr="00057E85">
        <w:rPr>
          <w:rFonts w:ascii="Arial" w:hAnsi="Arial" w:cs="Arial"/>
          <w:bCs/>
          <w:lang w:val="en-US"/>
        </w:rPr>
        <w:t xml:space="preserve">mechanical loading in mice, indicating </w:t>
      </w:r>
      <w:r>
        <w:rPr>
          <w:rFonts w:ascii="Arial" w:hAnsi="Arial" w:cs="Arial"/>
          <w:bCs/>
          <w:lang w:val="en-US"/>
        </w:rPr>
        <w:t>possible synergies</w:t>
      </w:r>
      <w:r w:rsidRPr="00057E85">
        <w:rPr>
          <w:rFonts w:ascii="Arial" w:hAnsi="Arial" w:cs="Arial"/>
          <w:bCs/>
          <w:lang w:val="en-US"/>
        </w:rPr>
        <w:t xml:space="preserve"> between the timing of food ingestion and bone adaptation.</w:t>
      </w:r>
      <w:r>
        <w:rPr>
          <w:rFonts w:ascii="Arial" w:hAnsi="Arial"/>
          <w:bCs/>
          <w:lang w:val="en-US"/>
        </w:rPr>
        <w:t xml:space="preserve"> T</w:t>
      </w:r>
      <w:r w:rsidR="002A60D6">
        <w:rPr>
          <w:rFonts w:ascii="Arial" w:hAnsi="Arial"/>
          <w:bCs/>
          <w:lang w:val="en-US"/>
        </w:rPr>
        <w:t>his was further supported by</w:t>
      </w:r>
      <w:r>
        <w:rPr>
          <w:rFonts w:ascii="Arial" w:hAnsi="Arial"/>
          <w:bCs/>
          <w:lang w:val="en-US"/>
        </w:rPr>
        <w:t xml:space="preserve"> dynamic histomorphometry findings of increased endocortical and periosteal bone apposition and formation rates. </w:t>
      </w:r>
      <w:r>
        <w:rPr>
          <w:rFonts w:ascii="Arial" w:hAnsi="Arial" w:cs="Arial"/>
          <w:bCs/>
          <w:lang w:val="en-US"/>
        </w:rPr>
        <w:t>Loading after 1 hour or 3 hours</w:t>
      </w:r>
      <w:r w:rsidRPr="005874BB">
        <w:rPr>
          <w:rFonts w:ascii="Arial" w:hAnsi="Arial" w:cs="Arial"/>
          <w:bCs/>
          <w:lang w:val="en-US"/>
        </w:rPr>
        <w:t xml:space="preserve"> following overnight fast increased cortical bone thickness</w:t>
      </w:r>
      <w:r>
        <w:rPr>
          <w:rFonts w:ascii="Arial" w:hAnsi="Arial" w:cs="Arial"/>
          <w:bCs/>
          <w:lang w:val="en-US"/>
        </w:rPr>
        <w:t xml:space="preserve"> in fasted fed mice</w:t>
      </w:r>
      <w:r w:rsidRPr="005874BB">
        <w:rPr>
          <w:rFonts w:ascii="Arial" w:hAnsi="Arial" w:cs="Arial"/>
          <w:bCs/>
          <w:lang w:val="en-US"/>
        </w:rPr>
        <w:t xml:space="preserve">, but not differently from ad-lib fed mice. </w:t>
      </w:r>
      <w:r w:rsidRPr="005874BB">
        <w:rPr>
          <w:rFonts w:ascii="Arial" w:eastAsiaTheme="minorHAnsi" w:hAnsi="Arial"/>
          <w:bCs/>
          <w:lang w:val="en-US"/>
        </w:rPr>
        <w:t xml:space="preserve">This information could help </w:t>
      </w:r>
      <w:r>
        <w:rPr>
          <w:rFonts w:ascii="Arial" w:eastAsiaTheme="minorHAnsi" w:hAnsi="Arial"/>
          <w:bCs/>
          <w:lang w:val="en-US"/>
        </w:rPr>
        <w:t xml:space="preserve">to </w:t>
      </w:r>
      <w:r w:rsidRPr="005874BB">
        <w:rPr>
          <w:rFonts w:ascii="Arial" w:eastAsiaTheme="minorHAnsi" w:hAnsi="Arial"/>
          <w:bCs/>
          <w:lang w:val="en-US"/>
        </w:rPr>
        <w:t xml:space="preserve">inform interventions aimed at building and maintaining a healthy skeletal system </w:t>
      </w:r>
      <w:r>
        <w:rPr>
          <w:rFonts w:ascii="Arial" w:eastAsiaTheme="minorHAnsi" w:hAnsi="Arial"/>
          <w:bCs/>
          <w:lang w:val="en-US"/>
        </w:rPr>
        <w:t xml:space="preserve">in young adults and </w:t>
      </w:r>
      <w:r w:rsidRPr="005874BB">
        <w:rPr>
          <w:rFonts w:ascii="Arial" w:eastAsiaTheme="minorHAnsi" w:hAnsi="Arial"/>
          <w:bCs/>
          <w:lang w:val="en-US"/>
        </w:rPr>
        <w:t xml:space="preserve">throughout the </w:t>
      </w:r>
      <w:r>
        <w:rPr>
          <w:rFonts w:ascii="Arial" w:eastAsiaTheme="minorHAnsi" w:hAnsi="Arial"/>
          <w:bCs/>
          <w:lang w:val="en-US"/>
        </w:rPr>
        <w:t>life</w:t>
      </w:r>
      <w:r w:rsidR="00982BB5">
        <w:rPr>
          <w:rFonts w:ascii="Arial" w:eastAsiaTheme="minorHAnsi" w:hAnsi="Arial"/>
          <w:bCs/>
          <w:lang w:val="en-US"/>
        </w:rPr>
        <w:t>-</w:t>
      </w:r>
      <w:r w:rsidRPr="005874BB">
        <w:rPr>
          <w:rFonts w:ascii="Arial" w:eastAsiaTheme="minorHAnsi" w:hAnsi="Arial"/>
          <w:bCs/>
          <w:lang w:val="en-US"/>
        </w:rPr>
        <w:t>course.</w:t>
      </w:r>
    </w:p>
    <w:p w14:paraId="2582AC5C" w14:textId="77777777" w:rsidR="00E56E65" w:rsidRPr="003D0BC1" w:rsidRDefault="00E56E65" w:rsidP="00E56E65">
      <w:pPr>
        <w:spacing w:line="480" w:lineRule="auto"/>
        <w:jc w:val="both"/>
        <w:rPr>
          <w:rFonts w:ascii="Arial" w:hAnsi="Arial"/>
          <w:bCs/>
          <w:lang w:val="en-US"/>
        </w:rPr>
      </w:pPr>
    </w:p>
    <w:p w14:paraId="211B08A3" w14:textId="77777777" w:rsidR="00E56E65" w:rsidRPr="005874BB" w:rsidRDefault="00E56E65" w:rsidP="00E56E65">
      <w:pPr>
        <w:spacing w:line="480" w:lineRule="auto"/>
        <w:jc w:val="both"/>
        <w:rPr>
          <w:rFonts w:ascii="Arial" w:eastAsiaTheme="minorHAnsi" w:hAnsi="Arial"/>
          <w:bCs/>
          <w:lang w:val="en-US"/>
        </w:rPr>
      </w:pPr>
    </w:p>
    <w:p w14:paraId="25270612" w14:textId="77777777" w:rsidR="00E56E65" w:rsidRPr="005874BB" w:rsidRDefault="00E56E65" w:rsidP="00E56E65">
      <w:pPr>
        <w:spacing w:line="480" w:lineRule="auto"/>
        <w:jc w:val="both"/>
        <w:rPr>
          <w:rFonts w:ascii="Arial" w:hAnsi="Arial"/>
          <w:bCs/>
          <w:lang w:val="en-US"/>
        </w:rPr>
      </w:pPr>
    </w:p>
    <w:p w14:paraId="6520A47F" w14:textId="77777777" w:rsidR="00E56E65" w:rsidRDefault="00E56E65" w:rsidP="00E56E65"/>
    <w:p w14:paraId="305392AD" w14:textId="77777777" w:rsidR="00E56E65" w:rsidRPr="00F01B3B" w:rsidRDefault="00E56E65" w:rsidP="00E56E65">
      <w:pPr>
        <w:spacing w:line="480" w:lineRule="auto"/>
        <w:jc w:val="center"/>
        <w:rPr>
          <w:rFonts w:ascii="Arial" w:hAnsi="Arial" w:cs="Arial"/>
        </w:rPr>
      </w:pPr>
    </w:p>
    <w:p w14:paraId="112EB7F7" w14:textId="77777777" w:rsidR="0061193F" w:rsidRPr="00472171" w:rsidRDefault="0061193F" w:rsidP="0061193F">
      <w:pPr>
        <w:tabs>
          <w:tab w:val="left" w:pos="3200"/>
        </w:tabs>
      </w:pPr>
    </w:p>
    <w:p w14:paraId="48542C49" w14:textId="77777777" w:rsidR="007A1FC4" w:rsidRDefault="007A1FC4" w:rsidP="007A1FC4"/>
    <w:p w14:paraId="6033D724" w14:textId="77777777" w:rsidR="007A1FC4" w:rsidRDefault="007A1FC4" w:rsidP="007A1FC4"/>
    <w:p w14:paraId="3FD16C20" w14:textId="77777777" w:rsidR="007A1FC4" w:rsidRDefault="007A1FC4" w:rsidP="007A1FC4"/>
    <w:p w14:paraId="602DDE9D" w14:textId="77777777" w:rsidR="00B43858" w:rsidRDefault="00B43858" w:rsidP="007A1FC4"/>
    <w:p w14:paraId="5AC228D1" w14:textId="77777777" w:rsidR="00B43858" w:rsidRDefault="00B43858" w:rsidP="007A1FC4"/>
    <w:p w14:paraId="65A4B676" w14:textId="77777777" w:rsidR="00B43858" w:rsidRDefault="00B43858" w:rsidP="007A1FC4"/>
    <w:p w14:paraId="7AF8B337" w14:textId="77777777" w:rsidR="00B43858" w:rsidRDefault="00B43858" w:rsidP="007A1FC4"/>
    <w:p w14:paraId="320049D4" w14:textId="77777777" w:rsidR="00B43858" w:rsidRDefault="00B43858" w:rsidP="007A1FC4"/>
    <w:p w14:paraId="501D25CD" w14:textId="77777777" w:rsidR="00B43858" w:rsidRDefault="00B43858" w:rsidP="007A1FC4"/>
    <w:p w14:paraId="094016DF" w14:textId="77777777" w:rsidR="00B43858" w:rsidRDefault="00B43858" w:rsidP="007A1FC4"/>
    <w:p w14:paraId="7ABA23FA" w14:textId="77777777" w:rsidR="00B43858" w:rsidRDefault="00B43858" w:rsidP="007A1FC4"/>
    <w:p w14:paraId="52032C26" w14:textId="77777777" w:rsidR="00B43858" w:rsidRDefault="00B43858" w:rsidP="007A1FC4"/>
    <w:p w14:paraId="5EC1913C" w14:textId="77777777" w:rsidR="00B43858" w:rsidRDefault="00B43858" w:rsidP="007A1FC4"/>
    <w:p w14:paraId="42ED860F" w14:textId="77777777" w:rsidR="00B43858" w:rsidRDefault="00B43858" w:rsidP="007A1FC4"/>
    <w:p w14:paraId="2D3CD06E" w14:textId="77777777" w:rsidR="00D16468" w:rsidRDefault="0022329B" w:rsidP="00D16468">
      <w:pPr>
        <w:tabs>
          <w:tab w:val="left" w:pos="0"/>
        </w:tabs>
        <w:spacing w:line="360" w:lineRule="auto"/>
        <w:jc w:val="both"/>
        <w:rPr>
          <w:rFonts w:ascii="Arial" w:hAnsi="Arial" w:cs="Arial"/>
        </w:rPr>
      </w:pPr>
      <w:r w:rsidRPr="003F068E">
        <w:rPr>
          <w:rFonts w:ascii="Arial" w:hAnsi="Arial" w:cs="Calibri"/>
          <w:bCs/>
          <w:i/>
          <w:color w:val="000000"/>
        </w:rPr>
        <w:t xml:space="preserve">This study was submitted as an abstract to the annual </w:t>
      </w:r>
      <w:r w:rsidR="00D16468">
        <w:rPr>
          <w:rFonts w:ascii="Arial" w:hAnsi="Arial" w:cs="Calibri"/>
          <w:bCs/>
          <w:i/>
          <w:color w:val="000000"/>
        </w:rPr>
        <w:t>meeting</w:t>
      </w:r>
      <w:r w:rsidRPr="003F068E">
        <w:rPr>
          <w:rFonts w:ascii="Arial" w:hAnsi="Arial" w:cs="Calibri"/>
          <w:bCs/>
          <w:i/>
          <w:color w:val="000000"/>
        </w:rPr>
        <w:t xml:space="preserve"> of the </w:t>
      </w:r>
      <w:r w:rsidR="00D16468">
        <w:rPr>
          <w:rFonts w:ascii="Arial" w:hAnsi="Arial" w:cs="Calibri"/>
          <w:bCs/>
          <w:i/>
          <w:color w:val="000000"/>
        </w:rPr>
        <w:t>ASBMR</w:t>
      </w:r>
      <w:r w:rsidRPr="003F068E">
        <w:rPr>
          <w:rFonts w:ascii="Arial" w:hAnsi="Arial" w:cs="Calibri"/>
          <w:bCs/>
          <w:i/>
          <w:color w:val="000000"/>
        </w:rPr>
        <w:t xml:space="preserve"> </w:t>
      </w:r>
      <w:r w:rsidRPr="00D16468">
        <w:rPr>
          <w:rFonts w:ascii="Arial" w:hAnsi="Arial" w:cs="Calibri"/>
          <w:bCs/>
          <w:i/>
          <w:color w:val="000000"/>
        </w:rPr>
        <w:t xml:space="preserve">in </w:t>
      </w:r>
      <w:r w:rsidR="00D16468" w:rsidRPr="00D16468">
        <w:rPr>
          <w:rFonts w:ascii="Arial" w:hAnsi="Arial" w:cs="Arial"/>
          <w:i/>
        </w:rPr>
        <w:t>Georgia, Atlanta,</w:t>
      </w:r>
      <w:r w:rsidR="00D16468" w:rsidRPr="00D16468">
        <w:rPr>
          <w:rFonts w:ascii="Arial" w:hAnsi="Arial" w:cs="Arial"/>
          <w:b/>
          <w:i/>
        </w:rPr>
        <w:t xml:space="preserve"> </w:t>
      </w:r>
      <w:r w:rsidR="00D16468" w:rsidRPr="00D16468">
        <w:rPr>
          <w:rFonts w:ascii="Arial" w:hAnsi="Arial" w:cs="Arial"/>
          <w:i/>
        </w:rPr>
        <w:t>USA</w:t>
      </w:r>
      <w:r w:rsidR="00D16468">
        <w:rPr>
          <w:rFonts w:ascii="Arial" w:hAnsi="Arial" w:cs="Calibri"/>
          <w:bCs/>
          <w:i/>
          <w:color w:val="000000"/>
        </w:rPr>
        <w:t xml:space="preserve"> </w:t>
      </w:r>
      <w:r>
        <w:rPr>
          <w:rFonts w:ascii="Arial" w:hAnsi="Arial" w:cs="Calibri"/>
          <w:bCs/>
          <w:i/>
          <w:color w:val="000000"/>
        </w:rPr>
        <w:t>where it</w:t>
      </w:r>
      <w:r w:rsidRPr="003F068E">
        <w:rPr>
          <w:rFonts w:ascii="Arial" w:hAnsi="Arial" w:cs="Calibri"/>
          <w:bCs/>
          <w:i/>
          <w:color w:val="000000"/>
        </w:rPr>
        <w:t xml:space="preserve"> was presented </w:t>
      </w:r>
      <w:r>
        <w:rPr>
          <w:rFonts w:ascii="Arial" w:hAnsi="Arial" w:cs="Calibri"/>
          <w:bCs/>
          <w:i/>
          <w:color w:val="000000"/>
        </w:rPr>
        <w:t>i</w:t>
      </w:r>
      <w:r w:rsidRPr="003F068E">
        <w:rPr>
          <w:rFonts w:ascii="Arial" w:hAnsi="Arial" w:cs="Calibri"/>
          <w:bCs/>
          <w:i/>
          <w:color w:val="000000"/>
        </w:rPr>
        <w:t xml:space="preserve">n </w:t>
      </w:r>
      <w:r w:rsidR="00DD4FB2">
        <w:rPr>
          <w:rFonts w:ascii="Arial" w:hAnsi="Arial" w:cs="Calibri"/>
          <w:bCs/>
          <w:i/>
          <w:color w:val="000000"/>
        </w:rPr>
        <w:t xml:space="preserve">a </w:t>
      </w:r>
      <w:r w:rsidRPr="003F068E">
        <w:rPr>
          <w:rFonts w:ascii="Arial" w:hAnsi="Arial" w:cs="Calibri"/>
          <w:bCs/>
          <w:i/>
          <w:color w:val="000000"/>
        </w:rPr>
        <w:t>poster format</w:t>
      </w:r>
      <w:r w:rsidR="00E901A7">
        <w:rPr>
          <w:rFonts w:ascii="Arial" w:hAnsi="Arial" w:cs="Calibri"/>
          <w:bCs/>
          <w:i/>
          <w:color w:val="000000"/>
        </w:rPr>
        <w:t xml:space="preserve"> </w:t>
      </w:r>
      <w:r w:rsidR="00330FE5">
        <w:rPr>
          <w:rFonts w:ascii="Arial" w:hAnsi="Arial" w:cs="Calibri"/>
          <w:bCs/>
          <w:i/>
          <w:color w:val="000000"/>
        </w:rPr>
        <w:fldChar w:fldCharType="begin"/>
      </w:r>
      <w:r w:rsidR="0000415D">
        <w:rPr>
          <w:rFonts w:ascii="Arial" w:hAnsi="Arial" w:cs="Calibri"/>
          <w:bCs/>
          <w:i/>
          <w:color w:val="000000"/>
        </w:rPr>
        <w:instrText xml:space="preserve"> ADDIN EN.CITE &lt;EndNote&gt;&lt;Cite&gt;&lt;Author&gt;Samvelyan&lt;/Author&gt;&lt;Year&gt;2017&lt;/Year&gt;&lt;RecNum&gt;512&lt;/RecNum&gt;&lt;DisplayText&gt;(Samvelyan et al., 2017)&lt;/DisplayText&gt;&lt;record&gt;&lt;rec-number&gt;512&lt;/rec-number&gt;&lt;foreign-keys&gt;&lt;key app="EN" db-id="ae9rewfrpdttrheppfxxv0p4950wpd25r09x" timestamp="1520658312"&gt;512&lt;/key&gt;&lt;/foreign-keys&gt;&lt;ref-type name="Conference Proceedings"&gt;10&lt;/ref-type&gt;&lt;contributors&gt;&lt;authors&gt;&lt;author&gt;Samvelyan, H.&lt;/author&gt;&lt;author&gt;Mathers, J.&lt;/author&gt;&lt;author&gt;Skerry, T.&lt;/author&gt;&lt;/authors&gt;&lt;/contributors&gt;&lt;titles&gt;&lt;title&gt;Feeding after overnight fast enhances bone’s response to mechanical loading in mice&lt;/title&gt;&lt;secondary-title&gt;ASBMR Annual Meeting&lt;/secondary-title&gt;&lt;/titles&gt;&lt;pages&gt;S403&lt;/pages&gt;&lt;volume&gt;31&lt;/volume&gt;&lt;dates&gt;&lt;year&gt;2017&lt;/year&gt;&lt;/dates&gt;&lt;pub-location&gt;Atlanta, Georgia, USA&lt;/pub-location&gt;&lt;publisher&gt;American Society for Bone and Mineral Research&lt;/publisher&gt;&lt;urls&gt;&lt;/urls&gt;&lt;/record&gt;&lt;/Cite&gt;&lt;/EndNote&gt;</w:instrText>
      </w:r>
      <w:r w:rsidR="00330FE5">
        <w:rPr>
          <w:rFonts w:ascii="Arial" w:hAnsi="Arial" w:cs="Calibri"/>
          <w:bCs/>
          <w:i/>
          <w:color w:val="000000"/>
        </w:rPr>
        <w:fldChar w:fldCharType="separate"/>
      </w:r>
      <w:r w:rsidR="00D463B5">
        <w:rPr>
          <w:rFonts w:ascii="Arial" w:hAnsi="Arial" w:cs="Calibri"/>
          <w:bCs/>
          <w:i/>
          <w:noProof/>
          <w:color w:val="000000"/>
        </w:rPr>
        <w:t>(Samvelyan et al., 2017</w:t>
      </w:r>
      <w:r w:rsidR="00330FE5">
        <w:rPr>
          <w:rFonts w:ascii="Arial" w:hAnsi="Arial" w:cs="Calibri"/>
          <w:bCs/>
          <w:i/>
          <w:noProof/>
          <w:color w:val="000000"/>
        </w:rPr>
        <w:t>)</w:t>
      </w:r>
      <w:r w:rsidR="00330FE5">
        <w:rPr>
          <w:rFonts w:ascii="Arial" w:hAnsi="Arial" w:cs="Calibri"/>
          <w:bCs/>
          <w:i/>
          <w:color w:val="000000"/>
        </w:rPr>
        <w:fldChar w:fldCharType="end"/>
      </w:r>
      <w:r w:rsidRPr="003F068E">
        <w:rPr>
          <w:rFonts w:ascii="Arial" w:hAnsi="Arial" w:cs="Calibri"/>
          <w:bCs/>
          <w:i/>
          <w:color w:val="000000"/>
        </w:rPr>
        <w:t xml:space="preserve">. </w:t>
      </w:r>
      <w:r w:rsidR="00D16468">
        <w:rPr>
          <w:rFonts w:ascii="Arial" w:hAnsi="Arial" w:cs="Calibri"/>
          <w:bCs/>
          <w:i/>
          <w:color w:val="000000"/>
        </w:rPr>
        <w:t xml:space="preserve">This study was also presented in </w:t>
      </w:r>
      <w:r w:rsidR="00DD4FB2">
        <w:rPr>
          <w:rFonts w:ascii="Arial" w:hAnsi="Arial" w:cs="Calibri"/>
          <w:bCs/>
          <w:i/>
          <w:color w:val="000000"/>
        </w:rPr>
        <w:t xml:space="preserve">an </w:t>
      </w:r>
      <w:r w:rsidR="00D16468" w:rsidRPr="00D16468">
        <w:rPr>
          <w:rFonts w:ascii="Arial" w:hAnsi="Arial" w:cs="Calibri"/>
          <w:bCs/>
          <w:i/>
          <w:color w:val="000000"/>
        </w:rPr>
        <w:t xml:space="preserve">oral format </w:t>
      </w:r>
      <w:r w:rsidR="00D16468" w:rsidRPr="00D16468">
        <w:rPr>
          <w:rFonts w:ascii="Arial" w:hAnsi="Arial" w:cs="Arial"/>
          <w:i/>
        </w:rPr>
        <w:t>at the 6</w:t>
      </w:r>
      <w:r w:rsidR="00D16468" w:rsidRPr="00D16468">
        <w:rPr>
          <w:rFonts w:ascii="Arial" w:hAnsi="Arial" w:cs="Arial"/>
          <w:i/>
          <w:vertAlign w:val="superscript"/>
        </w:rPr>
        <w:t>th</w:t>
      </w:r>
      <w:r w:rsidR="00D16468" w:rsidRPr="00D16468">
        <w:rPr>
          <w:rFonts w:ascii="Arial" w:hAnsi="Arial" w:cs="Arial"/>
          <w:i/>
        </w:rPr>
        <w:t xml:space="preserve"> Annual Mellanby Centre Research Day, Sheffield, UK</w:t>
      </w:r>
      <w:r w:rsidR="00D16468">
        <w:rPr>
          <w:rFonts w:ascii="Arial" w:hAnsi="Arial" w:cs="Arial"/>
          <w:i/>
        </w:rPr>
        <w:t xml:space="preserve"> where it was nominated for the </w:t>
      </w:r>
      <w:r w:rsidR="00B50207">
        <w:rPr>
          <w:rFonts w:ascii="Arial" w:hAnsi="Arial" w:cs="Arial"/>
          <w:i/>
        </w:rPr>
        <w:t>B</w:t>
      </w:r>
      <w:r w:rsidR="00D16468">
        <w:rPr>
          <w:rFonts w:ascii="Arial" w:hAnsi="Arial" w:cs="Arial"/>
          <w:i/>
        </w:rPr>
        <w:t xml:space="preserve">est </w:t>
      </w:r>
      <w:r w:rsidR="00246EE0">
        <w:rPr>
          <w:rFonts w:ascii="Arial" w:hAnsi="Arial" w:cs="Arial"/>
          <w:i/>
        </w:rPr>
        <w:t xml:space="preserve">oral </w:t>
      </w:r>
      <w:r w:rsidR="00D16468">
        <w:rPr>
          <w:rFonts w:ascii="Arial" w:hAnsi="Arial" w:cs="Arial"/>
          <w:i/>
        </w:rPr>
        <w:t xml:space="preserve">presentation. </w:t>
      </w:r>
    </w:p>
    <w:p w14:paraId="1114E3C8" w14:textId="77777777" w:rsidR="0022329B" w:rsidRDefault="0022329B" w:rsidP="0022329B">
      <w:pPr>
        <w:spacing w:line="480" w:lineRule="auto"/>
        <w:jc w:val="both"/>
        <w:rPr>
          <w:rFonts w:ascii="Arial" w:hAnsi="Arial" w:cs="Calibri"/>
          <w:bCs/>
          <w:i/>
          <w:color w:val="000000"/>
        </w:rPr>
      </w:pPr>
    </w:p>
    <w:p w14:paraId="69731EA2" w14:textId="77777777" w:rsidR="00FA37AC" w:rsidRPr="00304AF3" w:rsidRDefault="00FA37AC" w:rsidP="0022329B">
      <w:pPr>
        <w:spacing w:line="480" w:lineRule="auto"/>
        <w:jc w:val="both"/>
        <w:rPr>
          <w:rFonts w:ascii="Arial" w:hAnsi="Arial" w:cs="Calibri"/>
          <w:bCs/>
          <w:i/>
          <w:color w:val="000000"/>
        </w:rPr>
      </w:pPr>
    </w:p>
    <w:p w14:paraId="006B28CA" w14:textId="77777777" w:rsidR="009209C8" w:rsidRPr="009209C8" w:rsidRDefault="009209C8" w:rsidP="009209C8">
      <w:pPr>
        <w:pStyle w:val="TOCHeading"/>
        <w:spacing w:line="360" w:lineRule="auto"/>
        <w:jc w:val="left"/>
        <w:rPr>
          <w:rFonts w:eastAsia="Times New Roman"/>
          <w:bCs w:val="0"/>
          <w:color w:val="1F497D" w:themeColor="text2"/>
          <w:sz w:val="24"/>
          <w:szCs w:val="24"/>
          <w:u w:val="double"/>
        </w:rPr>
      </w:pPr>
      <w:bookmarkStart w:id="123" w:name="_Toc383723905"/>
    </w:p>
    <w:p w14:paraId="2A086B22" w14:textId="77777777" w:rsidR="009209C8" w:rsidRPr="00441F98" w:rsidRDefault="009209C8" w:rsidP="00441F98">
      <w:pPr>
        <w:pStyle w:val="TOCHeading"/>
        <w:tabs>
          <w:tab w:val="left" w:pos="3544"/>
        </w:tabs>
        <w:spacing w:line="360" w:lineRule="auto"/>
        <w:rPr>
          <w:rFonts w:eastAsia="Times New Roman"/>
          <w:bCs w:val="0"/>
          <w:color w:val="1F497D" w:themeColor="text2"/>
          <w:sz w:val="40"/>
          <w:szCs w:val="40"/>
          <w:u w:val="double"/>
        </w:rPr>
      </w:pPr>
      <w:r w:rsidRPr="00441F98">
        <w:rPr>
          <w:rFonts w:eastAsia="Times New Roman"/>
          <w:bCs w:val="0"/>
          <w:color w:val="1F497D" w:themeColor="text2"/>
          <w:sz w:val="40"/>
          <w:szCs w:val="40"/>
          <w:u w:val="double"/>
        </w:rPr>
        <w:t>CHAPTER 5</w:t>
      </w:r>
    </w:p>
    <w:p w14:paraId="2002AF1A" w14:textId="77777777" w:rsidR="0022329B" w:rsidRPr="00542B2D" w:rsidRDefault="0022329B" w:rsidP="00204988">
      <w:pPr>
        <w:pStyle w:val="Heading1"/>
        <w:rPr>
          <w:rFonts w:eastAsia="Times New Roman"/>
        </w:rPr>
      </w:pPr>
      <w:r>
        <w:t>The effects</w:t>
      </w:r>
      <w:r w:rsidRPr="00542B2D">
        <w:t xml:space="preserve"> of sub-threshold and submaximal </w:t>
      </w:r>
      <w:r>
        <w:t xml:space="preserve">     </w:t>
      </w:r>
      <w:r w:rsidRPr="00542B2D">
        <w:t xml:space="preserve">mechanical loading on </w:t>
      </w:r>
      <w:r w:rsidRPr="00542B2D">
        <w:rPr>
          <w:rFonts w:eastAsia="Times New Roman"/>
        </w:rPr>
        <w:t xml:space="preserve">bone mass and architecture of </w:t>
      </w:r>
      <w:r>
        <w:rPr>
          <w:rFonts w:eastAsia="Times New Roman"/>
        </w:rPr>
        <w:t xml:space="preserve">  f</w:t>
      </w:r>
      <w:r w:rsidRPr="00542B2D">
        <w:rPr>
          <w:rFonts w:eastAsia="Times New Roman"/>
        </w:rPr>
        <w:t xml:space="preserve">ed or </w:t>
      </w:r>
      <w:r>
        <w:rPr>
          <w:rFonts w:eastAsia="Times New Roman"/>
        </w:rPr>
        <w:t xml:space="preserve">fasted </w:t>
      </w:r>
      <w:r w:rsidR="007360D3">
        <w:rPr>
          <w:rFonts w:eastAsia="Times New Roman"/>
        </w:rPr>
        <w:t xml:space="preserve">fed </w:t>
      </w:r>
      <w:r>
        <w:rPr>
          <w:rFonts w:eastAsia="Times New Roman"/>
        </w:rPr>
        <w:t>young</w:t>
      </w:r>
      <w:r w:rsidRPr="00542B2D">
        <w:rPr>
          <w:rFonts w:eastAsia="Times New Roman"/>
        </w:rPr>
        <w:t xml:space="preserve"> mice</w:t>
      </w:r>
      <w:bookmarkEnd w:id="123"/>
      <w:r w:rsidRPr="00542B2D">
        <w:rPr>
          <w:rFonts w:eastAsia="Times New Roman"/>
        </w:rPr>
        <w:t xml:space="preserve"> </w:t>
      </w:r>
    </w:p>
    <w:p w14:paraId="22043CD2" w14:textId="77777777" w:rsidR="0022329B" w:rsidRDefault="0022329B" w:rsidP="0022329B"/>
    <w:p w14:paraId="179E013F" w14:textId="77777777" w:rsidR="0022329B" w:rsidRDefault="0022329B" w:rsidP="0022329B"/>
    <w:p w14:paraId="23A28B84" w14:textId="77777777" w:rsidR="0022329B" w:rsidRDefault="0022329B" w:rsidP="0022329B"/>
    <w:p w14:paraId="2DCF1CEF" w14:textId="77777777" w:rsidR="0022329B" w:rsidRDefault="0022329B" w:rsidP="0022329B"/>
    <w:p w14:paraId="7D95D413" w14:textId="77777777" w:rsidR="0022329B" w:rsidRDefault="0022329B" w:rsidP="0022329B"/>
    <w:p w14:paraId="77F5DDE3" w14:textId="77777777" w:rsidR="0022329B" w:rsidRDefault="0022329B" w:rsidP="0022329B"/>
    <w:p w14:paraId="2E4E5529" w14:textId="77777777" w:rsidR="0022329B" w:rsidRDefault="0022329B" w:rsidP="0022329B"/>
    <w:p w14:paraId="0E25DDF0" w14:textId="77777777" w:rsidR="0022329B" w:rsidRDefault="0022329B" w:rsidP="0022329B"/>
    <w:p w14:paraId="5DC00412" w14:textId="77777777" w:rsidR="0022329B" w:rsidRDefault="0022329B" w:rsidP="0022329B"/>
    <w:p w14:paraId="2A69161C" w14:textId="77777777" w:rsidR="0022329B" w:rsidRDefault="0022329B" w:rsidP="0022329B"/>
    <w:p w14:paraId="1C81F568" w14:textId="77777777" w:rsidR="0022329B" w:rsidRDefault="0022329B" w:rsidP="0022329B"/>
    <w:p w14:paraId="40B06A54" w14:textId="77777777" w:rsidR="0022329B" w:rsidRDefault="0022329B" w:rsidP="0022329B"/>
    <w:p w14:paraId="4AEBE04C" w14:textId="77777777" w:rsidR="0022329B" w:rsidRDefault="0022329B" w:rsidP="0022329B"/>
    <w:p w14:paraId="56089DE6" w14:textId="77777777" w:rsidR="0022329B" w:rsidRDefault="0022329B" w:rsidP="0022329B"/>
    <w:p w14:paraId="239E55AD" w14:textId="77777777" w:rsidR="0022329B" w:rsidRDefault="0022329B" w:rsidP="0022329B"/>
    <w:p w14:paraId="0C498E84" w14:textId="77777777" w:rsidR="0022329B" w:rsidRDefault="0022329B" w:rsidP="0022329B"/>
    <w:p w14:paraId="7CED080F" w14:textId="77777777" w:rsidR="0022329B" w:rsidRDefault="0022329B" w:rsidP="0022329B"/>
    <w:p w14:paraId="2C5B2ACD" w14:textId="77777777" w:rsidR="0022329B" w:rsidRDefault="0022329B" w:rsidP="0022329B"/>
    <w:p w14:paraId="4085BDFC" w14:textId="77777777" w:rsidR="0022329B" w:rsidRDefault="0022329B" w:rsidP="0022329B"/>
    <w:p w14:paraId="65D63945" w14:textId="77777777" w:rsidR="0022329B" w:rsidRDefault="0022329B" w:rsidP="0022329B"/>
    <w:p w14:paraId="66600C44" w14:textId="77777777" w:rsidR="0022329B" w:rsidRDefault="0022329B" w:rsidP="0022329B"/>
    <w:p w14:paraId="0DC384BE" w14:textId="77777777" w:rsidR="0022329B" w:rsidRDefault="0022329B" w:rsidP="0022329B"/>
    <w:p w14:paraId="20C8200D" w14:textId="77777777" w:rsidR="0022329B" w:rsidRDefault="0022329B" w:rsidP="0022329B"/>
    <w:p w14:paraId="388260F3" w14:textId="77777777" w:rsidR="0022329B" w:rsidRDefault="0022329B" w:rsidP="0022329B"/>
    <w:p w14:paraId="7CCE1607" w14:textId="77777777" w:rsidR="0022329B" w:rsidRDefault="0022329B" w:rsidP="0022329B"/>
    <w:p w14:paraId="092FFCE3" w14:textId="77777777" w:rsidR="0022329B" w:rsidRDefault="0022329B" w:rsidP="0022329B"/>
    <w:p w14:paraId="11054B23" w14:textId="77777777" w:rsidR="0022329B" w:rsidRDefault="0022329B" w:rsidP="0022329B"/>
    <w:p w14:paraId="132039CF" w14:textId="77777777" w:rsidR="0022329B" w:rsidRDefault="0022329B" w:rsidP="0022329B"/>
    <w:p w14:paraId="56568799" w14:textId="77777777" w:rsidR="0022329B" w:rsidRDefault="0022329B" w:rsidP="0022329B"/>
    <w:p w14:paraId="509CEAC6" w14:textId="77777777" w:rsidR="0022329B" w:rsidRDefault="0022329B" w:rsidP="0022329B"/>
    <w:p w14:paraId="2EE780E0" w14:textId="77777777" w:rsidR="0022329B" w:rsidRDefault="0022329B" w:rsidP="0022329B"/>
    <w:p w14:paraId="0247EE24" w14:textId="77777777" w:rsidR="0022329B" w:rsidRDefault="0022329B" w:rsidP="0022329B"/>
    <w:p w14:paraId="1C87899C" w14:textId="77777777" w:rsidR="0022329B" w:rsidRDefault="0022329B" w:rsidP="00D40E59">
      <w:pPr>
        <w:pStyle w:val="Heading2"/>
      </w:pPr>
      <w:bookmarkStart w:id="124" w:name="_Toc383723906"/>
      <w:r>
        <w:lastRenderedPageBreak/>
        <w:t>5.1 Introduction</w:t>
      </w:r>
      <w:bookmarkEnd w:id="124"/>
    </w:p>
    <w:p w14:paraId="16B6F7CC" w14:textId="77777777" w:rsidR="0022329B" w:rsidRDefault="00441F98" w:rsidP="0022329B">
      <w:pPr>
        <w:spacing w:line="480" w:lineRule="auto"/>
        <w:jc w:val="both"/>
        <w:rPr>
          <w:rFonts w:ascii="Arial" w:hAnsi="Arial" w:cs="Arial"/>
          <w:color w:val="1A1A1A"/>
        </w:rPr>
      </w:pPr>
      <w:r>
        <w:rPr>
          <w:rFonts w:ascii="Arial" w:hAnsi="Arial" w:cs="Arial"/>
          <w:color w:val="1A1A1A"/>
        </w:rPr>
        <w:t>I</w:t>
      </w:r>
      <w:r w:rsidR="003055A1">
        <w:rPr>
          <w:rFonts w:ascii="Arial" w:hAnsi="Arial" w:cs="Arial"/>
          <w:color w:val="1A1A1A"/>
        </w:rPr>
        <w:t>n the</w:t>
      </w:r>
      <w:r w:rsidR="00A25157">
        <w:rPr>
          <w:rFonts w:ascii="Arial" w:hAnsi="Arial" w:cs="Arial"/>
          <w:color w:val="1A1A1A"/>
        </w:rPr>
        <w:t xml:space="preserve"> </w:t>
      </w:r>
      <w:r w:rsidR="0022329B">
        <w:rPr>
          <w:rFonts w:ascii="Arial" w:hAnsi="Arial" w:cs="Arial"/>
          <w:color w:val="1A1A1A"/>
        </w:rPr>
        <w:t xml:space="preserve">previous chapter </w:t>
      </w:r>
      <w:r w:rsidR="003055A1">
        <w:rPr>
          <w:rFonts w:ascii="Arial" w:hAnsi="Arial" w:cs="Arial"/>
          <w:color w:val="1A1A1A"/>
        </w:rPr>
        <w:t xml:space="preserve">I </w:t>
      </w:r>
      <w:r w:rsidR="0022329B" w:rsidRPr="008805A8">
        <w:rPr>
          <w:rFonts w:ascii="Arial" w:hAnsi="Arial" w:cs="Arial"/>
          <w:color w:val="1A1A1A"/>
        </w:rPr>
        <w:t xml:space="preserve">demonstrated that food ingestion for 2 hours, but not for 1 hour or 3 hours, following overnight fast potentiated </w:t>
      </w:r>
      <w:r w:rsidR="0022329B" w:rsidRPr="008805A8">
        <w:rPr>
          <w:rFonts w:ascii="Arial" w:hAnsi="Arial" w:cs="Arial"/>
          <w:bCs/>
        </w:rPr>
        <w:t xml:space="preserve">bone’s osteogenic response to maximal mechanical loading in young </w:t>
      </w:r>
      <w:r w:rsidR="0022329B">
        <w:rPr>
          <w:rFonts w:ascii="Arial" w:hAnsi="Arial" w:cs="Arial"/>
          <w:bCs/>
        </w:rPr>
        <w:t xml:space="preserve">male </w:t>
      </w:r>
      <w:r w:rsidR="0022329B" w:rsidRPr="008805A8">
        <w:rPr>
          <w:rFonts w:ascii="Arial" w:hAnsi="Arial" w:cs="Arial"/>
          <w:bCs/>
        </w:rPr>
        <w:t>mice</w:t>
      </w:r>
      <w:r w:rsidR="00A25157">
        <w:rPr>
          <w:rFonts w:ascii="Arial" w:hAnsi="Arial" w:cs="Arial"/>
          <w:bCs/>
        </w:rPr>
        <w:t>. This indicates</w:t>
      </w:r>
      <w:r w:rsidR="0022329B" w:rsidRPr="008805A8">
        <w:rPr>
          <w:rFonts w:ascii="Arial" w:hAnsi="Arial" w:cs="Arial"/>
          <w:bCs/>
        </w:rPr>
        <w:t xml:space="preserve"> interactions between timing of food ingestion and bone adaptation to high intensity exercise.</w:t>
      </w:r>
      <w:r w:rsidR="0022329B">
        <w:rPr>
          <w:rFonts w:ascii="Arial" w:hAnsi="Arial" w:cs="Arial"/>
          <w:bCs/>
        </w:rPr>
        <w:t xml:space="preserve"> </w:t>
      </w:r>
      <w:r w:rsidR="0022329B">
        <w:rPr>
          <w:rFonts w:ascii="Arial" w:hAnsi="Arial"/>
        </w:rPr>
        <w:t>T</w:t>
      </w:r>
      <w:r w:rsidR="0022329B" w:rsidRPr="00842660">
        <w:rPr>
          <w:rFonts w:ascii="Arial" w:hAnsi="Arial"/>
        </w:rPr>
        <w:t xml:space="preserve">o </w:t>
      </w:r>
      <w:r w:rsidR="00666468">
        <w:rPr>
          <w:rFonts w:ascii="Arial" w:hAnsi="Arial"/>
        </w:rPr>
        <w:t>investigate</w:t>
      </w:r>
      <w:r w:rsidR="0022329B" w:rsidRPr="00842660">
        <w:rPr>
          <w:rFonts w:ascii="Arial" w:hAnsi="Arial"/>
        </w:rPr>
        <w:t xml:space="preserve"> synergistic effects of metabolic hormones on concurrent mechanical loading,</w:t>
      </w:r>
      <w:r w:rsidR="0022329B">
        <w:rPr>
          <w:rFonts w:ascii="Arial" w:hAnsi="Arial" w:cs="Arial"/>
          <w:bCs/>
        </w:rPr>
        <w:t xml:space="preserve"> in this chapter </w:t>
      </w:r>
      <w:r w:rsidR="003055A1">
        <w:rPr>
          <w:rFonts w:ascii="Arial" w:hAnsi="Arial" w:cs="Arial"/>
          <w:bCs/>
        </w:rPr>
        <w:t xml:space="preserve">we </w:t>
      </w:r>
      <w:r w:rsidR="0022329B">
        <w:rPr>
          <w:rFonts w:ascii="Arial" w:hAnsi="Arial" w:cs="Arial"/>
          <w:bCs/>
        </w:rPr>
        <w:t>explore</w:t>
      </w:r>
      <w:r w:rsidR="003055A1">
        <w:rPr>
          <w:rFonts w:ascii="Arial" w:hAnsi="Arial" w:cs="Arial"/>
          <w:bCs/>
        </w:rPr>
        <w:t>d</w:t>
      </w:r>
      <w:r w:rsidR="0022329B">
        <w:rPr>
          <w:rFonts w:ascii="Arial" w:hAnsi="Arial" w:cs="Arial"/>
          <w:bCs/>
        </w:rPr>
        <w:t xml:space="preserve"> the </w:t>
      </w:r>
      <w:r w:rsidR="0022329B" w:rsidRPr="0047366C">
        <w:rPr>
          <w:rFonts w:ascii="Arial" w:hAnsi="Arial" w:cs="Arial"/>
          <w:bCs/>
        </w:rPr>
        <w:t xml:space="preserve">effect of timing of feeding on bone’s response to </w:t>
      </w:r>
      <w:r w:rsidR="0022329B" w:rsidRPr="0047366C">
        <w:rPr>
          <w:rFonts w:ascii="Arial" w:hAnsi="Arial"/>
        </w:rPr>
        <w:t xml:space="preserve">sub-threshold and submaximal mechanical loading regimens that mimic ineffective and low intensity exercise </w:t>
      </w:r>
      <w:r w:rsidR="0022329B" w:rsidRPr="0047366C">
        <w:rPr>
          <w:rFonts w:ascii="Arial" w:hAnsi="Arial" w:cs="Arial"/>
          <w:color w:val="1A1A1A"/>
        </w:rPr>
        <w:t xml:space="preserve">after withholding food or feeding </w:t>
      </w:r>
      <w:r w:rsidR="0022329B">
        <w:rPr>
          <w:rFonts w:ascii="Arial" w:hAnsi="Arial" w:cs="Arial"/>
          <w:color w:val="1A1A1A"/>
        </w:rPr>
        <w:t xml:space="preserve">for 2 hours </w:t>
      </w:r>
      <w:r w:rsidR="0022329B" w:rsidRPr="0047366C">
        <w:rPr>
          <w:rFonts w:ascii="Arial" w:hAnsi="Arial" w:cs="Arial"/>
          <w:color w:val="1A1A1A"/>
        </w:rPr>
        <w:t xml:space="preserve">in young </w:t>
      </w:r>
      <w:r w:rsidR="0022329B">
        <w:rPr>
          <w:rFonts w:ascii="Arial" w:hAnsi="Arial" w:cs="Arial"/>
          <w:color w:val="1A1A1A"/>
        </w:rPr>
        <w:t xml:space="preserve">male </w:t>
      </w:r>
      <w:r w:rsidR="0022329B" w:rsidRPr="0047366C">
        <w:rPr>
          <w:rFonts w:ascii="Arial" w:hAnsi="Arial" w:cs="Arial"/>
          <w:color w:val="1A1A1A"/>
        </w:rPr>
        <w:t>mice.</w:t>
      </w:r>
      <w:r w:rsidR="0022329B">
        <w:rPr>
          <w:rFonts w:ascii="Arial" w:hAnsi="Arial" w:cs="Arial"/>
          <w:color w:val="1A1A1A"/>
        </w:rPr>
        <w:t xml:space="preserve"> </w:t>
      </w:r>
    </w:p>
    <w:p w14:paraId="044D1A97" w14:textId="77777777" w:rsidR="0022329B" w:rsidRDefault="0022329B" w:rsidP="0022329B">
      <w:pPr>
        <w:spacing w:line="480" w:lineRule="auto"/>
        <w:jc w:val="both"/>
        <w:rPr>
          <w:rFonts w:ascii="Arial" w:hAnsi="Arial" w:cs="Arial"/>
          <w:bCs/>
        </w:rPr>
      </w:pPr>
    </w:p>
    <w:p w14:paraId="1D01BF4A" w14:textId="77777777" w:rsidR="008137D9" w:rsidRDefault="00291149" w:rsidP="00E84848">
      <w:pPr>
        <w:spacing w:line="480" w:lineRule="auto"/>
        <w:jc w:val="both"/>
        <w:rPr>
          <w:rFonts w:ascii="Arial" w:hAnsi="Arial" w:cs="Arial"/>
          <w:bCs/>
        </w:rPr>
      </w:pPr>
      <w:r>
        <w:rPr>
          <w:rFonts w:ascii="Arial" w:hAnsi="Arial" w:cs="Arial"/>
          <w:bCs/>
        </w:rPr>
        <w:t xml:space="preserve">According to </w:t>
      </w:r>
      <w:r w:rsidR="0022329B">
        <w:rPr>
          <w:rFonts w:ascii="Arial" w:hAnsi="Arial" w:cs="Arial"/>
          <w:bCs/>
        </w:rPr>
        <w:t>Wolff’s law</w:t>
      </w:r>
      <w:r w:rsidR="00D2361A">
        <w:rPr>
          <w:rFonts w:ascii="Arial" w:hAnsi="Arial" w:cs="Arial"/>
          <w:bCs/>
        </w:rPr>
        <w:t xml:space="preserve"> </w:t>
      </w:r>
      <w:r w:rsidR="00D2361A">
        <w:rPr>
          <w:rFonts w:ascii="Arial" w:hAnsi="Arial" w:cs="Arial"/>
          <w:bCs/>
        </w:rPr>
        <w:fldChar w:fldCharType="begin"/>
      </w:r>
      <w:r w:rsidR="0000415D">
        <w:rPr>
          <w:rFonts w:ascii="Arial" w:hAnsi="Arial" w:cs="Arial"/>
          <w:bCs/>
        </w:rPr>
        <w:instrText xml:space="preserve"> ADDIN EN.CITE &lt;EndNote&gt;&lt;Cite&gt;&lt;Author&gt;Wolff&lt;/Author&gt;&lt;Year&gt;1986&lt;/Year&gt;&lt;RecNum&gt;499&lt;/RecNum&gt;&lt;DisplayText&gt;(Wolff, 1986)&lt;/DisplayText&gt;&lt;record&gt;&lt;rec-number&gt;499&lt;/rec-number&gt;&lt;foreign-keys&gt;&lt;key app="EN" db-id="ae9rewfrpdttrheppfxxv0p4950wpd25r09x" timestamp="1520658309"&gt;499&lt;/key&gt;&lt;/foreign-keys&gt;&lt;ref-type name="Book"&gt;6&lt;/ref-type&gt;&lt;contributors&gt;&lt;authors&gt;&lt;author&gt;Wolff, J.&lt;/author&gt;&lt;/authors&gt;&lt;/contributors&gt;&lt;titles&gt;&lt;title&gt;The Law of Bone Remodelling&lt;/title&gt;&lt;/titles&gt;&lt;dates&gt;&lt;year&gt;1986&lt;/year&gt;&lt;/dates&gt;&lt;pub-location&gt;Berlin, Heidelberg&lt;/pub-location&gt;&lt;publisher&gt;Springer-Verlag &lt;/publisher&gt;&lt;urls&gt;&lt;/urls&gt;&lt;/record&gt;&lt;/Cite&gt;&lt;/EndNote&gt;</w:instrText>
      </w:r>
      <w:r w:rsidR="00D2361A">
        <w:rPr>
          <w:rFonts w:ascii="Arial" w:hAnsi="Arial" w:cs="Arial"/>
          <w:bCs/>
        </w:rPr>
        <w:fldChar w:fldCharType="separate"/>
      </w:r>
      <w:r w:rsidR="00D2361A">
        <w:rPr>
          <w:rFonts w:ascii="Arial" w:hAnsi="Arial" w:cs="Arial"/>
          <w:bCs/>
          <w:noProof/>
        </w:rPr>
        <w:t>(Wolff, 1986)</w:t>
      </w:r>
      <w:r w:rsidR="00D2361A">
        <w:rPr>
          <w:rFonts w:ascii="Arial" w:hAnsi="Arial" w:cs="Arial"/>
          <w:bCs/>
        </w:rPr>
        <w:fldChar w:fldCharType="end"/>
      </w:r>
      <w:r w:rsidR="00D2361A">
        <w:rPr>
          <w:rFonts w:ascii="Arial" w:hAnsi="Arial" w:cs="Arial"/>
          <w:bCs/>
        </w:rPr>
        <w:t xml:space="preserve">, </w:t>
      </w:r>
      <w:r w:rsidR="0022329B">
        <w:rPr>
          <w:rFonts w:ascii="Arial" w:hAnsi="Arial" w:cs="Arial"/>
          <w:bCs/>
        </w:rPr>
        <w:t xml:space="preserve">individual bones respond and adapt to mechanical strains engendered by habitual loads without fractures by altering </w:t>
      </w:r>
      <w:r w:rsidR="00D2361A">
        <w:rPr>
          <w:rFonts w:ascii="Arial" w:hAnsi="Arial" w:cs="Arial"/>
          <w:bCs/>
        </w:rPr>
        <w:t>modelling</w:t>
      </w:r>
      <w:r w:rsidR="0022329B">
        <w:rPr>
          <w:rFonts w:ascii="Arial" w:hAnsi="Arial" w:cs="Arial"/>
          <w:bCs/>
        </w:rPr>
        <w:t xml:space="preserve"> and </w:t>
      </w:r>
      <w:r w:rsidR="00D2361A">
        <w:rPr>
          <w:rFonts w:ascii="Arial" w:hAnsi="Arial" w:cs="Arial"/>
          <w:bCs/>
        </w:rPr>
        <w:t>remodelling</w:t>
      </w:r>
      <w:r w:rsidR="0022329B">
        <w:rPr>
          <w:rFonts w:ascii="Arial" w:hAnsi="Arial" w:cs="Arial"/>
          <w:bCs/>
        </w:rPr>
        <w:t xml:space="preserve"> activities </w:t>
      </w:r>
      <w:r w:rsidR="00330FE5">
        <w:rPr>
          <w:rFonts w:ascii="Arial" w:hAnsi="Arial" w:cs="Arial"/>
          <w:bCs/>
        </w:rPr>
        <w:fldChar w:fldCharType="begin">
          <w:fldData xml:space="preserve">PEVuZE5vdGU+PENpdGU+PEF1dGhvcj5Gcm9zdDwvQXV0aG9yPjxZZWFyPjE5OTQ8L1llYXI+PFJl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</w:fldData>
        </w:fldChar>
      </w:r>
      <w:r w:rsidR="00651EFF">
        <w:rPr>
          <w:rFonts w:ascii="Arial" w:hAnsi="Arial" w:cs="Arial"/>
          <w:bCs/>
        </w:rPr>
        <w:instrText xml:space="preserve"> ADDIN EN.CITE </w:instrText>
      </w:r>
      <w:r w:rsidR="00651EFF">
        <w:rPr>
          <w:rFonts w:ascii="Arial" w:hAnsi="Arial" w:cs="Arial"/>
          <w:bCs/>
        </w:rPr>
        <w:fldChar w:fldCharType="begin">
          <w:fldData xml:space="preserve">PEVuZE5vdGU+PENpdGU+PEF1dGhvcj5Gcm9zdDwvQXV0aG9yPjxZZWFyPjE5OTQ8L1llYXI+PFJl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</w:fldData>
        </w:fldChar>
      </w:r>
      <w:r w:rsidR="00651EFF">
        <w:rPr>
          <w:rFonts w:ascii="Arial" w:hAnsi="Arial" w:cs="Arial"/>
          <w:bCs/>
        </w:rPr>
        <w:instrText xml:space="preserve"> ADDIN EN.CITE.DATA </w:instrText>
      </w:r>
      <w:r w:rsidR="00651EFF">
        <w:rPr>
          <w:rFonts w:ascii="Arial" w:hAnsi="Arial" w:cs="Arial"/>
          <w:bCs/>
        </w:rPr>
      </w:r>
      <w:r w:rsidR="00651EFF">
        <w:rPr>
          <w:rFonts w:ascii="Arial" w:hAnsi="Arial" w:cs="Arial"/>
          <w:bCs/>
        </w:rPr>
        <w:fldChar w:fldCharType="end"/>
      </w:r>
      <w:r w:rsidR="00330FE5">
        <w:rPr>
          <w:rFonts w:ascii="Arial" w:hAnsi="Arial" w:cs="Arial"/>
          <w:bCs/>
        </w:rPr>
      </w:r>
      <w:r w:rsidR="00330FE5">
        <w:rPr>
          <w:rFonts w:ascii="Arial" w:hAnsi="Arial" w:cs="Arial"/>
          <w:bCs/>
        </w:rPr>
        <w:fldChar w:fldCharType="separate"/>
      </w:r>
      <w:r w:rsidR="00330FE5">
        <w:rPr>
          <w:rFonts w:ascii="Arial" w:hAnsi="Arial" w:cs="Arial"/>
          <w:bCs/>
          <w:noProof/>
        </w:rPr>
        <w:t>(Frost, 1994, Frost, 2003)</w:t>
      </w:r>
      <w:r w:rsidR="00330FE5">
        <w:rPr>
          <w:rFonts w:ascii="Arial" w:hAnsi="Arial" w:cs="Arial"/>
          <w:bCs/>
        </w:rPr>
        <w:fldChar w:fldCharType="end"/>
      </w:r>
      <w:r w:rsidR="00D2361A">
        <w:rPr>
          <w:rFonts w:ascii="Arial" w:hAnsi="Arial" w:cs="Arial"/>
          <w:bCs/>
        </w:rPr>
        <w:t xml:space="preserve">. </w:t>
      </w:r>
      <w:r w:rsidR="0022329B">
        <w:rPr>
          <w:rFonts w:ascii="Arial" w:hAnsi="Arial" w:cs="Arial"/>
          <w:bCs/>
        </w:rPr>
        <w:t>Bone strain drives a feedback mechanism that regulates bone resorption and formation to maintain optimal trabecular and cortical bone mass and archite</w:t>
      </w:r>
      <w:r>
        <w:rPr>
          <w:rFonts w:ascii="Arial" w:hAnsi="Arial" w:cs="Arial"/>
          <w:bCs/>
        </w:rPr>
        <w:t>cture at each skeletal location</w:t>
      </w:r>
      <w:r w:rsidR="0022329B">
        <w:rPr>
          <w:rFonts w:ascii="Arial" w:hAnsi="Arial" w:cs="Arial"/>
          <w:bCs/>
        </w:rPr>
        <w:t xml:space="preserve"> </w:t>
      </w:r>
      <w:r w:rsidR="00330FE5">
        <w:rPr>
          <w:rFonts w:ascii="Arial" w:hAnsi="Arial" w:cs="Arial"/>
          <w:bCs/>
        </w:rPr>
        <w:fldChar w:fldCharType="begin">
          <w:fldData xml:space="preserve">PEVuZE5vdGU+PENpdGU+PEF1dGhvcj5DdXJyZXk8L0F1dGhvcj48WWVhcj4xOTg0PC9ZZWFyPjxS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==
</w:fldData>
        </w:fldChar>
      </w:r>
      <w:r w:rsidR="0000415D">
        <w:rPr>
          <w:rFonts w:ascii="Arial" w:hAnsi="Arial" w:cs="Arial"/>
          <w:bCs/>
        </w:rPr>
        <w:instrText xml:space="preserve"> ADDIN EN.CITE </w:instrText>
      </w:r>
      <w:r w:rsidR="0000415D">
        <w:rPr>
          <w:rFonts w:ascii="Arial" w:hAnsi="Arial" w:cs="Arial"/>
          <w:bCs/>
        </w:rPr>
        <w:fldChar w:fldCharType="begin">
          <w:fldData xml:space="preserve">PEVuZE5vdGU+PENpdGU+PEF1dGhvcj5DdXJyZXk8L0F1dGhvcj48WWVhcj4xOTg0PC9ZZWFyPjxS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==
</w:fldData>
        </w:fldChar>
      </w:r>
      <w:r w:rsidR="0000415D">
        <w:rPr>
          <w:rFonts w:ascii="Arial" w:hAnsi="Arial" w:cs="Arial"/>
          <w:bCs/>
        </w:rPr>
        <w:instrText xml:space="preserve"> ADDIN EN.CITE.DATA </w:instrText>
      </w:r>
      <w:r w:rsidR="0000415D">
        <w:rPr>
          <w:rFonts w:ascii="Arial" w:hAnsi="Arial" w:cs="Arial"/>
          <w:bCs/>
        </w:rPr>
      </w:r>
      <w:r w:rsidR="0000415D">
        <w:rPr>
          <w:rFonts w:ascii="Arial" w:hAnsi="Arial" w:cs="Arial"/>
          <w:bCs/>
        </w:rPr>
        <w:fldChar w:fldCharType="end"/>
      </w:r>
      <w:r w:rsidR="00330FE5">
        <w:rPr>
          <w:rFonts w:ascii="Arial" w:hAnsi="Arial" w:cs="Arial"/>
          <w:bCs/>
        </w:rPr>
      </w:r>
      <w:r w:rsidR="00330FE5">
        <w:rPr>
          <w:rFonts w:ascii="Arial" w:hAnsi="Arial" w:cs="Arial"/>
          <w:bCs/>
        </w:rPr>
        <w:fldChar w:fldCharType="separate"/>
      </w:r>
      <w:r w:rsidR="00330FE5">
        <w:rPr>
          <w:rFonts w:ascii="Arial" w:hAnsi="Arial" w:cs="Arial"/>
          <w:bCs/>
          <w:noProof/>
        </w:rPr>
        <w:t>(Currey, 1984, Rubin and Lanyon, 1984, Lanyon, 1987, Hillam and Skerry, 1995, Hillam et al., 2015)</w:t>
      </w:r>
      <w:r w:rsidR="00330FE5">
        <w:rPr>
          <w:rFonts w:ascii="Arial" w:hAnsi="Arial" w:cs="Arial"/>
          <w:bCs/>
        </w:rPr>
        <w:fldChar w:fldCharType="end"/>
      </w:r>
      <w:r w:rsidR="00E24852">
        <w:rPr>
          <w:rFonts w:ascii="Arial" w:hAnsi="Arial" w:cs="Arial"/>
          <w:bCs/>
        </w:rPr>
        <w:t xml:space="preserve">. </w:t>
      </w:r>
    </w:p>
    <w:p w14:paraId="671448B5" w14:textId="77777777" w:rsidR="008137D9" w:rsidRDefault="008137D9" w:rsidP="00E84848">
      <w:pPr>
        <w:spacing w:line="480" w:lineRule="auto"/>
        <w:jc w:val="both"/>
        <w:rPr>
          <w:rFonts w:ascii="Arial" w:hAnsi="Arial" w:cs="Arial"/>
          <w:bCs/>
        </w:rPr>
      </w:pPr>
    </w:p>
    <w:p w14:paraId="103624E5" w14:textId="77777777" w:rsidR="0022329B" w:rsidRDefault="0022329B" w:rsidP="00E84848">
      <w:pPr>
        <w:spacing w:line="480" w:lineRule="auto"/>
        <w:jc w:val="both"/>
        <w:rPr>
          <w:rFonts w:ascii="Arial" w:hAnsi="Arial" w:cs="Arial"/>
          <w:bCs/>
        </w:rPr>
      </w:pPr>
      <w:r>
        <w:rPr>
          <w:rFonts w:ascii="Arial" w:hAnsi="Arial" w:cs="Arial"/>
          <w:bCs/>
        </w:rPr>
        <w:t xml:space="preserve">Axial compression of murine tibiae is widely used to study strain-related adaptive bone mechanoresponsiveness </w:t>
      </w:r>
      <w:r w:rsidR="00330FE5">
        <w:rPr>
          <w:rFonts w:ascii="Arial" w:hAnsi="Arial" w:cs="Arial"/>
          <w:bCs/>
        </w:rPr>
        <w:fldChar w:fldCharType="begin">
          <w:fldData xml:space="preserve">PEVuZE5vdGU+PENpdGU+PEF1dGhvcj5UdXJuZXI8L0F1dGhvcj48WWVhcj4xOTkxPC9ZZWFyPjxS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</w:fldData>
        </w:fldChar>
      </w:r>
      <w:r w:rsidR="0000415D">
        <w:rPr>
          <w:rFonts w:ascii="Arial" w:hAnsi="Arial" w:cs="Arial"/>
          <w:bCs/>
        </w:rPr>
        <w:instrText xml:space="preserve"> ADDIN EN.CITE </w:instrText>
      </w:r>
      <w:r w:rsidR="0000415D">
        <w:rPr>
          <w:rFonts w:ascii="Arial" w:hAnsi="Arial" w:cs="Arial"/>
          <w:bCs/>
        </w:rPr>
        <w:fldChar w:fldCharType="begin">
          <w:fldData xml:space="preserve">PEVuZE5vdGU+PENpdGU+PEF1dGhvcj5UdXJuZXI8L0F1dGhvcj48WWVhcj4xOTkxPC9ZZWFyPjxS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</w:fldData>
        </w:fldChar>
      </w:r>
      <w:r w:rsidR="0000415D">
        <w:rPr>
          <w:rFonts w:ascii="Arial" w:hAnsi="Arial" w:cs="Arial"/>
          <w:bCs/>
        </w:rPr>
        <w:instrText xml:space="preserve"> ADDIN EN.CITE.DATA </w:instrText>
      </w:r>
      <w:r w:rsidR="0000415D">
        <w:rPr>
          <w:rFonts w:ascii="Arial" w:hAnsi="Arial" w:cs="Arial"/>
          <w:bCs/>
        </w:rPr>
      </w:r>
      <w:r w:rsidR="0000415D">
        <w:rPr>
          <w:rFonts w:ascii="Arial" w:hAnsi="Arial" w:cs="Arial"/>
          <w:bCs/>
        </w:rPr>
        <w:fldChar w:fldCharType="end"/>
      </w:r>
      <w:r w:rsidR="00330FE5">
        <w:rPr>
          <w:rFonts w:ascii="Arial" w:hAnsi="Arial" w:cs="Arial"/>
          <w:bCs/>
        </w:rPr>
      </w:r>
      <w:r w:rsidR="00330FE5">
        <w:rPr>
          <w:rFonts w:ascii="Arial" w:hAnsi="Arial" w:cs="Arial"/>
          <w:bCs/>
        </w:rPr>
        <w:fldChar w:fldCharType="separate"/>
      </w:r>
      <w:r w:rsidR="00330FE5">
        <w:rPr>
          <w:rFonts w:ascii="Arial" w:hAnsi="Arial" w:cs="Arial"/>
          <w:bCs/>
          <w:noProof/>
        </w:rPr>
        <w:t>(Turner et al., 1991, Robling et al., 2001, De Souza et al., 2005a, Fritton et al., 2005)</w:t>
      </w:r>
      <w:r w:rsidR="00330FE5">
        <w:rPr>
          <w:rFonts w:ascii="Arial" w:hAnsi="Arial" w:cs="Arial"/>
          <w:bCs/>
        </w:rPr>
        <w:fldChar w:fldCharType="end"/>
      </w:r>
      <w:r w:rsidR="008137D9">
        <w:rPr>
          <w:rFonts w:ascii="Arial" w:hAnsi="Arial" w:cs="Arial"/>
          <w:bCs/>
        </w:rPr>
        <w:t xml:space="preserve">. </w:t>
      </w:r>
      <w:r w:rsidRPr="002C01FC">
        <w:rPr>
          <w:rFonts w:ascii="Arial" w:hAnsi="Arial" w:cs="Arial"/>
        </w:rPr>
        <w:t xml:space="preserve">Understanding of the relationship between applied axial force and engendered tibial strains is essential because bone’s </w:t>
      </w:r>
      <w:r>
        <w:rPr>
          <w:rFonts w:ascii="Arial" w:hAnsi="Arial" w:cs="Arial"/>
        </w:rPr>
        <w:t xml:space="preserve">adaptive </w:t>
      </w:r>
      <w:r w:rsidRPr="002C01FC">
        <w:rPr>
          <w:rFonts w:ascii="Arial" w:hAnsi="Arial" w:cs="Arial"/>
        </w:rPr>
        <w:t xml:space="preserve">response to loading is correlated to the local strain stimulus </w:t>
      </w:r>
      <w:r w:rsidR="00330FE5">
        <w:rPr>
          <w:rFonts w:ascii="Arial" w:hAnsi="Arial" w:cs="Arial"/>
        </w:rPr>
        <w:fldChar w:fldCharType="begin"/>
      </w:r>
      <w:r w:rsidR="00A108A1">
        <w:rPr>
          <w:rFonts w:ascii="Arial" w:hAnsi="Arial" w:cs="Arial"/>
        </w:rPr>
        <w:instrText xml:space="preserve"> ADDIN EN.CITE &lt;EndNote&gt;&lt;Cite&gt;&lt;Author&gt;Sugiyama&lt;/Author&gt;&lt;Year&gt;2010&lt;/Year&gt;&lt;RecNum&gt;102&lt;/RecNum&gt;&lt;DisplayText&gt;(Sugiyama et al., 2010)&lt;/DisplayText&gt;&lt;record&gt;&lt;rec-number&gt;102&lt;/rec-number&gt;&lt;foreign-keys&gt;&lt;key app="EN" db-id="ae9rewfrpdttrheppfxxv0p4950wpd25r09x" timestamp="1520657862"&gt;102&lt;/key&gt;&lt;key app="ENWeb" db-id=""&gt;0&lt;/key&gt;&lt;/foreign-keys&gt;&lt;ref-type name="Journal Article"&gt;17&lt;/ref-type&gt;&lt;contributors&gt;&lt;authors&gt;&lt;author&gt;Sugiyama, Toshihiro&lt;/author&gt;&lt;author&gt;Price, Joanna S.&lt;/author&gt;&lt;author&gt;Lanyon, Lance E.&lt;/author&gt;&lt;/authors&gt;&lt;/contributors&gt;&lt;titles&gt;&lt;title&gt;Functional adaptation to mechanical loading in both cortical and cancellous bone is controlled locally and is confined to the loaded bones&lt;/title&gt;&lt;secondary-title&gt;Bone&lt;/secondary-title&gt;&lt;/titles&gt;&lt;periodical&gt;&lt;full-title&gt;Bone&lt;/full-title&gt;&lt;/periodical&gt;&lt;pages&gt;314-321&lt;/pages&gt;&lt;volume&gt;46&lt;/volume&gt;&lt;number&gt;2&lt;/number&gt;&lt;keywords&gt;&lt;keyword&gt;Functional Adaptation&lt;/keyword&gt;&lt;keyword&gt;Local Regulation&lt;/keyword&gt;&lt;keyword&gt;Mechanical Loading&lt;/keyword&gt;&lt;keyword&gt;Mouse&lt;/keyword&gt;&lt;keyword&gt;Physiological Strains&lt;/keyword&gt;&lt;/keywords&gt;&lt;dates&gt;&lt;year&gt;2010&lt;/year&gt;&lt;/dates&gt;&lt;isbn&gt;87563282&lt;/isbn&gt;&lt;urls&gt;&lt;/urls&gt;&lt;electronic-resource-num&gt;10.1016/j.bone.2009.08.054&lt;/electronic-resource-num&gt;&lt;/record&gt;&lt;/Cite&gt;&lt;/EndNote&gt;</w:instrText>
      </w:r>
      <w:r w:rsidR="00330FE5">
        <w:rPr>
          <w:rFonts w:ascii="Arial" w:hAnsi="Arial" w:cs="Arial"/>
        </w:rPr>
        <w:fldChar w:fldCharType="separate"/>
      </w:r>
      <w:r w:rsidR="00330FE5">
        <w:rPr>
          <w:rFonts w:ascii="Arial" w:hAnsi="Arial" w:cs="Arial"/>
          <w:noProof/>
        </w:rPr>
        <w:t>(Sugiyama et al., 2010)</w:t>
      </w:r>
      <w:r w:rsidR="00330FE5">
        <w:rPr>
          <w:rFonts w:ascii="Arial" w:hAnsi="Arial" w:cs="Arial"/>
        </w:rPr>
        <w:fldChar w:fldCharType="end"/>
      </w:r>
      <w:r w:rsidR="008137D9">
        <w:rPr>
          <w:rFonts w:ascii="Arial" w:hAnsi="Arial" w:cs="Arial"/>
        </w:rPr>
        <w:t>.</w:t>
      </w:r>
      <w:r>
        <w:rPr>
          <w:rFonts w:ascii="Arial" w:hAnsi="Arial" w:cs="Arial"/>
        </w:rPr>
        <w:t xml:space="preserve"> </w:t>
      </w:r>
      <w:r>
        <w:rPr>
          <w:rFonts w:ascii="Arial" w:hAnsi="Arial" w:cs="Arial"/>
          <w:bCs/>
        </w:rPr>
        <w:t>Undoubtedly, strain magnitude is one of the most important components to engender bone osteogenic response to mechanical loading. Several previous studies demonstrated bone formation-dose response, linear relationship between strain magnitudes and bone formation</w:t>
      </w:r>
      <w:r w:rsidR="00C3117F">
        <w:rPr>
          <w:rFonts w:ascii="Arial" w:hAnsi="Arial" w:cs="Arial"/>
          <w:bCs/>
        </w:rPr>
        <w:t xml:space="preserve"> </w:t>
      </w:r>
      <w:r w:rsidR="00C3117F">
        <w:rPr>
          <w:rFonts w:ascii="Arial" w:hAnsi="Arial" w:cs="Arial"/>
          <w:bCs/>
        </w:rPr>
        <w:fldChar w:fldCharType="begin">
          <w:fldData xml:space="preserve">PEVuZE5vdGU+PENpdGU+PEF1dGhvcj5SdWJpbjwvQXV0aG9yPjxZZWFyPjE5ODU8L1llYXI+PFJl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</w:fldData>
        </w:fldChar>
      </w:r>
      <w:r w:rsidR="00A108A1">
        <w:rPr>
          <w:rFonts w:ascii="Arial" w:hAnsi="Arial" w:cs="Arial"/>
          <w:bCs/>
        </w:rPr>
        <w:instrText xml:space="preserve"> ADDIN EN.CITE </w:instrText>
      </w:r>
      <w:r w:rsidR="00A108A1">
        <w:rPr>
          <w:rFonts w:ascii="Arial" w:hAnsi="Arial" w:cs="Arial"/>
          <w:bCs/>
        </w:rPr>
        <w:fldChar w:fldCharType="begin">
          <w:fldData xml:space="preserve">PEVuZE5vdGU+PENpdGU+PEF1dGhvcj5SdWJpbjwvQXV0aG9yPjxZZWFyPjE5ODU8L1llYXI+PFJl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</w:fldData>
        </w:fldChar>
      </w:r>
      <w:r w:rsidR="00A108A1">
        <w:rPr>
          <w:rFonts w:ascii="Arial" w:hAnsi="Arial" w:cs="Arial"/>
          <w:bCs/>
        </w:rPr>
        <w:instrText xml:space="preserve"> ADDIN EN.CITE.DATA </w:instrText>
      </w:r>
      <w:r w:rsidR="00A108A1">
        <w:rPr>
          <w:rFonts w:ascii="Arial" w:hAnsi="Arial" w:cs="Arial"/>
          <w:bCs/>
        </w:rPr>
      </w:r>
      <w:r w:rsidR="00A108A1">
        <w:rPr>
          <w:rFonts w:ascii="Arial" w:hAnsi="Arial" w:cs="Arial"/>
          <w:bCs/>
        </w:rPr>
        <w:fldChar w:fldCharType="end"/>
      </w:r>
      <w:r w:rsidR="00C3117F">
        <w:rPr>
          <w:rFonts w:ascii="Arial" w:hAnsi="Arial" w:cs="Arial"/>
          <w:bCs/>
        </w:rPr>
      </w:r>
      <w:r w:rsidR="00C3117F">
        <w:rPr>
          <w:rFonts w:ascii="Arial" w:hAnsi="Arial" w:cs="Arial"/>
          <w:bCs/>
        </w:rPr>
        <w:fldChar w:fldCharType="separate"/>
      </w:r>
      <w:r w:rsidR="00C3117F">
        <w:rPr>
          <w:rFonts w:ascii="Arial" w:hAnsi="Arial" w:cs="Arial"/>
          <w:bCs/>
          <w:noProof/>
        </w:rPr>
        <w:t>(Rubin and Lanyon, 1985, Turner et al., 1991, Sugiyama et al., 2012)</w:t>
      </w:r>
      <w:r w:rsidR="00C3117F">
        <w:rPr>
          <w:rFonts w:ascii="Arial" w:hAnsi="Arial" w:cs="Arial"/>
          <w:bCs/>
        </w:rPr>
        <w:fldChar w:fldCharType="end"/>
      </w:r>
      <w:r w:rsidR="00C3117F">
        <w:rPr>
          <w:rFonts w:ascii="Arial" w:hAnsi="Arial" w:cs="Arial"/>
          <w:bCs/>
        </w:rPr>
        <w:t xml:space="preserve">. </w:t>
      </w:r>
      <w:r>
        <w:rPr>
          <w:rFonts w:ascii="Arial" w:hAnsi="Arial" w:cs="Arial"/>
          <w:bCs/>
        </w:rPr>
        <w:t xml:space="preserve">The rate of the change in </w:t>
      </w:r>
      <w:r>
        <w:rPr>
          <w:rFonts w:ascii="Arial" w:hAnsi="Arial" w:cs="Arial"/>
          <w:bCs/>
        </w:rPr>
        <w:lastRenderedPageBreak/>
        <w:t>strain magnitude is also important in engendering adaptive r</w:t>
      </w:r>
      <w:r w:rsidR="000122D0">
        <w:rPr>
          <w:rFonts w:ascii="Arial" w:hAnsi="Arial" w:cs="Arial"/>
          <w:bCs/>
        </w:rPr>
        <w:t>esponse to mechanical loading. A s</w:t>
      </w:r>
      <w:r>
        <w:rPr>
          <w:rFonts w:ascii="Arial" w:hAnsi="Arial" w:cs="Arial"/>
          <w:bCs/>
        </w:rPr>
        <w:t xml:space="preserve">tudy by Turner et </w:t>
      </w:r>
      <w:r w:rsidR="0011773A">
        <w:rPr>
          <w:rFonts w:ascii="Arial" w:hAnsi="Arial" w:cs="Arial"/>
          <w:bCs/>
        </w:rPr>
        <w:t xml:space="preserve">al. </w:t>
      </w:r>
      <w:r>
        <w:rPr>
          <w:rFonts w:ascii="Arial" w:hAnsi="Arial" w:cs="Arial"/>
          <w:bCs/>
        </w:rPr>
        <w:t>demonstrated that the amount of new bone formation was proportional to th</w:t>
      </w:r>
      <w:r w:rsidR="0011773A">
        <w:rPr>
          <w:rFonts w:ascii="Arial" w:hAnsi="Arial" w:cs="Arial"/>
          <w:bCs/>
        </w:rPr>
        <w:t xml:space="preserve">e strain </w:t>
      </w:r>
      <w:r w:rsidR="00E630E1">
        <w:rPr>
          <w:rFonts w:ascii="Arial" w:hAnsi="Arial" w:cs="Arial"/>
          <w:bCs/>
        </w:rPr>
        <w:t xml:space="preserve">rate </w:t>
      </w:r>
      <w:r w:rsidR="0011773A">
        <w:rPr>
          <w:rFonts w:ascii="Arial" w:hAnsi="Arial" w:cs="Arial"/>
          <w:bCs/>
        </w:rPr>
        <w:t xml:space="preserve">in </w:t>
      </w:r>
      <w:r w:rsidR="00E630E1">
        <w:rPr>
          <w:rFonts w:ascii="Arial" w:hAnsi="Arial" w:cs="Arial"/>
          <w:bCs/>
        </w:rPr>
        <w:t xml:space="preserve">the </w:t>
      </w:r>
      <w:r w:rsidR="0011773A">
        <w:rPr>
          <w:rFonts w:ascii="Arial" w:hAnsi="Arial" w:cs="Arial"/>
          <w:bCs/>
        </w:rPr>
        <w:t>bone tissue</w:t>
      </w:r>
      <w:r>
        <w:rPr>
          <w:rFonts w:ascii="Arial" w:hAnsi="Arial" w:cs="Arial"/>
          <w:bCs/>
        </w:rPr>
        <w:t xml:space="preserve"> </w:t>
      </w:r>
      <w:r w:rsidR="0011773A">
        <w:rPr>
          <w:rFonts w:ascii="Arial" w:hAnsi="Arial" w:cs="Arial"/>
          <w:bCs/>
        </w:rPr>
        <w:t>since</w:t>
      </w:r>
      <w:r>
        <w:rPr>
          <w:rFonts w:ascii="Arial" w:hAnsi="Arial" w:cs="Arial"/>
          <w:bCs/>
        </w:rPr>
        <w:t xml:space="preserve"> bone is viscoelastic which biomechanical </w:t>
      </w:r>
      <w:r w:rsidR="0011773A">
        <w:rPr>
          <w:rFonts w:ascii="Arial" w:hAnsi="Arial" w:cs="Arial"/>
          <w:bCs/>
        </w:rPr>
        <w:t>behaviour</w:t>
      </w:r>
      <w:r>
        <w:rPr>
          <w:rFonts w:ascii="Arial" w:hAnsi="Arial" w:cs="Arial"/>
          <w:bCs/>
        </w:rPr>
        <w:t xml:space="preserve"> varies with the rate of </w:t>
      </w:r>
      <w:r w:rsidR="0011773A">
        <w:rPr>
          <w:rFonts w:ascii="Arial" w:hAnsi="Arial" w:cs="Arial"/>
          <w:bCs/>
        </w:rPr>
        <w:t xml:space="preserve">the force </w:t>
      </w:r>
      <w:r>
        <w:rPr>
          <w:rFonts w:ascii="Arial" w:hAnsi="Arial" w:cs="Arial"/>
          <w:bCs/>
        </w:rPr>
        <w:t xml:space="preserve">application </w:t>
      </w:r>
      <w:r w:rsidR="00330FE5">
        <w:rPr>
          <w:rFonts w:ascii="Arial" w:hAnsi="Arial" w:cs="Arial"/>
          <w:bCs/>
        </w:rPr>
        <w:fldChar w:fldCharType="begin"/>
      </w:r>
      <w:r w:rsidR="00A108A1">
        <w:rPr>
          <w:rFonts w:ascii="Arial" w:hAnsi="Arial" w:cs="Arial"/>
          <w:bCs/>
        </w:rPr>
        <w:instrText xml:space="preserve"> ADDIN EN.CITE &lt;EndNote&gt;&lt;Cite&gt;&lt;Author&gt;Turner&lt;/Author&gt;&lt;Year&gt;1995&lt;/Year&gt;&lt;RecNum&gt;436&lt;/RecNum&gt;&lt;DisplayText&gt;(Turner et al., 1995)&lt;/DisplayText&gt;&lt;record&gt;&lt;rec-number&gt;436&lt;/rec-number&gt;&lt;foreign-keys&gt;&lt;key app="EN" db-id="ae9rewfrpdttrheppfxxv0p4950wpd25r09x" timestamp="1520658306"&gt;436&lt;/key&gt;&lt;/foreign-keys&gt;&lt;ref-type name="Journal Article"&gt;17&lt;/ref-type&gt;&lt;contributors&gt;&lt;authors&gt;&lt;author&gt;Turner, C. H.&lt;/author&gt;&lt;author&gt;Owan, I.&lt;/author&gt;&lt;author&gt;Takano, Y.&lt;/author&gt;&lt;/authors&gt;&lt;/contributors&gt;&lt;titles&gt;&lt;title&gt;Mechanotransduction in bone: Role of strain rate&lt;/title&gt;&lt;secondary-title&gt;American Journal of Physiology - Endocrinology and Metabolism&lt;/secondary-title&gt;&lt;/titles&gt;&lt;periodical&gt;&lt;full-title&gt;American Journal of Physiology - Endocrinology and Metabolism&lt;/full-title&gt;&lt;/periodical&gt;&lt;pages&gt;E438-E442&lt;/pages&gt;&lt;volume&gt;269&lt;/volume&gt;&lt;number&gt;3&lt;/number&gt;&lt;keywords&gt;&lt;keyword&gt;Bone Adaptation&lt;/keyword&gt;&lt;keyword&gt;Bone and Bones&lt;/keyword&gt;&lt;keyword&gt;Bone Density&lt;/keyword&gt;&lt;keyword&gt;Histomorphometry&lt;/keyword&gt;&lt;keyword&gt;Rats&lt;/keyword&gt;&lt;/keywords&gt;&lt;dates&gt;&lt;year&gt;1995&lt;/year&gt;&lt;/dates&gt;&lt;isbn&gt;01931849&lt;/isbn&gt;&lt;urls&gt;&lt;/urls&gt;&lt;electronic-resource-num&gt;10.1152/ajpendo.1995.269.3.E438&lt;/electronic-resource-num&gt;&lt;/record&gt;&lt;/Cite&gt;&lt;/EndNote&gt;</w:instrText>
      </w:r>
      <w:r w:rsidR="00330FE5">
        <w:rPr>
          <w:rFonts w:ascii="Arial" w:hAnsi="Arial" w:cs="Arial"/>
          <w:bCs/>
        </w:rPr>
        <w:fldChar w:fldCharType="separate"/>
      </w:r>
      <w:r w:rsidR="00330FE5">
        <w:rPr>
          <w:rFonts w:ascii="Arial" w:hAnsi="Arial" w:cs="Arial"/>
          <w:bCs/>
          <w:noProof/>
        </w:rPr>
        <w:t>(Turner et al., 1995)</w:t>
      </w:r>
      <w:r w:rsidR="00330FE5">
        <w:rPr>
          <w:rFonts w:ascii="Arial" w:hAnsi="Arial" w:cs="Arial"/>
          <w:bCs/>
        </w:rPr>
        <w:fldChar w:fldCharType="end"/>
      </w:r>
      <w:r w:rsidR="0011773A">
        <w:rPr>
          <w:rFonts w:ascii="Arial" w:hAnsi="Arial" w:cs="Arial"/>
          <w:bCs/>
        </w:rPr>
        <w:t>.</w:t>
      </w:r>
      <w:r>
        <w:rPr>
          <w:rFonts w:ascii="Arial" w:hAnsi="Arial" w:cs="Arial"/>
          <w:bCs/>
        </w:rPr>
        <w:t xml:space="preserve"> Using </w:t>
      </w:r>
      <w:r w:rsidR="000122D0">
        <w:rPr>
          <w:rFonts w:ascii="Arial" w:hAnsi="Arial" w:cs="Arial"/>
          <w:bCs/>
        </w:rPr>
        <w:t xml:space="preserve">a </w:t>
      </w:r>
      <w:r>
        <w:rPr>
          <w:rFonts w:ascii="Arial" w:hAnsi="Arial" w:cs="Arial"/>
          <w:bCs/>
        </w:rPr>
        <w:t xml:space="preserve">rat ulna loading model it was shown that high strain rates provide greater osteogenic stimulus engendering 67% greater bone adaptive response to loading compared to the low strain rates </w:t>
      </w:r>
      <w:r w:rsidR="00330FE5">
        <w:rPr>
          <w:rFonts w:ascii="Arial" w:hAnsi="Arial" w:cs="Arial"/>
          <w:bCs/>
        </w:rPr>
        <w:fldChar w:fldCharType="begin"/>
      </w:r>
      <w:r w:rsidR="00A108A1">
        <w:rPr>
          <w:rFonts w:ascii="Arial" w:hAnsi="Arial" w:cs="Arial"/>
          <w:bCs/>
        </w:rPr>
        <w:instrText xml:space="preserve"> ADDIN EN.CITE &lt;EndNote&gt;&lt;Cite&gt;&lt;Author&gt;Mosley&lt;/Author&gt;&lt;Year&gt;1998&lt;/Year&gt;&lt;RecNum&gt;437&lt;/RecNum&gt;&lt;DisplayText&gt;(Mosley and Lanyon, 1998)&lt;/DisplayText&gt;&lt;record&gt;&lt;rec-number&gt;437&lt;/rec-number&gt;&lt;foreign-keys&gt;&lt;key app="EN" db-id="ae9rewfrpdttrheppfxxv0p4950wpd25r09x" timestamp="1520658306"&gt;437&lt;/key&gt;&lt;/foreign-keys&gt;&lt;ref-type name="Journal Article"&gt;17&lt;/ref-type&gt;&lt;contributors&gt;&lt;authors&gt;&lt;author&gt;Mosley, J. R.&lt;/author&gt;&lt;author&gt;Lanyon, L. E.&lt;/author&gt;&lt;/authors&gt;&lt;/contributors&gt;&lt;titles&gt;&lt;title&gt;Strain rate as a controlling influence on adaptive modeling in response to dynamic loading of the ulna in growing male rats&lt;/title&gt;&lt;secondary-title&gt;Bone&lt;/secondary-title&gt;&lt;/titles&gt;&lt;periodical&gt;&lt;full-title&gt;Bone&lt;/full-title&gt;&lt;/periodical&gt;&lt;pages&gt;313-318&lt;/pages&gt;&lt;volume&gt;23&lt;/volume&gt;&lt;number&gt;4&lt;/number&gt;&lt;keywords&gt;&lt;keyword&gt;Strain Rate&lt;/keyword&gt;&lt;keyword&gt;Mechanical Strain&lt;/keyword&gt;&lt;keyword&gt;Mechanical Load&lt;/keyword&gt;&lt;keyword&gt;Cortical Bone&lt;/keyword&gt;&lt;keyword&gt;Bone Modeling&lt;/keyword&gt;&lt;keyword&gt;Rat Ulna&lt;/keyword&gt;&lt;/keywords&gt;&lt;dates&gt;&lt;year&gt;1998&lt;/year&gt;&lt;/dates&gt;&lt;isbn&gt;8756-3282&lt;/isbn&gt;&lt;urls&gt;&lt;/urls&gt;&lt;electronic-resource-num&gt;10.1016/S8756-3282(98)00113-6&lt;/electronic-resource-num&gt;&lt;/record&gt;&lt;/Cite&gt;&lt;/EndNote&gt;</w:instrText>
      </w:r>
      <w:r w:rsidR="00330FE5">
        <w:rPr>
          <w:rFonts w:ascii="Arial" w:hAnsi="Arial" w:cs="Arial"/>
          <w:bCs/>
        </w:rPr>
        <w:fldChar w:fldCharType="separate"/>
      </w:r>
      <w:r w:rsidR="00330FE5">
        <w:rPr>
          <w:rFonts w:ascii="Arial" w:hAnsi="Arial" w:cs="Arial"/>
          <w:bCs/>
          <w:noProof/>
        </w:rPr>
        <w:t>(Mosley and Lanyon, 1998)</w:t>
      </w:r>
      <w:r w:rsidR="00330FE5">
        <w:rPr>
          <w:rFonts w:ascii="Arial" w:hAnsi="Arial" w:cs="Arial"/>
          <w:bCs/>
        </w:rPr>
        <w:fldChar w:fldCharType="end"/>
      </w:r>
      <w:r w:rsidR="008E2BD4">
        <w:rPr>
          <w:rFonts w:ascii="Arial" w:hAnsi="Arial" w:cs="Arial"/>
          <w:bCs/>
        </w:rPr>
        <w:t>.</w:t>
      </w:r>
      <w:r>
        <w:rPr>
          <w:rFonts w:ascii="Arial" w:hAnsi="Arial" w:cs="Arial"/>
          <w:bCs/>
        </w:rPr>
        <w:t xml:space="preserve"> The spatial strain patterns and distribution were further </w:t>
      </w:r>
      <w:r w:rsidR="008E2BD4">
        <w:rPr>
          <w:rFonts w:ascii="Arial" w:hAnsi="Arial" w:cs="Arial"/>
          <w:bCs/>
        </w:rPr>
        <w:t>expounded</w:t>
      </w:r>
      <w:r>
        <w:rPr>
          <w:rFonts w:ascii="Arial" w:hAnsi="Arial" w:cs="Arial"/>
          <w:bCs/>
        </w:rPr>
        <w:t xml:space="preserve"> from the strain gauge measurements </w:t>
      </w:r>
      <w:r w:rsidR="00330FE5">
        <w:rPr>
          <w:rFonts w:ascii="Arial" w:hAnsi="Arial" w:cs="Arial"/>
          <w:bCs/>
        </w:rPr>
        <w:fldChar w:fldCharType="begin">
          <w:fldData xml:space="preserve">PEVuZE5vdGU+PENpdGU+PEF1dGhvcj5EZSBTb3V6YTwvQXV0aG9yPjxZZWFyPjIwMDU8L1llYXI+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</w:fldData>
        </w:fldChar>
      </w:r>
      <w:r w:rsidR="00A108A1">
        <w:rPr>
          <w:rFonts w:ascii="Arial" w:hAnsi="Arial" w:cs="Arial"/>
          <w:bCs/>
        </w:rPr>
        <w:instrText xml:space="preserve"> ADDIN EN.CITE </w:instrText>
      </w:r>
      <w:r w:rsidR="00A108A1">
        <w:rPr>
          <w:rFonts w:ascii="Arial" w:hAnsi="Arial" w:cs="Arial"/>
          <w:bCs/>
        </w:rPr>
        <w:fldChar w:fldCharType="begin">
          <w:fldData xml:space="preserve">PEVuZE5vdGU+PENpdGU+PEF1dGhvcj5EZSBTb3V6YTwvQXV0aG9yPjxZZWFyPjIwMDU8L1llYXI+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</w:fldData>
        </w:fldChar>
      </w:r>
      <w:r w:rsidR="00A108A1">
        <w:rPr>
          <w:rFonts w:ascii="Arial" w:hAnsi="Arial" w:cs="Arial"/>
          <w:bCs/>
        </w:rPr>
        <w:instrText xml:space="preserve"> ADDIN EN.CITE.DATA </w:instrText>
      </w:r>
      <w:r w:rsidR="00A108A1">
        <w:rPr>
          <w:rFonts w:ascii="Arial" w:hAnsi="Arial" w:cs="Arial"/>
          <w:bCs/>
        </w:rPr>
      </w:r>
      <w:r w:rsidR="00A108A1">
        <w:rPr>
          <w:rFonts w:ascii="Arial" w:hAnsi="Arial" w:cs="Arial"/>
          <w:bCs/>
        </w:rPr>
        <w:fldChar w:fldCharType="end"/>
      </w:r>
      <w:r w:rsidR="00330FE5">
        <w:rPr>
          <w:rFonts w:ascii="Arial" w:hAnsi="Arial" w:cs="Arial"/>
          <w:bCs/>
        </w:rPr>
      </w:r>
      <w:r w:rsidR="00330FE5">
        <w:rPr>
          <w:rFonts w:ascii="Arial" w:hAnsi="Arial" w:cs="Arial"/>
          <w:bCs/>
        </w:rPr>
        <w:fldChar w:fldCharType="separate"/>
      </w:r>
      <w:r w:rsidR="00330FE5">
        <w:rPr>
          <w:rFonts w:ascii="Arial" w:hAnsi="Arial" w:cs="Arial"/>
          <w:bCs/>
          <w:noProof/>
        </w:rPr>
        <w:t>(De Souza et al., 2005a, Brodt and Silva, 2010)</w:t>
      </w:r>
      <w:r w:rsidR="00330FE5">
        <w:rPr>
          <w:rFonts w:ascii="Arial" w:hAnsi="Arial" w:cs="Arial"/>
          <w:bCs/>
        </w:rPr>
        <w:fldChar w:fldCharType="end"/>
      </w:r>
      <w:r>
        <w:rPr>
          <w:rFonts w:ascii="Arial" w:hAnsi="Arial" w:cs="Arial"/>
          <w:bCs/>
        </w:rPr>
        <w:t xml:space="preserve"> and finite element analysis </w:t>
      </w:r>
      <w:r w:rsidR="00330FE5">
        <w:rPr>
          <w:rFonts w:ascii="Arial" w:hAnsi="Arial" w:cs="Arial"/>
          <w:bCs/>
        </w:rPr>
        <w:fldChar w:fldCharType="begin">
          <w:fldData xml:space="preserve">PEVuZE5vdGU+PENpdGU+PEF1dGhvcj5Nb3VzdGFmYTwvQXV0aG9yPjxZZWFyPjIwMTI8L1llYXI+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</w:fldData>
        </w:fldChar>
      </w:r>
      <w:r w:rsidR="0000415D">
        <w:rPr>
          <w:rFonts w:ascii="Arial" w:hAnsi="Arial" w:cs="Arial"/>
          <w:bCs/>
        </w:rPr>
        <w:instrText xml:space="preserve"> ADDIN EN.CITE </w:instrText>
      </w:r>
      <w:r w:rsidR="0000415D">
        <w:rPr>
          <w:rFonts w:ascii="Arial" w:hAnsi="Arial" w:cs="Arial"/>
          <w:bCs/>
        </w:rPr>
        <w:fldChar w:fldCharType="begin">
          <w:fldData xml:space="preserve">PEVuZE5vdGU+PENpdGU+PEF1dGhvcj5Nb3VzdGFmYTwvQXV0aG9yPjxZZWFyPjIwMTI8L1llYXI+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</w:fldData>
        </w:fldChar>
      </w:r>
      <w:r w:rsidR="0000415D">
        <w:rPr>
          <w:rFonts w:ascii="Arial" w:hAnsi="Arial" w:cs="Arial"/>
          <w:bCs/>
        </w:rPr>
        <w:instrText xml:space="preserve"> ADDIN EN.CITE.DATA </w:instrText>
      </w:r>
      <w:r w:rsidR="0000415D">
        <w:rPr>
          <w:rFonts w:ascii="Arial" w:hAnsi="Arial" w:cs="Arial"/>
          <w:bCs/>
        </w:rPr>
      </w:r>
      <w:r w:rsidR="0000415D">
        <w:rPr>
          <w:rFonts w:ascii="Arial" w:hAnsi="Arial" w:cs="Arial"/>
          <w:bCs/>
        </w:rPr>
        <w:fldChar w:fldCharType="end"/>
      </w:r>
      <w:r w:rsidR="00330FE5">
        <w:rPr>
          <w:rFonts w:ascii="Arial" w:hAnsi="Arial" w:cs="Arial"/>
          <w:bCs/>
        </w:rPr>
      </w:r>
      <w:r w:rsidR="00330FE5">
        <w:rPr>
          <w:rFonts w:ascii="Arial" w:hAnsi="Arial" w:cs="Arial"/>
          <w:bCs/>
        </w:rPr>
        <w:fldChar w:fldCharType="separate"/>
      </w:r>
      <w:r w:rsidR="00330FE5">
        <w:rPr>
          <w:rFonts w:ascii="Arial" w:hAnsi="Arial" w:cs="Arial"/>
          <w:bCs/>
          <w:noProof/>
        </w:rPr>
        <w:t>(Moustafa et al., 2012, Willie et al., 2013)</w:t>
      </w:r>
      <w:r w:rsidR="00330FE5">
        <w:rPr>
          <w:rFonts w:ascii="Arial" w:hAnsi="Arial" w:cs="Arial"/>
          <w:bCs/>
        </w:rPr>
        <w:fldChar w:fldCharType="end"/>
      </w:r>
      <w:r w:rsidR="00AC639D">
        <w:rPr>
          <w:rFonts w:ascii="Arial" w:hAnsi="Arial" w:cs="Arial"/>
          <w:bCs/>
        </w:rPr>
        <w:t xml:space="preserve">. </w:t>
      </w:r>
      <w:r>
        <w:rPr>
          <w:rFonts w:ascii="Arial" w:hAnsi="Arial" w:cs="Arial"/>
          <w:bCs/>
        </w:rPr>
        <w:t xml:space="preserve">These studies specify that axial loading </w:t>
      </w:r>
      <w:proofErr w:type="gramStart"/>
      <w:r>
        <w:rPr>
          <w:rFonts w:ascii="Arial" w:hAnsi="Arial" w:cs="Arial"/>
          <w:bCs/>
        </w:rPr>
        <w:t>generates</w:t>
      </w:r>
      <w:proofErr w:type="gramEnd"/>
      <w:r>
        <w:rPr>
          <w:rFonts w:ascii="Arial" w:hAnsi="Arial" w:cs="Arial"/>
          <w:bCs/>
        </w:rPr>
        <w:t xml:space="preserve"> com</w:t>
      </w:r>
      <w:r w:rsidR="00AC639D">
        <w:rPr>
          <w:rFonts w:ascii="Arial" w:hAnsi="Arial" w:cs="Arial"/>
          <w:bCs/>
        </w:rPr>
        <w:t>pression and bending in the mid-</w:t>
      </w:r>
      <w:r>
        <w:rPr>
          <w:rFonts w:ascii="Arial" w:hAnsi="Arial" w:cs="Arial"/>
          <w:bCs/>
        </w:rPr>
        <w:t>diaphysis of the long b</w:t>
      </w:r>
      <w:r w:rsidR="00AC639D">
        <w:rPr>
          <w:rFonts w:ascii="Arial" w:hAnsi="Arial" w:cs="Arial"/>
          <w:bCs/>
        </w:rPr>
        <w:t>ones with tension-to-</w:t>
      </w:r>
      <w:r>
        <w:rPr>
          <w:rFonts w:ascii="Arial" w:hAnsi="Arial" w:cs="Arial"/>
          <w:bCs/>
        </w:rPr>
        <w:t xml:space="preserve">compression strain gradient from the antero-medial to postero-lateral surfaces of the tibial cross section. </w:t>
      </w:r>
    </w:p>
    <w:p w14:paraId="08321034" w14:textId="77777777" w:rsidR="00AC639D" w:rsidRDefault="00AC639D" w:rsidP="00E84848">
      <w:pPr>
        <w:spacing w:line="480" w:lineRule="auto"/>
        <w:jc w:val="both"/>
        <w:rPr>
          <w:rFonts w:ascii="Arial" w:hAnsi="Arial" w:cs="Arial"/>
          <w:bCs/>
        </w:rPr>
      </w:pPr>
    </w:p>
    <w:p w14:paraId="03A45869" w14:textId="77777777" w:rsidR="006A0934" w:rsidRDefault="00C76C62" w:rsidP="0022329B">
      <w:pPr>
        <w:widowControl w:val="0"/>
        <w:autoSpaceDE w:val="0"/>
        <w:autoSpaceDN w:val="0"/>
        <w:adjustRightInd w:val="0"/>
        <w:spacing w:after="240" w:line="480" w:lineRule="auto"/>
        <w:jc w:val="both"/>
        <w:rPr>
          <w:rFonts w:ascii="Arial" w:hAnsi="Arial" w:cs="Arial"/>
          <w:bCs/>
        </w:rPr>
      </w:pPr>
      <w:r>
        <w:rPr>
          <w:rFonts w:ascii="Arial" w:hAnsi="Arial" w:cs="Arial"/>
          <w:bCs/>
        </w:rPr>
        <w:t>A n</w:t>
      </w:r>
      <w:r w:rsidR="002A6D5C">
        <w:rPr>
          <w:rFonts w:ascii="Arial" w:hAnsi="Arial" w:cs="Arial"/>
          <w:bCs/>
        </w:rPr>
        <w:t>umber of</w:t>
      </w:r>
      <w:r w:rsidR="0022329B">
        <w:rPr>
          <w:rFonts w:ascii="Arial" w:hAnsi="Arial" w:cs="Arial"/>
          <w:bCs/>
        </w:rPr>
        <w:t xml:space="preserve"> biomechanical parameters </w:t>
      </w:r>
      <w:r w:rsidR="00FC251F">
        <w:rPr>
          <w:rFonts w:ascii="Arial" w:hAnsi="Arial" w:cs="Arial"/>
          <w:bCs/>
        </w:rPr>
        <w:t>are</w:t>
      </w:r>
      <w:r w:rsidR="00707759">
        <w:rPr>
          <w:rFonts w:ascii="Arial" w:hAnsi="Arial" w:cs="Arial"/>
          <w:bCs/>
        </w:rPr>
        <w:t xml:space="preserve"> used to characteris</w:t>
      </w:r>
      <w:r w:rsidR="0022329B">
        <w:rPr>
          <w:rFonts w:ascii="Arial" w:hAnsi="Arial" w:cs="Arial"/>
          <w:bCs/>
        </w:rPr>
        <w:t>e the integrity of the bone. Whole bone s</w:t>
      </w:r>
      <w:r w:rsidR="002A6D5C">
        <w:rPr>
          <w:rFonts w:ascii="Arial" w:hAnsi="Arial" w:cs="Arial"/>
          <w:bCs/>
        </w:rPr>
        <w:t>tiffness or rigidity characteris</w:t>
      </w:r>
      <w:r w:rsidR="0022329B">
        <w:rPr>
          <w:rFonts w:ascii="Arial" w:hAnsi="Arial" w:cs="Arial"/>
          <w:bCs/>
        </w:rPr>
        <w:t>es how much the entire bone deforms when loaded. The relationship between stress (loading) and strain (deformation) in bone follow</w:t>
      </w:r>
      <w:r w:rsidR="007667F2">
        <w:rPr>
          <w:rFonts w:ascii="Arial" w:hAnsi="Arial" w:cs="Arial"/>
          <w:bCs/>
        </w:rPr>
        <w:t>s the stress-strain curve. S</w:t>
      </w:r>
      <w:r w:rsidR="0022329B">
        <w:rPr>
          <w:rFonts w:ascii="Arial" w:hAnsi="Arial" w:cs="Arial"/>
          <w:bCs/>
        </w:rPr>
        <w:t>lop of the curve, called the elastic or Young’s modulus (</w:t>
      </w:r>
      <w:r w:rsidR="0022329B" w:rsidRPr="001A7B64">
        <w:rPr>
          <w:rFonts w:ascii="Arial" w:hAnsi="Arial" w:cs="Arial"/>
          <w:bCs/>
          <w:i/>
        </w:rPr>
        <w:t>E</w:t>
      </w:r>
      <w:r w:rsidR="0022329B">
        <w:rPr>
          <w:rFonts w:ascii="Arial" w:hAnsi="Arial" w:cs="Arial"/>
          <w:bCs/>
        </w:rPr>
        <w:t>), is a measure of the intrinsic stiffness of the material, which assesses the resistance of the bone tissue to deformation when loaded. The moment of inertia (I</w:t>
      </w:r>
      <w:r w:rsidR="0022329B">
        <w:rPr>
          <w:rFonts w:ascii="Arial" w:hAnsi="Arial" w:cs="Arial"/>
          <w:bCs/>
          <w:vertAlign w:val="subscript"/>
        </w:rPr>
        <w:t>MAX</w:t>
      </w:r>
      <w:r w:rsidR="0022329B">
        <w:rPr>
          <w:rFonts w:ascii="Arial" w:hAnsi="Arial" w:cs="Arial"/>
          <w:bCs/>
        </w:rPr>
        <w:t>, I</w:t>
      </w:r>
      <w:r w:rsidR="0022329B">
        <w:rPr>
          <w:rFonts w:ascii="Arial" w:hAnsi="Arial" w:cs="Arial"/>
          <w:bCs/>
          <w:vertAlign w:val="subscript"/>
        </w:rPr>
        <w:t>MIN</w:t>
      </w:r>
      <w:r w:rsidR="0022329B">
        <w:rPr>
          <w:rFonts w:ascii="Arial" w:hAnsi="Arial" w:cs="Arial"/>
          <w:bCs/>
        </w:rPr>
        <w:t xml:space="preserve">) describes the geometric contribution of the bone to resisting bending and measures the spacial distribution of the bone tissue about the neutral axis </w:t>
      </w:r>
      <w:r w:rsidR="00330FE5">
        <w:rPr>
          <w:rFonts w:ascii="Arial" w:hAnsi="Arial" w:cs="Arial"/>
          <w:bCs/>
        </w:rPr>
        <w:fldChar w:fldCharType="begin">
          <w:fldData xml:space="preserve">PEVuZE5vdGU+PENpdGU+PEF1dGhvcj5UdXJuZXI8L0F1dGhvcj48WWVhcj4yMDA2PC9ZZWFyPjxS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</w:fldData>
        </w:fldChar>
      </w:r>
      <w:r w:rsidR="00A108A1">
        <w:rPr>
          <w:rFonts w:ascii="Arial" w:hAnsi="Arial" w:cs="Arial"/>
          <w:bCs/>
        </w:rPr>
        <w:instrText xml:space="preserve"> ADDIN EN.CITE </w:instrText>
      </w:r>
      <w:r w:rsidR="00A108A1">
        <w:rPr>
          <w:rFonts w:ascii="Arial" w:hAnsi="Arial" w:cs="Arial"/>
          <w:bCs/>
        </w:rPr>
        <w:fldChar w:fldCharType="begin">
          <w:fldData xml:space="preserve">PEVuZE5vdGU+PENpdGU+PEF1dGhvcj5UdXJuZXI8L0F1dGhvcj48WWVhcj4yMDA2PC9ZZWFyPjxS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</w:fldData>
        </w:fldChar>
      </w:r>
      <w:r w:rsidR="00A108A1">
        <w:rPr>
          <w:rFonts w:ascii="Arial" w:hAnsi="Arial" w:cs="Arial"/>
          <w:bCs/>
        </w:rPr>
        <w:instrText xml:space="preserve"> ADDIN EN.CITE.DATA </w:instrText>
      </w:r>
      <w:r w:rsidR="00A108A1">
        <w:rPr>
          <w:rFonts w:ascii="Arial" w:hAnsi="Arial" w:cs="Arial"/>
          <w:bCs/>
        </w:rPr>
      </w:r>
      <w:r w:rsidR="00A108A1">
        <w:rPr>
          <w:rFonts w:ascii="Arial" w:hAnsi="Arial" w:cs="Arial"/>
          <w:bCs/>
        </w:rPr>
        <w:fldChar w:fldCharType="end"/>
      </w:r>
      <w:r w:rsidR="00330FE5">
        <w:rPr>
          <w:rFonts w:ascii="Arial" w:hAnsi="Arial" w:cs="Arial"/>
          <w:bCs/>
        </w:rPr>
      </w:r>
      <w:r w:rsidR="00330FE5">
        <w:rPr>
          <w:rFonts w:ascii="Arial" w:hAnsi="Arial" w:cs="Arial"/>
          <w:bCs/>
        </w:rPr>
        <w:fldChar w:fldCharType="separate"/>
      </w:r>
      <w:r w:rsidR="00330FE5">
        <w:rPr>
          <w:rFonts w:ascii="Arial" w:hAnsi="Arial" w:cs="Arial"/>
          <w:bCs/>
          <w:noProof/>
        </w:rPr>
        <w:t>(Turner, 2006, Main et al., 2010, Jepsen et al., 2015)</w:t>
      </w:r>
      <w:r w:rsidR="00330FE5">
        <w:rPr>
          <w:rFonts w:ascii="Arial" w:hAnsi="Arial" w:cs="Arial"/>
          <w:bCs/>
        </w:rPr>
        <w:fldChar w:fldCharType="end"/>
      </w:r>
      <w:r w:rsidR="004220A7">
        <w:rPr>
          <w:rFonts w:ascii="Arial" w:hAnsi="Arial" w:cs="Arial"/>
          <w:bCs/>
        </w:rPr>
        <w:t xml:space="preserve">. </w:t>
      </w:r>
      <w:r w:rsidR="0022329B">
        <w:rPr>
          <w:rFonts w:ascii="Arial" w:hAnsi="Arial" w:cs="Arial"/>
          <w:bCs/>
        </w:rPr>
        <w:t xml:space="preserve">The effect of age on these parameters is discussed </w:t>
      </w:r>
      <w:r w:rsidR="007667F2">
        <w:rPr>
          <w:rFonts w:ascii="Arial" w:hAnsi="Arial" w:cs="Arial"/>
          <w:bCs/>
        </w:rPr>
        <w:t>in more detail</w:t>
      </w:r>
      <w:r w:rsidR="0022329B">
        <w:rPr>
          <w:rFonts w:ascii="Arial" w:hAnsi="Arial" w:cs="Arial"/>
          <w:bCs/>
        </w:rPr>
        <w:t xml:space="preserve"> within the </w:t>
      </w:r>
      <w:r w:rsidR="00B43999">
        <w:rPr>
          <w:rFonts w:ascii="Arial" w:hAnsi="Arial" w:cs="Arial"/>
          <w:bCs/>
        </w:rPr>
        <w:t xml:space="preserve">next </w:t>
      </w:r>
      <w:r w:rsidR="00D43AF5">
        <w:rPr>
          <w:rFonts w:ascii="Arial" w:hAnsi="Arial" w:cs="Arial"/>
          <w:bCs/>
        </w:rPr>
        <w:t>C</w:t>
      </w:r>
      <w:r w:rsidR="0022329B">
        <w:rPr>
          <w:rFonts w:ascii="Arial" w:hAnsi="Arial" w:cs="Arial"/>
          <w:bCs/>
        </w:rPr>
        <w:t>hapter</w:t>
      </w:r>
      <w:r w:rsidR="00B43999">
        <w:rPr>
          <w:rFonts w:ascii="Arial" w:hAnsi="Arial" w:cs="Arial"/>
          <w:bCs/>
        </w:rPr>
        <w:t xml:space="preserve"> 6</w:t>
      </w:r>
      <w:r w:rsidR="0022329B">
        <w:rPr>
          <w:rFonts w:ascii="Arial" w:hAnsi="Arial" w:cs="Arial"/>
          <w:bCs/>
        </w:rPr>
        <w:t xml:space="preserve">. The cortical bone area is the most relevant morphological parameter to the mechanical test that correlates with stiffness, moment of inertia and maximum load achieved before fracture </w:t>
      </w:r>
      <w:r w:rsidR="00330FE5">
        <w:rPr>
          <w:rFonts w:ascii="Arial" w:hAnsi="Arial" w:cs="Arial"/>
          <w:bCs/>
        </w:rPr>
        <w:fldChar w:fldCharType="begin">
          <w:fldData xml:space="preserve">PEVuZE5vdGU+PENpdGU+PEF1dGhvcj5WYXNoaXNodGg8L0F1dGhvcj48WWVhcj4yMDAwPC9ZZWFy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==
</w:fldData>
        </w:fldChar>
      </w:r>
      <w:r w:rsidR="00A108A1">
        <w:rPr>
          <w:rFonts w:ascii="Arial" w:hAnsi="Arial" w:cs="Arial"/>
          <w:bCs/>
        </w:rPr>
        <w:instrText xml:space="preserve"> ADDIN EN.CITE </w:instrText>
      </w:r>
      <w:r w:rsidR="00A108A1">
        <w:rPr>
          <w:rFonts w:ascii="Arial" w:hAnsi="Arial" w:cs="Arial"/>
          <w:bCs/>
        </w:rPr>
        <w:fldChar w:fldCharType="begin">
          <w:fldData xml:space="preserve">PEVuZE5vdGU+PENpdGU+PEF1dGhvcj5WYXNoaXNodGg8L0F1dGhvcj48WWVhcj4yMDAwPC9ZZWFy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==
</w:fldData>
        </w:fldChar>
      </w:r>
      <w:r w:rsidR="00A108A1">
        <w:rPr>
          <w:rFonts w:ascii="Arial" w:hAnsi="Arial" w:cs="Arial"/>
          <w:bCs/>
        </w:rPr>
        <w:instrText xml:space="preserve"> ADDIN EN.CITE.DATA </w:instrText>
      </w:r>
      <w:r w:rsidR="00A108A1">
        <w:rPr>
          <w:rFonts w:ascii="Arial" w:hAnsi="Arial" w:cs="Arial"/>
          <w:bCs/>
        </w:rPr>
      </w:r>
      <w:r w:rsidR="00A108A1">
        <w:rPr>
          <w:rFonts w:ascii="Arial" w:hAnsi="Arial" w:cs="Arial"/>
          <w:bCs/>
        </w:rPr>
        <w:fldChar w:fldCharType="end"/>
      </w:r>
      <w:r w:rsidR="00330FE5">
        <w:rPr>
          <w:rFonts w:ascii="Arial" w:hAnsi="Arial" w:cs="Arial"/>
          <w:bCs/>
        </w:rPr>
      </w:r>
      <w:r w:rsidR="00330FE5">
        <w:rPr>
          <w:rFonts w:ascii="Arial" w:hAnsi="Arial" w:cs="Arial"/>
          <w:bCs/>
        </w:rPr>
        <w:fldChar w:fldCharType="separate"/>
      </w:r>
      <w:r w:rsidR="00330FE5">
        <w:rPr>
          <w:rFonts w:ascii="Arial" w:hAnsi="Arial" w:cs="Arial"/>
          <w:bCs/>
          <w:noProof/>
        </w:rPr>
        <w:t>(Vashishth et al., 2000, Jepsen et al., 2015)</w:t>
      </w:r>
      <w:r w:rsidR="00330FE5">
        <w:rPr>
          <w:rFonts w:ascii="Arial" w:hAnsi="Arial" w:cs="Arial"/>
          <w:bCs/>
        </w:rPr>
        <w:fldChar w:fldCharType="end"/>
      </w:r>
      <w:r w:rsidR="00B56203">
        <w:rPr>
          <w:rFonts w:ascii="Arial" w:hAnsi="Arial" w:cs="Arial"/>
          <w:bCs/>
        </w:rPr>
        <w:t xml:space="preserve">. </w:t>
      </w:r>
      <w:r w:rsidR="0022329B">
        <w:rPr>
          <w:rFonts w:ascii="Arial" w:hAnsi="Arial" w:cs="Arial"/>
          <w:bCs/>
        </w:rPr>
        <w:t xml:space="preserve">Quantification of the newly formed cortical bone area of young C57BL/J6 mouse tibiae </w:t>
      </w:r>
      <w:r w:rsidR="0022329B">
        <w:rPr>
          <w:rFonts w:ascii="Arial" w:hAnsi="Arial" w:cs="Arial"/>
          <w:bCs/>
        </w:rPr>
        <w:lastRenderedPageBreak/>
        <w:t>revealed load-magnitude dependent increase in cortical bone formation predominantly on the periosteum consis</w:t>
      </w:r>
      <w:r w:rsidR="00B56203">
        <w:rPr>
          <w:rFonts w:ascii="Arial" w:hAnsi="Arial" w:cs="Arial"/>
          <w:bCs/>
        </w:rPr>
        <w:t>tent with our findings (Figure 39</w:t>
      </w:r>
      <w:r w:rsidR="0022329B">
        <w:rPr>
          <w:rFonts w:ascii="Arial" w:hAnsi="Arial" w:cs="Arial"/>
          <w:bCs/>
        </w:rPr>
        <w:t xml:space="preserve">) </w:t>
      </w:r>
      <w:r w:rsidR="00330FE5">
        <w:rPr>
          <w:rFonts w:ascii="Arial" w:hAnsi="Arial" w:cs="Arial"/>
          <w:bCs/>
        </w:rPr>
        <w:fldChar w:fldCharType="begin"/>
      </w:r>
      <w:r w:rsidR="00A108A1">
        <w:rPr>
          <w:rFonts w:ascii="Arial" w:hAnsi="Arial" w:cs="Arial"/>
          <w:bCs/>
        </w:rPr>
        <w:instrText xml:space="preserve"> ADDIN EN.CITE &lt;EndNote&gt;&lt;Cite&gt;&lt;Author&gt;De Souza&lt;/Author&gt;&lt;Year&gt;2005&lt;/Year&gt;&lt;RecNum&gt;500&lt;/RecNum&gt;&lt;DisplayText&gt;(De Souza et al., 2005a)&lt;/DisplayText&gt;&lt;record&gt;&lt;rec-number&gt;500&lt;/rec-number&gt;&lt;foreign-keys&gt;&lt;key app="EN" db-id="ae9rewfrpdttrheppfxxv0p4950wpd25r09x" timestamp="1520658309"&gt;500&lt;/key&gt;&lt;key app="ENWeb" db-id=""&gt;0&lt;/key&gt;&lt;/foreign-keys&gt;&lt;ref-type name="Journal Article"&gt;17&lt;/ref-type&gt;&lt;contributors&gt;&lt;authors&gt;&lt;author&gt;De Souza, Roberto L.&lt;/author&gt;&lt;author&gt;Matsuura, Maiko&lt;/author&gt;&lt;author&gt;Eckstein, Felix&lt;/author&gt;&lt;author&gt;Rawlinson, Simon C. F.&lt;/author&gt;&lt;author&gt;Lanyon, Lance E.&lt;/author&gt;&lt;author&gt;Pitsillides, Andrew A.&lt;/author&gt;&lt;/authors&gt;&lt;/contributors&gt;&lt;titles&gt;&lt;title&gt;Non- invasive axial loading of mouse tibiae increases cortical bone formation and modifies trabecular organization: A new model to study cortical and cancellous compartments in a single loaded element&lt;/title&gt;&lt;secondary-title&gt;Bone&lt;/secondary-title&gt;&lt;/titles&gt;&lt;periodical&gt;&lt;full-title&gt;Bone&lt;/full-title&gt;&lt;/periodical&gt;&lt;pages&gt;810-818&lt;/pages&gt;&lt;volume&gt;37&lt;/volume&gt;&lt;number&gt;6&lt;/number&gt;&lt;keywords&gt;&lt;keyword&gt;Mouse&lt;/keyword&gt;&lt;keyword&gt;Mechanical loading&lt;/keyword&gt;&lt;keyword&gt;Cortical bone&lt;/keyword&gt;&lt;keyword&gt;Cancellous bone&lt;/keyword&gt;&lt;keyword&gt;Adaptation&lt;/keyword&gt;&lt;/keywords&gt;&lt;dates&gt;&lt;year&gt;2005&lt;/year&gt;&lt;/dates&gt;&lt;isbn&gt;8756-3282&lt;/isbn&gt;&lt;urls&gt;&lt;/urls&gt;&lt;electronic-resource-num&gt;10.1016/j.bone.2005.07.022&lt;/electronic-resource-num&gt;&lt;/record&gt;&lt;/Cite&gt;&lt;/EndNote&gt;</w:instrText>
      </w:r>
      <w:r w:rsidR="00330FE5">
        <w:rPr>
          <w:rFonts w:ascii="Arial" w:hAnsi="Arial" w:cs="Arial"/>
          <w:bCs/>
        </w:rPr>
        <w:fldChar w:fldCharType="separate"/>
      </w:r>
      <w:r w:rsidR="00330FE5">
        <w:rPr>
          <w:rFonts w:ascii="Arial" w:hAnsi="Arial" w:cs="Arial"/>
          <w:bCs/>
          <w:noProof/>
        </w:rPr>
        <w:t>(De Souza et al., 2005a)</w:t>
      </w:r>
      <w:r w:rsidR="00330FE5">
        <w:rPr>
          <w:rFonts w:ascii="Arial" w:hAnsi="Arial" w:cs="Arial"/>
          <w:bCs/>
        </w:rPr>
        <w:fldChar w:fldCharType="end"/>
      </w:r>
      <w:r w:rsidR="00B56203">
        <w:rPr>
          <w:rFonts w:ascii="Arial" w:hAnsi="Arial" w:cs="Arial"/>
          <w:bCs/>
        </w:rPr>
        <w:t xml:space="preserve">. </w:t>
      </w:r>
      <w:r w:rsidR="00807C77">
        <w:rPr>
          <w:rFonts w:ascii="Arial" w:hAnsi="Arial" w:cs="Arial"/>
          <w:bCs/>
        </w:rPr>
        <w:t>T</w:t>
      </w:r>
      <w:r w:rsidR="0022329B">
        <w:rPr>
          <w:rFonts w:ascii="Arial" w:hAnsi="Arial" w:cs="Arial"/>
          <w:bCs/>
        </w:rPr>
        <w:t>hese changes can be exp</w:t>
      </w:r>
      <w:r w:rsidR="00807C77">
        <w:rPr>
          <w:rFonts w:ascii="Arial" w:hAnsi="Arial" w:cs="Arial"/>
          <w:bCs/>
        </w:rPr>
        <w:t xml:space="preserve">lained by </w:t>
      </w:r>
      <w:r w:rsidR="00460719">
        <w:rPr>
          <w:rFonts w:ascii="Arial" w:hAnsi="Arial" w:cs="Arial"/>
          <w:bCs/>
        </w:rPr>
        <w:t xml:space="preserve">the </w:t>
      </w:r>
      <w:r w:rsidR="0022329B">
        <w:rPr>
          <w:rFonts w:ascii="Arial" w:hAnsi="Arial" w:cs="Arial"/>
          <w:bCs/>
        </w:rPr>
        <w:t>biomechanical roles of bone</w:t>
      </w:r>
      <w:r w:rsidR="00460719">
        <w:rPr>
          <w:rFonts w:ascii="Arial" w:hAnsi="Arial" w:cs="Arial"/>
          <w:bCs/>
        </w:rPr>
        <w:t>s</w:t>
      </w:r>
      <w:r w:rsidR="00653EB6">
        <w:rPr>
          <w:rFonts w:ascii="Arial" w:hAnsi="Arial" w:cs="Arial"/>
          <w:bCs/>
        </w:rPr>
        <w:t xml:space="preserve"> at different sites. I</w:t>
      </w:r>
      <w:r w:rsidR="0022329B">
        <w:rPr>
          <w:rFonts w:ascii="Arial" w:hAnsi="Arial" w:cs="Arial"/>
          <w:bCs/>
        </w:rPr>
        <w:t xml:space="preserve">ncrease in cortical bone thickness and diameter associated with periosteal deposition contributes more efficiently to load-bearing strength than that with endosteal deposition </w:t>
      </w:r>
      <w:r w:rsidR="00330FE5">
        <w:rPr>
          <w:rFonts w:ascii="Arial" w:hAnsi="Arial" w:cs="Arial"/>
          <w:bCs/>
        </w:rPr>
        <w:fldChar w:fldCharType="begin">
          <w:fldData xml:space="preserve">PEVuZE5vdGU+PENpdGU+PEF1dGhvcj5IYWFwYXNhbG88L0F1dGhvcj48WWVhcj4yMDAwPC9ZZWFy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</w:fldData>
        </w:fldChar>
      </w:r>
      <w:r w:rsidR="00A108A1">
        <w:rPr>
          <w:rFonts w:ascii="Arial" w:hAnsi="Arial" w:cs="Arial"/>
          <w:bCs/>
        </w:rPr>
        <w:instrText xml:space="preserve"> ADDIN EN.CITE </w:instrText>
      </w:r>
      <w:r w:rsidR="00A108A1">
        <w:rPr>
          <w:rFonts w:ascii="Arial" w:hAnsi="Arial" w:cs="Arial"/>
          <w:bCs/>
        </w:rPr>
        <w:fldChar w:fldCharType="begin">
          <w:fldData xml:space="preserve">PEVuZE5vdGU+PENpdGU+PEF1dGhvcj5IYWFwYXNhbG88L0F1dGhvcj48WWVhcj4yMDAwPC9ZZWFy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</w:fldData>
        </w:fldChar>
      </w:r>
      <w:r w:rsidR="00A108A1">
        <w:rPr>
          <w:rFonts w:ascii="Arial" w:hAnsi="Arial" w:cs="Arial"/>
          <w:bCs/>
        </w:rPr>
        <w:instrText xml:space="preserve"> ADDIN EN.CITE.DATA </w:instrText>
      </w:r>
      <w:r w:rsidR="00A108A1">
        <w:rPr>
          <w:rFonts w:ascii="Arial" w:hAnsi="Arial" w:cs="Arial"/>
          <w:bCs/>
        </w:rPr>
      </w:r>
      <w:r w:rsidR="00A108A1">
        <w:rPr>
          <w:rFonts w:ascii="Arial" w:hAnsi="Arial" w:cs="Arial"/>
          <w:bCs/>
        </w:rPr>
        <w:fldChar w:fldCharType="end"/>
      </w:r>
      <w:r w:rsidR="00330FE5">
        <w:rPr>
          <w:rFonts w:ascii="Arial" w:hAnsi="Arial" w:cs="Arial"/>
          <w:bCs/>
        </w:rPr>
      </w:r>
      <w:r w:rsidR="00330FE5">
        <w:rPr>
          <w:rFonts w:ascii="Arial" w:hAnsi="Arial" w:cs="Arial"/>
          <w:bCs/>
        </w:rPr>
        <w:fldChar w:fldCharType="separate"/>
      </w:r>
      <w:r w:rsidR="00330FE5">
        <w:rPr>
          <w:rFonts w:ascii="Arial" w:hAnsi="Arial" w:cs="Arial"/>
          <w:bCs/>
          <w:noProof/>
        </w:rPr>
        <w:t>(Haapasalo et al., 2000, Mori et al., 2003)</w:t>
      </w:r>
      <w:r w:rsidR="00330FE5">
        <w:rPr>
          <w:rFonts w:ascii="Arial" w:hAnsi="Arial" w:cs="Arial"/>
          <w:bCs/>
        </w:rPr>
        <w:fldChar w:fldCharType="end"/>
      </w:r>
      <w:r w:rsidR="00DD2C68">
        <w:rPr>
          <w:rFonts w:ascii="Arial" w:hAnsi="Arial" w:cs="Arial"/>
          <w:bCs/>
        </w:rPr>
        <w:t xml:space="preserve">. </w:t>
      </w:r>
    </w:p>
    <w:p w14:paraId="52E06C7D" w14:textId="77777777" w:rsidR="006A0934" w:rsidRDefault="006A0934" w:rsidP="0022329B">
      <w:pPr>
        <w:widowControl w:val="0"/>
        <w:autoSpaceDE w:val="0"/>
        <w:autoSpaceDN w:val="0"/>
        <w:adjustRightInd w:val="0"/>
        <w:spacing w:after="240" w:line="480" w:lineRule="auto"/>
        <w:jc w:val="both"/>
        <w:rPr>
          <w:rFonts w:ascii="Arial" w:hAnsi="Arial" w:cs="Arial"/>
          <w:bCs/>
        </w:rPr>
      </w:pPr>
    </w:p>
    <w:p w14:paraId="06AEE808" w14:textId="77777777" w:rsidR="006A0934" w:rsidRDefault="006A0934" w:rsidP="0022329B">
      <w:pPr>
        <w:widowControl w:val="0"/>
        <w:autoSpaceDE w:val="0"/>
        <w:autoSpaceDN w:val="0"/>
        <w:adjustRightInd w:val="0"/>
        <w:spacing w:after="240" w:line="480" w:lineRule="auto"/>
        <w:jc w:val="both"/>
        <w:rPr>
          <w:rFonts w:ascii="Arial" w:hAnsi="Arial" w:cs="Arial"/>
          <w:bCs/>
        </w:rPr>
      </w:pPr>
    </w:p>
    <w:p w14:paraId="7F082E9A" w14:textId="77777777" w:rsidR="006A0934" w:rsidRPr="006A0934" w:rsidRDefault="006A0934" w:rsidP="006A0934">
      <w:pPr>
        <w:widowControl w:val="0"/>
        <w:autoSpaceDE w:val="0"/>
        <w:autoSpaceDN w:val="0"/>
        <w:adjustRightInd w:val="0"/>
        <w:spacing w:after="240" w:line="480" w:lineRule="auto"/>
        <w:jc w:val="both"/>
        <w:rPr>
          <w:rFonts w:ascii="Arial" w:hAnsi="Arial" w:cs="Arial"/>
          <w:bCs/>
        </w:rPr>
      </w:pPr>
      <w:r w:rsidRPr="006A0934">
        <w:rPr>
          <w:rFonts w:ascii="Arial" w:hAnsi="Arial" w:cs="Arial"/>
          <w:bCs/>
          <w:noProof/>
          <w:lang w:val="en-US"/>
        </w:rPr>
        <w:drawing>
          <wp:inline distT="0" distB="0" distL="0" distR="0" wp14:anchorId="6D4EA55D" wp14:editId="7D2ACE7A">
            <wp:extent cx="5485674" cy="3192357"/>
            <wp:effectExtent l="0" t="0" r="1270" b="8255"/>
            <wp:docPr id="1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85956" cy="3192521"/>
                    </a:xfrm>
                    <a:prstGeom prst="rect">
                      <a:avLst/>
                    </a:prstGeom>
                    <a:noFill/>
                    <a:ln>
                      <a:noFill/>
                    </a:ln>
                  </pic:spPr>
                </pic:pic>
              </a:graphicData>
            </a:graphic>
          </wp:inline>
        </w:drawing>
      </w:r>
    </w:p>
    <w:p w14:paraId="77F0D6E2" w14:textId="77777777" w:rsidR="0022329B" w:rsidRPr="00B56203" w:rsidRDefault="00B56203" w:rsidP="00B56203">
      <w:pPr>
        <w:pStyle w:val="Caption"/>
        <w:spacing w:line="360" w:lineRule="auto"/>
        <w:jc w:val="both"/>
        <w:rPr>
          <w:rFonts w:ascii="Arial" w:hAnsi="Arial" w:cs="Arial"/>
          <w:bCs w:val="0"/>
          <w:color w:val="244061" w:themeColor="accent1" w:themeShade="80"/>
          <w:sz w:val="24"/>
          <w:szCs w:val="24"/>
        </w:rPr>
      </w:pPr>
      <w:bookmarkStart w:id="125" w:name="_Toc383544630"/>
      <w:r w:rsidRPr="00B56203">
        <w:rPr>
          <w:rFonts w:ascii="Arial" w:hAnsi="Arial"/>
          <w:color w:val="244061" w:themeColor="accent1" w:themeShade="80"/>
          <w:sz w:val="24"/>
          <w:szCs w:val="24"/>
        </w:rPr>
        <w:t xml:space="preserve">Figure </w:t>
      </w:r>
      <w:r w:rsidRPr="00B56203">
        <w:rPr>
          <w:rFonts w:ascii="Arial" w:hAnsi="Arial"/>
          <w:color w:val="244061" w:themeColor="accent1" w:themeShade="80"/>
          <w:sz w:val="24"/>
          <w:szCs w:val="24"/>
        </w:rPr>
        <w:fldChar w:fldCharType="begin"/>
      </w:r>
      <w:r w:rsidRPr="00B56203">
        <w:rPr>
          <w:rFonts w:ascii="Arial" w:hAnsi="Arial"/>
          <w:color w:val="244061" w:themeColor="accent1" w:themeShade="80"/>
          <w:sz w:val="24"/>
          <w:szCs w:val="24"/>
        </w:rPr>
        <w:instrText xml:space="preserve"> SEQ Figure \* ARABIC </w:instrText>
      </w:r>
      <w:r w:rsidRPr="00B56203">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39</w:t>
      </w:r>
      <w:r w:rsidRPr="00B56203">
        <w:rPr>
          <w:rFonts w:ascii="Arial" w:hAnsi="Arial"/>
          <w:color w:val="244061" w:themeColor="accent1" w:themeShade="80"/>
          <w:sz w:val="24"/>
          <w:szCs w:val="24"/>
        </w:rPr>
        <w:fldChar w:fldCharType="end"/>
      </w:r>
      <w:r w:rsidRPr="00B56203">
        <w:rPr>
          <w:rFonts w:ascii="Arial" w:hAnsi="Arial"/>
          <w:color w:val="244061" w:themeColor="accent1" w:themeShade="80"/>
          <w:sz w:val="24"/>
          <w:szCs w:val="24"/>
        </w:rPr>
        <w:t xml:space="preserve"> </w:t>
      </w:r>
      <w:r w:rsidR="0022329B" w:rsidRPr="00B56203">
        <w:rPr>
          <w:rFonts w:ascii="Arial" w:hAnsi="Arial" w:cs="Arial"/>
          <w:color w:val="244061" w:themeColor="accent1" w:themeShade="80"/>
          <w:sz w:val="24"/>
          <w:szCs w:val="24"/>
        </w:rPr>
        <w:t>Load-magnitude related increase in cortical bone formation along tibial diaphysis in female 12-week-old C57BL/J6 mice (n=4 at each load magnitude)</w:t>
      </w:r>
      <w:bookmarkEnd w:id="125"/>
    </w:p>
    <w:p w14:paraId="6D708F90" w14:textId="77777777" w:rsidR="00D90226" w:rsidRDefault="00B56203" w:rsidP="0022329B">
      <w:pPr>
        <w:widowControl w:val="0"/>
        <w:autoSpaceDE w:val="0"/>
        <w:autoSpaceDN w:val="0"/>
        <w:adjustRightInd w:val="0"/>
        <w:spacing w:after="240" w:line="360" w:lineRule="auto"/>
        <w:jc w:val="both"/>
        <w:rPr>
          <w:rFonts w:ascii="Arial" w:hAnsi="Arial" w:cs="Arial"/>
          <w:sz w:val="22"/>
          <w:szCs w:val="22"/>
        </w:rPr>
      </w:pPr>
      <w:r>
        <w:rPr>
          <w:rFonts w:ascii="Arial" w:hAnsi="Arial" w:cs="Arial"/>
          <w:sz w:val="22"/>
          <w:szCs w:val="22"/>
        </w:rPr>
        <w:t>Figure shows the t</w:t>
      </w:r>
      <w:r w:rsidR="0022329B">
        <w:rPr>
          <w:rFonts w:ascii="Arial" w:hAnsi="Arial" w:cs="Arial"/>
          <w:sz w:val="22"/>
          <w:szCs w:val="22"/>
        </w:rPr>
        <w:t xml:space="preserve">otal interlabel area at five sites along the tibial diaphyseal cortical bone loaded with force magnitudes between 8.7N-13N. </w:t>
      </w:r>
      <w:r w:rsidR="0022329B" w:rsidRPr="00337C29">
        <w:rPr>
          <w:rFonts w:ascii="Arial" w:eastAsiaTheme="minorHAnsi" w:hAnsi="Arial" w:cs="Arial"/>
          <w:sz w:val="22"/>
          <w:szCs w:val="22"/>
        </w:rPr>
        <w:t>Values are mean</w:t>
      </w:r>
      <w:r w:rsidR="0022329B" w:rsidRPr="00337C29">
        <w:rPr>
          <w:rFonts w:ascii="Arial" w:eastAsia="MS Gothic" w:hAnsi="Arial" w:cs="Arial"/>
          <w:sz w:val="22"/>
          <w:szCs w:val="22"/>
        </w:rPr>
        <w:t>±</w:t>
      </w:r>
      <w:r w:rsidR="0022329B" w:rsidRPr="00337C29">
        <w:rPr>
          <w:rFonts w:ascii="Arial" w:eastAsiaTheme="minorHAnsi" w:hAnsi="Arial" w:cs="Arial"/>
          <w:sz w:val="22"/>
          <w:szCs w:val="22"/>
        </w:rPr>
        <w:t>SE</w:t>
      </w:r>
      <w:r w:rsidR="0022329B">
        <w:rPr>
          <w:rFonts w:ascii="Arial" w:eastAsiaTheme="minorHAnsi" w:hAnsi="Arial" w:cs="Arial"/>
          <w:sz w:val="22"/>
          <w:szCs w:val="22"/>
        </w:rPr>
        <w:t xml:space="preserve">. </w:t>
      </w:r>
      <w:proofErr w:type="gramStart"/>
      <w:r w:rsidR="0022329B" w:rsidRPr="00F20B1F">
        <w:rPr>
          <w:rFonts w:ascii="Arial" w:eastAsia="MS Gothic" w:hAnsi="Arial" w:cs="Arial"/>
          <w:color w:val="000000"/>
          <w:sz w:val="22"/>
          <w:szCs w:val="22"/>
          <w:vertAlign w:val="superscript"/>
        </w:rPr>
        <w:t>a</w:t>
      </w:r>
      <w:proofErr w:type="gramEnd"/>
      <w:r w:rsidR="0022329B" w:rsidRPr="00F20B1F">
        <w:rPr>
          <w:rFonts w:ascii="Arial" w:eastAsiaTheme="minorHAnsi" w:hAnsi="Arial" w:cs="Arial"/>
          <w:sz w:val="22"/>
          <w:szCs w:val="22"/>
        </w:rPr>
        <w:t xml:space="preserve"> p&lt;0.05, </w:t>
      </w:r>
      <w:r w:rsidR="0022329B" w:rsidRPr="00F20B1F">
        <w:rPr>
          <w:rFonts w:ascii="Arial" w:eastAsia="MS Gothic" w:hAnsi="Arial" w:cs="Arial"/>
          <w:color w:val="000000"/>
          <w:sz w:val="22"/>
          <w:szCs w:val="22"/>
          <w:vertAlign w:val="superscript"/>
        </w:rPr>
        <w:t>b</w:t>
      </w:r>
      <w:r w:rsidR="0022329B" w:rsidRPr="00F20B1F">
        <w:rPr>
          <w:rFonts w:ascii="Arial" w:eastAsiaTheme="minorHAnsi" w:hAnsi="Arial" w:cs="Arial"/>
          <w:sz w:val="22"/>
          <w:szCs w:val="22"/>
        </w:rPr>
        <w:t xml:space="preserve"> p&lt;0.01, </w:t>
      </w:r>
      <w:r w:rsidR="0022329B" w:rsidRPr="00F20B1F">
        <w:rPr>
          <w:rFonts w:ascii="Arial" w:eastAsia="MS Gothic" w:hAnsi="Arial" w:cs="Arial"/>
          <w:color w:val="000000"/>
          <w:sz w:val="22"/>
          <w:szCs w:val="22"/>
          <w:vertAlign w:val="superscript"/>
        </w:rPr>
        <w:t xml:space="preserve">c </w:t>
      </w:r>
      <w:r w:rsidR="0022329B">
        <w:rPr>
          <w:rFonts w:ascii="Arial" w:eastAsiaTheme="minorHAnsi" w:hAnsi="Arial" w:cs="Arial"/>
          <w:sz w:val="22"/>
          <w:szCs w:val="22"/>
        </w:rPr>
        <w:t>p&lt;0.005</w:t>
      </w:r>
      <w:r w:rsidR="0022329B">
        <w:rPr>
          <w:rFonts w:ascii="Arial" w:hAnsi="Arial" w:cs="Arial"/>
          <w:sz w:val="22"/>
          <w:szCs w:val="22"/>
        </w:rPr>
        <w:t xml:space="preserve">            </w:t>
      </w:r>
    </w:p>
    <w:p w14:paraId="12408412" w14:textId="77777777" w:rsidR="0022329B" w:rsidRPr="00B56203" w:rsidRDefault="0022329B" w:rsidP="0022329B">
      <w:pPr>
        <w:widowControl w:val="0"/>
        <w:autoSpaceDE w:val="0"/>
        <w:autoSpaceDN w:val="0"/>
        <w:adjustRightInd w:val="0"/>
        <w:spacing w:after="240" w:line="360" w:lineRule="auto"/>
        <w:jc w:val="both"/>
        <w:rPr>
          <w:rFonts w:ascii="Arial" w:hAnsi="Arial" w:cs="Arial"/>
          <w:sz w:val="22"/>
          <w:szCs w:val="22"/>
        </w:rPr>
      </w:pPr>
      <w:r>
        <w:rPr>
          <w:rFonts w:ascii="Arial" w:hAnsi="Arial" w:cs="Arial"/>
          <w:sz w:val="22"/>
          <w:szCs w:val="22"/>
        </w:rPr>
        <w:t xml:space="preserve">Adapted with permission from </w:t>
      </w:r>
      <w:r w:rsidR="00330FE5">
        <w:rPr>
          <w:rFonts w:ascii="Arial" w:hAnsi="Arial" w:cs="Arial"/>
          <w:sz w:val="22"/>
          <w:szCs w:val="22"/>
        </w:rPr>
        <w:fldChar w:fldCharType="begin"/>
      </w:r>
      <w:r w:rsidR="00A108A1">
        <w:rPr>
          <w:rFonts w:ascii="Arial" w:hAnsi="Arial" w:cs="Arial"/>
          <w:sz w:val="22"/>
          <w:szCs w:val="22"/>
        </w:rPr>
        <w:instrText xml:space="preserve"> ADDIN EN.CITE &lt;EndNote&gt;&lt;Cite&gt;&lt;Author&gt;De Souza&lt;/Author&gt;&lt;Year&gt;2005&lt;/Year&gt;&lt;RecNum&gt;500&lt;/RecNum&gt;&lt;DisplayText&gt;(De Souza et al., 2005a)&lt;/DisplayText&gt;&lt;record&gt;&lt;rec-number&gt;500&lt;/rec-number&gt;&lt;foreign-keys&gt;&lt;key app="EN" db-id="ae9rewfrpdttrheppfxxv0p4950wpd25r09x" timestamp="1520658309"&gt;500&lt;/key&gt;&lt;key app="ENWeb" db-id=""&gt;0&lt;/key&gt;&lt;/foreign-keys&gt;&lt;ref-type name="Journal Article"&gt;17&lt;/ref-type&gt;&lt;contributors&gt;&lt;authors&gt;&lt;author&gt;De Souza, Roberto L.&lt;/author&gt;&lt;author&gt;Matsuura, Maiko&lt;/author&gt;&lt;author&gt;Eckstein, Felix&lt;/author&gt;&lt;author&gt;Rawlinson, Simon C. F.&lt;/author&gt;&lt;author&gt;Lanyon, Lance E.&lt;/author&gt;&lt;author&gt;Pitsillides, Andrew A.&lt;/author&gt;&lt;/authors&gt;&lt;/contributors&gt;&lt;titles&gt;&lt;title&gt;Non- invasive axial loading of mouse tibiae increases cortical bone formation and modifies trabecular organization: A new model to study cortical and cancellous compartments in a single loaded element&lt;/title&gt;&lt;secondary-title&gt;Bone&lt;/secondary-title&gt;&lt;/titles&gt;&lt;periodical&gt;&lt;full-title&gt;Bone&lt;/full-title&gt;&lt;/periodical&gt;&lt;pages&gt;810-818&lt;/pages&gt;&lt;volume&gt;37&lt;/volume&gt;&lt;number&gt;6&lt;/number&gt;&lt;keywords&gt;&lt;keyword&gt;Mouse&lt;/keyword&gt;&lt;keyword&gt;Mechanical loading&lt;/keyword&gt;&lt;keyword&gt;Cortical bone&lt;/keyword&gt;&lt;keyword&gt;Cancellous bone&lt;/keyword&gt;&lt;keyword&gt;Adaptation&lt;/keyword&gt;&lt;/keywords&gt;&lt;dates&gt;&lt;year&gt;2005&lt;/year&gt;&lt;/dates&gt;&lt;isbn&gt;8756-3282&lt;/isbn&gt;&lt;urls&gt;&lt;/urls&gt;&lt;electronic-resource-num&gt;10.1016/j.bone.2005.07.022&lt;/electronic-resource-num&gt;&lt;/record&gt;&lt;/Cite&gt;&lt;/EndNote&gt;</w:instrText>
      </w:r>
      <w:r w:rsidR="00330FE5">
        <w:rPr>
          <w:rFonts w:ascii="Arial" w:hAnsi="Arial" w:cs="Arial"/>
          <w:sz w:val="22"/>
          <w:szCs w:val="22"/>
        </w:rPr>
        <w:fldChar w:fldCharType="separate"/>
      </w:r>
      <w:r w:rsidR="00330FE5">
        <w:rPr>
          <w:rFonts w:ascii="Arial" w:hAnsi="Arial" w:cs="Arial"/>
          <w:noProof/>
          <w:sz w:val="22"/>
          <w:szCs w:val="22"/>
        </w:rPr>
        <w:t>(De Souza et al., 2005a)</w:t>
      </w:r>
      <w:r w:rsidR="00330FE5">
        <w:rPr>
          <w:rFonts w:ascii="Arial" w:hAnsi="Arial" w:cs="Arial"/>
          <w:sz w:val="22"/>
          <w:szCs w:val="22"/>
        </w:rPr>
        <w:fldChar w:fldCharType="end"/>
      </w:r>
      <w:r w:rsidR="00B56203">
        <w:rPr>
          <w:rFonts w:ascii="Arial" w:hAnsi="Arial" w:cs="Arial"/>
          <w:sz w:val="22"/>
          <w:szCs w:val="22"/>
        </w:rPr>
        <w:t>.</w:t>
      </w:r>
    </w:p>
    <w:p w14:paraId="50176AA6" w14:textId="77777777" w:rsidR="00D90226" w:rsidRDefault="00D90226" w:rsidP="0022329B">
      <w:pPr>
        <w:widowControl w:val="0"/>
        <w:autoSpaceDE w:val="0"/>
        <w:autoSpaceDN w:val="0"/>
        <w:adjustRightInd w:val="0"/>
        <w:spacing w:after="240" w:line="480" w:lineRule="auto"/>
        <w:jc w:val="both"/>
        <w:rPr>
          <w:rFonts w:ascii="Arial" w:hAnsi="Arial" w:cs="Arial"/>
        </w:rPr>
      </w:pPr>
    </w:p>
    <w:p w14:paraId="2D63406B" w14:textId="77777777" w:rsidR="00366A28" w:rsidRDefault="00366A28" w:rsidP="0022329B">
      <w:pPr>
        <w:widowControl w:val="0"/>
        <w:autoSpaceDE w:val="0"/>
        <w:autoSpaceDN w:val="0"/>
        <w:adjustRightInd w:val="0"/>
        <w:spacing w:after="240" w:line="480" w:lineRule="auto"/>
        <w:jc w:val="both"/>
        <w:rPr>
          <w:rFonts w:ascii="Arial" w:hAnsi="Arial" w:cs="Arial"/>
        </w:rPr>
      </w:pPr>
    </w:p>
    <w:p w14:paraId="53AB01BE" w14:textId="77777777" w:rsidR="0022329B" w:rsidRPr="00D50556" w:rsidRDefault="0022329B" w:rsidP="0022329B">
      <w:pPr>
        <w:widowControl w:val="0"/>
        <w:autoSpaceDE w:val="0"/>
        <w:autoSpaceDN w:val="0"/>
        <w:adjustRightInd w:val="0"/>
        <w:spacing w:after="240" w:line="480" w:lineRule="auto"/>
        <w:jc w:val="both"/>
        <w:rPr>
          <w:rFonts w:ascii="Arial" w:hAnsi="Arial" w:cs="Arial"/>
          <w:i/>
        </w:rPr>
      </w:pPr>
      <w:r>
        <w:rPr>
          <w:rFonts w:ascii="Arial" w:hAnsi="Arial" w:cs="Arial"/>
        </w:rPr>
        <w:lastRenderedPageBreak/>
        <w:t>Male C57BL/</w:t>
      </w:r>
      <w:r w:rsidRPr="00F25053">
        <w:rPr>
          <w:rFonts w:ascii="Arial" w:hAnsi="Arial" w:cs="Arial"/>
        </w:rPr>
        <w:t xml:space="preserve">6 mice at 17 weeks of age </w:t>
      </w:r>
      <w:r>
        <w:rPr>
          <w:rFonts w:ascii="Arial" w:hAnsi="Arial" w:cs="Arial"/>
        </w:rPr>
        <w:t xml:space="preserve">used for the studies described in this chapter </w:t>
      </w:r>
      <w:r w:rsidR="002C2354">
        <w:rPr>
          <w:rFonts w:ascii="Arial" w:hAnsi="Arial" w:cs="Arial"/>
        </w:rPr>
        <w:t xml:space="preserve">are </w:t>
      </w:r>
      <w:r w:rsidRPr="00F25053">
        <w:rPr>
          <w:rFonts w:ascii="Arial" w:hAnsi="Arial" w:cs="Arial"/>
        </w:rPr>
        <w:t>responsive to mechan</w:t>
      </w:r>
      <w:r>
        <w:rPr>
          <w:rFonts w:ascii="Arial" w:hAnsi="Arial" w:cs="Arial"/>
        </w:rPr>
        <w:t>ical strains and provide a well-</w:t>
      </w:r>
      <w:r w:rsidRPr="00F25053">
        <w:rPr>
          <w:rFonts w:ascii="Arial" w:hAnsi="Arial" w:cs="Arial"/>
        </w:rPr>
        <w:t xml:space="preserve">characterised model system </w:t>
      </w:r>
      <w:r w:rsidR="00330FE5">
        <w:rPr>
          <w:rFonts w:ascii="Arial" w:hAnsi="Arial" w:cs="Arial"/>
        </w:rPr>
        <w:fldChar w:fldCharType="begin"/>
      </w:r>
      <w:r w:rsidR="00A108A1">
        <w:rPr>
          <w:rFonts w:ascii="Arial" w:hAnsi="Arial" w:cs="Arial"/>
        </w:rPr>
        <w:instrText xml:space="preserve"> ADDIN EN.CITE &lt;EndNote&gt;&lt;Cite&gt;&lt;Author&gt;Sugiyama&lt;/Author&gt;&lt;Year&gt;2008&lt;/Year&gt;&lt;RecNum&gt;9&lt;/RecNum&gt;&lt;DisplayText&gt;(Sugiyama et al., 2008)&lt;/DisplayText&gt;&lt;record&gt;&lt;rec-number&gt;9&lt;/rec-number&gt;&lt;foreign-keys&gt;&lt;key app="EN" db-id="ae9rewfrpdttrheppfxxv0p4950wpd25r09x" timestamp="1520657399"&gt;9&lt;/key&gt;&lt;key app="ENWeb" db-id=""&gt;0&lt;/key&gt;&lt;/foreign-keys&gt;&lt;ref-type name="Journal Article"&gt;17&lt;/ref-type&gt;&lt;contributors&gt;&lt;authors&gt;&lt;author&gt;Sugiyama, Toshihiro&lt;/author&gt;&lt;author&gt;Saxon, Leanne K.&lt;/author&gt;&lt;author&gt;Zaman, Gul&lt;/author&gt;&lt;author&gt;Moustafa, Alaa&lt;/author&gt;&lt;author&gt;Sunters, Andrew&lt;/author&gt;&lt;author&gt;Price, Joanna S.&lt;/author&gt;&lt;author&gt;Lanyon, Lance E.&lt;/author&gt;&lt;/authors&gt;&lt;/contributors&gt;&lt;titles&gt;&lt;title&gt;Mechanical loading enhances the anabolic effects of intermittent parathyroid hormone (1–34) on trabecular and cortical bone in mice&lt;/title&gt;&lt;secondary-title&gt;Bone&lt;/secondary-title&gt;&lt;/titles&gt;&lt;periodical&gt;&lt;full-title&gt;Bone&lt;/full-title&gt;&lt;/periodical&gt;&lt;pages&gt;238-248&lt;/pages&gt;&lt;volume&gt;43&lt;/volume&gt;&lt;number&gt;2&lt;/number&gt;&lt;keywords&gt;&lt;keyword&gt;Mechanical loading&lt;/keyword&gt;&lt;keyword&gt;Adaptation&lt;/keyword&gt;&lt;keyword&gt;Parathyroid hormone&lt;/keyword&gt;&lt;keyword&gt;Mouse&lt;/keyword&gt;&lt;keyword&gt;Micro-computed tomography&lt;/keyword&gt;&lt;/keywords&gt;&lt;dates&gt;&lt;year&gt;2008&lt;/year&gt;&lt;/dates&gt;&lt;isbn&gt;8756-3282&lt;/isbn&gt;&lt;urls&gt;&lt;/urls&gt;&lt;electronic-resource-num&gt;10.1016/j.bone.2008.04.012&lt;/electronic-resource-num&gt;&lt;/record&gt;&lt;/Cite&gt;&lt;/EndNote&gt;</w:instrText>
      </w:r>
      <w:r w:rsidR="00330FE5">
        <w:rPr>
          <w:rFonts w:ascii="Arial" w:hAnsi="Arial" w:cs="Arial"/>
        </w:rPr>
        <w:fldChar w:fldCharType="separate"/>
      </w:r>
      <w:r w:rsidR="00330FE5">
        <w:rPr>
          <w:rFonts w:ascii="Arial" w:hAnsi="Arial" w:cs="Arial"/>
          <w:noProof/>
        </w:rPr>
        <w:t>(Sugiyama et al., 2008)</w:t>
      </w:r>
      <w:r w:rsidR="00330FE5">
        <w:rPr>
          <w:rFonts w:ascii="Arial" w:hAnsi="Arial" w:cs="Arial"/>
        </w:rPr>
        <w:fldChar w:fldCharType="end"/>
      </w:r>
      <w:r w:rsidR="00327DE1">
        <w:rPr>
          <w:rFonts w:ascii="Arial" w:hAnsi="Arial" w:cs="Arial"/>
        </w:rPr>
        <w:t>.</w:t>
      </w:r>
      <w:r w:rsidRPr="00F25053">
        <w:rPr>
          <w:rFonts w:ascii="Arial" w:hAnsi="Arial" w:cs="Arial"/>
        </w:rPr>
        <w:t xml:space="preserve"> </w:t>
      </w:r>
      <w:r>
        <w:rPr>
          <w:rFonts w:ascii="Arial" w:hAnsi="Arial" w:cs="Arial"/>
        </w:rPr>
        <w:t xml:space="preserve">We have used two loading regimens; </w:t>
      </w:r>
      <w:r w:rsidRPr="00423454">
        <w:rPr>
          <w:rFonts w:ascii="Arial" w:hAnsi="Arial" w:cs="Arial"/>
        </w:rPr>
        <w:t xml:space="preserve">in the first experiment we </w:t>
      </w:r>
      <w:r>
        <w:rPr>
          <w:rFonts w:ascii="Arial" w:hAnsi="Arial" w:cs="Arial"/>
        </w:rPr>
        <w:t xml:space="preserve">applied 8N force on the right tibiae of fed and </w:t>
      </w:r>
      <w:r w:rsidRPr="00423454">
        <w:rPr>
          <w:rFonts w:ascii="Arial" w:hAnsi="Arial" w:cs="Arial"/>
        </w:rPr>
        <w:t xml:space="preserve">fasted </w:t>
      </w:r>
      <w:r w:rsidR="00327DE1">
        <w:rPr>
          <w:rFonts w:ascii="Arial" w:hAnsi="Arial" w:cs="Arial"/>
        </w:rPr>
        <w:t>2-</w:t>
      </w:r>
      <w:r>
        <w:rPr>
          <w:rFonts w:ascii="Arial" w:hAnsi="Arial" w:cs="Arial"/>
        </w:rPr>
        <w:t xml:space="preserve">hour fed young </w:t>
      </w:r>
      <w:r w:rsidRPr="00423454">
        <w:rPr>
          <w:rFonts w:ascii="Arial" w:hAnsi="Arial" w:cs="Arial"/>
        </w:rPr>
        <w:t xml:space="preserve">mice that </w:t>
      </w:r>
      <w:r w:rsidRPr="00CC2354">
        <w:rPr>
          <w:rFonts w:ascii="Arial" w:hAnsi="Arial" w:cs="Arial"/>
        </w:rPr>
        <w:t xml:space="preserve">alone </w:t>
      </w:r>
      <w:r>
        <w:rPr>
          <w:rFonts w:ascii="Arial" w:hAnsi="Arial" w:cs="Arial"/>
        </w:rPr>
        <w:t>is</w:t>
      </w:r>
      <w:r w:rsidRPr="00CC2354">
        <w:rPr>
          <w:rFonts w:ascii="Arial" w:hAnsi="Arial" w:cs="Arial"/>
        </w:rPr>
        <w:t xml:space="preserve"> insufficient to </w:t>
      </w:r>
      <w:r>
        <w:rPr>
          <w:rFonts w:ascii="Arial" w:hAnsi="Arial" w:cs="Arial"/>
        </w:rPr>
        <w:t>induce</w:t>
      </w:r>
      <w:r w:rsidRPr="00CC2354">
        <w:rPr>
          <w:rFonts w:ascii="Arial" w:hAnsi="Arial" w:cs="Arial"/>
        </w:rPr>
        <w:t xml:space="preserve"> bone formation mimic</w:t>
      </w:r>
      <w:r>
        <w:rPr>
          <w:rFonts w:ascii="Arial" w:hAnsi="Arial" w:cs="Arial"/>
        </w:rPr>
        <w:t>king low intensity exercise equivalent of gentle walking in humans</w:t>
      </w:r>
      <w:r w:rsidRPr="00CC2354">
        <w:rPr>
          <w:rFonts w:ascii="Arial" w:hAnsi="Arial" w:cs="Arial"/>
        </w:rPr>
        <w:t>.</w:t>
      </w:r>
      <w:r>
        <w:rPr>
          <w:rFonts w:ascii="Arial" w:hAnsi="Arial" w:cs="Arial"/>
        </w:rPr>
        <w:t xml:space="preserve"> </w:t>
      </w:r>
      <w:r w:rsidR="0007431F">
        <w:rPr>
          <w:rFonts w:ascii="Arial" w:hAnsi="Arial" w:cs="Arial"/>
          <w:bCs/>
        </w:rPr>
        <w:t>A s</w:t>
      </w:r>
      <w:r>
        <w:rPr>
          <w:rFonts w:ascii="Arial" w:hAnsi="Arial" w:cs="Arial"/>
          <w:bCs/>
        </w:rPr>
        <w:t>tudy by De Souza et al. showed that loading of tibia at magnitudes lower than 10N did not induce significant new bone formation at any examin</w:t>
      </w:r>
      <w:r w:rsidR="00327DE1">
        <w:rPr>
          <w:rFonts w:ascii="Arial" w:hAnsi="Arial" w:cs="Arial"/>
          <w:bCs/>
        </w:rPr>
        <w:t xml:space="preserve">ed diaphyseal sites (Figure 39) </w:t>
      </w:r>
      <w:r w:rsidR="00330FE5">
        <w:rPr>
          <w:rFonts w:ascii="Arial" w:hAnsi="Arial" w:cs="Arial"/>
          <w:bCs/>
        </w:rPr>
        <w:fldChar w:fldCharType="begin"/>
      </w:r>
      <w:r w:rsidR="00A108A1">
        <w:rPr>
          <w:rFonts w:ascii="Arial" w:hAnsi="Arial" w:cs="Arial"/>
          <w:bCs/>
        </w:rPr>
        <w:instrText xml:space="preserve"> ADDIN EN.CITE &lt;EndNote&gt;&lt;Cite&gt;&lt;Author&gt;De Souza&lt;/Author&gt;&lt;Year&gt;2005&lt;/Year&gt;&lt;RecNum&gt;500&lt;/RecNum&gt;&lt;DisplayText&gt;(De Souza et al., 2005a)&lt;/DisplayText&gt;&lt;record&gt;&lt;rec-number&gt;500&lt;/rec-number&gt;&lt;foreign-keys&gt;&lt;key app="EN" db-id="ae9rewfrpdttrheppfxxv0p4950wpd25r09x" timestamp="1520658309"&gt;500&lt;/key&gt;&lt;key app="ENWeb" db-id=""&gt;0&lt;/key&gt;&lt;/foreign-keys&gt;&lt;ref-type name="Journal Article"&gt;17&lt;/ref-type&gt;&lt;contributors&gt;&lt;authors&gt;&lt;author&gt;De Souza, Roberto L.&lt;/author&gt;&lt;author&gt;Matsuura, Maiko&lt;/author&gt;&lt;author&gt;Eckstein, Felix&lt;/author&gt;&lt;author&gt;Rawlinson, Simon C. F.&lt;/author&gt;&lt;author&gt;Lanyon, Lance E.&lt;/author&gt;&lt;author&gt;Pitsillides, Andrew A.&lt;/author&gt;&lt;/authors&gt;&lt;/contributors&gt;&lt;titles&gt;&lt;title&gt;Non- invasive axial loading of mouse tibiae increases cortical bone formation and modifies trabecular organization: A new model to study cortical and cancellous compartments in a single loaded element&lt;/title&gt;&lt;secondary-title&gt;Bone&lt;/secondary-title&gt;&lt;/titles&gt;&lt;periodical&gt;&lt;full-title&gt;Bone&lt;/full-title&gt;&lt;/periodical&gt;&lt;pages&gt;810-818&lt;/pages&gt;&lt;volume&gt;37&lt;/volume&gt;&lt;number&gt;6&lt;/number&gt;&lt;keywords&gt;&lt;keyword&gt;Mouse&lt;/keyword&gt;&lt;keyword&gt;Mechanical loading&lt;/keyword&gt;&lt;keyword&gt;Cortical bone&lt;/keyword&gt;&lt;keyword&gt;Cancellous bone&lt;/keyword&gt;&lt;keyword&gt;Adaptation&lt;/keyword&gt;&lt;/keywords&gt;&lt;dates&gt;&lt;year&gt;2005&lt;/year&gt;&lt;/dates&gt;&lt;isbn&gt;8756-3282&lt;/isbn&gt;&lt;urls&gt;&lt;/urls&gt;&lt;electronic-resource-num&gt;10.1016/j.bone.2005.07.022&lt;/electronic-resource-num&gt;&lt;/record&gt;&lt;/Cite&gt;&lt;/EndNote&gt;</w:instrText>
      </w:r>
      <w:r w:rsidR="00330FE5">
        <w:rPr>
          <w:rFonts w:ascii="Arial" w:hAnsi="Arial" w:cs="Arial"/>
          <w:bCs/>
        </w:rPr>
        <w:fldChar w:fldCharType="separate"/>
      </w:r>
      <w:r w:rsidR="00330FE5">
        <w:rPr>
          <w:rFonts w:ascii="Arial" w:hAnsi="Arial" w:cs="Arial"/>
          <w:bCs/>
          <w:noProof/>
        </w:rPr>
        <w:t>(De Souza et al., 2005a)</w:t>
      </w:r>
      <w:r w:rsidR="00330FE5">
        <w:rPr>
          <w:rFonts w:ascii="Arial" w:hAnsi="Arial" w:cs="Arial"/>
          <w:bCs/>
        </w:rPr>
        <w:fldChar w:fldCharType="end"/>
      </w:r>
      <w:r w:rsidR="00327DE1">
        <w:rPr>
          <w:rFonts w:ascii="Arial" w:hAnsi="Arial" w:cs="Arial"/>
          <w:bCs/>
        </w:rPr>
        <w:t xml:space="preserve">. </w:t>
      </w:r>
      <w:r>
        <w:rPr>
          <w:rFonts w:ascii="Arial" w:hAnsi="Arial" w:cs="Arial"/>
          <w:bCs/>
        </w:rPr>
        <w:t>Furthermore, application of 13N force engendered no greater increase in new bone formation than 12N</w:t>
      </w:r>
      <w:r w:rsidR="00327DE1">
        <w:rPr>
          <w:rFonts w:ascii="Arial" w:hAnsi="Arial" w:cs="Arial"/>
          <w:bCs/>
        </w:rPr>
        <w:t>,</w:t>
      </w:r>
      <w:r>
        <w:rPr>
          <w:rFonts w:ascii="Arial" w:hAnsi="Arial" w:cs="Arial"/>
          <w:bCs/>
        </w:rPr>
        <w:t xml:space="preserve"> but more than tha</w:t>
      </w:r>
      <w:r w:rsidR="00327DE1">
        <w:rPr>
          <w:rFonts w:ascii="Arial" w:hAnsi="Arial" w:cs="Arial"/>
          <w:bCs/>
        </w:rPr>
        <w:t>t at 11N, 10N and 8.7N (Figure 39</w:t>
      </w:r>
      <w:r>
        <w:rPr>
          <w:rFonts w:ascii="Arial" w:hAnsi="Arial" w:cs="Arial"/>
          <w:bCs/>
        </w:rPr>
        <w:t xml:space="preserve">). Therefore, </w:t>
      </w:r>
      <w:r>
        <w:rPr>
          <w:rFonts w:ascii="Arial" w:hAnsi="Arial" w:cs="Arial"/>
        </w:rPr>
        <w:t>i</w:t>
      </w:r>
      <w:r w:rsidRPr="00CC2354">
        <w:rPr>
          <w:rFonts w:ascii="Arial" w:hAnsi="Arial" w:cs="Arial"/>
        </w:rPr>
        <w:t xml:space="preserve">n the second experiment we </w:t>
      </w:r>
      <w:r>
        <w:rPr>
          <w:rFonts w:ascii="Arial" w:hAnsi="Arial" w:cs="Arial"/>
        </w:rPr>
        <w:t>applied mechanical load</w:t>
      </w:r>
      <w:r w:rsidRPr="00CC2354">
        <w:rPr>
          <w:rFonts w:ascii="Arial" w:hAnsi="Arial" w:cs="Arial"/>
        </w:rPr>
        <w:t xml:space="preserve"> </w:t>
      </w:r>
      <w:r>
        <w:rPr>
          <w:rFonts w:ascii="Arial" w:hAnsi="Arial" w:cs="Arial"/>
        </w:rPr>
        <w:t xml:space="preserve">with 11N force on the right tibiae of fed and </w:t>
      </w:r>
      <w:r w:rsidRPr="00423454">
        <w:rPr>
          <w:rFonts w:ascii="Arial" w:hAnsi="Arial" w:cs="Arial"/>
        </w:rPr>
        <w:t xml:space="preserve">fasted </w:t>
      </w:r>
      <w:r w:rsidR="00327DE1">
        <w:rPr>
          <w:rFonts w:ascii="Arial" w:hAnsi="Arial" w:cs="Arial"/>
        </w:rPr>
        <w:t>2-</w:t>
      </w:r>
      <w:r>
        <w:rPr>
          <w:rFonts w:ascii="Arial" w:hAnsi="Arial" w:cs="Arial"/>
        </w:rPr>
        <w:t xml:space="preserve">hour fed young male </w:t>
      </w:r>
      <w:r w:rsidRPr="00423454">
        <w:rPr>
          <w:rFonts w:ascii="Arial" w:hAnsi="Arial" w:cs="Arial"/>
        </w:rPr>
        <w:t xml:space="preserve">mice </w:t>
      </w:r>
      <w:r w:rsidRPr="00CC2354">
        <w:rPr>
          <w:rFonts w:ascii="Arial" w:hAnsi="Arial" w:cs="Arial"/>
        </w:rPr>
        <w:t xml:space="preserve">that </w:t>
      </w:r>
      <w:r>
        <w:rPr>
          <w:rFonts w:ascii="Arial" w:hAnsi="Arial" w:cs="Arial"/>
        </w:rPr>
        <w:t>was sufficient to induce</w:t>
      </w:r>
      <w:r w:rsidRPr="00CC2354">
        <w:rPr>
          <w:rFonts w:ascii="Arial" w:hAnsi="Arial" w:cs="Arial"/>
        </w:rPr>
        <w:t xml:space="preserve"> bone formation, but at a lower than maximal level mimicking vigorous but not strenuous exercise</w:t>
      </w:r>
      <w:r>
        <w:rPr>
          <w:rFonts w:ascii="Arial" w:hAnsi="Arial" w:cs="Arial"/>
        </w:rPr>
        <w:t xml:space="preserve"> in humans</w:t>
      </w:r>
      <w:r w:rsidRPr="00CC2354">
        <w:rPr>
          <w:rFonts w:ascii="Arial" w:hAnsi="Arial" w:cs="Arial"/>
        </w:rPr>
        <w:t xml:space="preserve">. </w:t>
      </w:r>
      <w:r w:rsidRPr="00A61BF3">
        <w:rPr>
          <w:rFonts w:ascii="Arial" w:hAnsi="Arial" w:cs="Arial"/>
        </w:rPr>
        <w:t>Peak load magnitudes were chosen to achieve peak compressive strains on the tibial surface of 1300</w:t>
      </w:r>
      <w:r w:rsidRPr="00A61BF3">
        <w:rPr>
          <w:rFonts w:ascii="Arial" w:hAnsi="Arial" w:cs="Arial"/>
          <w:color w:val="000000"/>
        </w:rPr>
        <w:t>µ</w:t>
      </w:r>
      <w:r w:rsidRPr="00A61BF3">
        <w:rPr>
          <w:rFonts w:ascii="Arial" w:hAnsi="Arial" w:cs="Arial"/>
        </w:rPr>
        <w:t>ε (submaximal) and 1100</w:t>
      </w:r>
      <w:r w:rsidRPr="00A61BF3">
        <w:rPr>
          <w:rFonts w:ascii="Arial" w:hAnsi="Arial" w:cs="Arial"/>
          <w:color w:val="000000"/>
        </w:rPr>
        <w:t>µ</w:t>
      </w:r>
      <w:r w:rsidRPr="00A61BF3">
        <w:rPr>
          <w:rFonts w:ascii="Arial" w:hAnsi="Arial" w:cs="Arial"/>
        </w:rPr>
        <w:t>ε (sub-threshold).</w:t>
      </w:r>
      <w:r>
        <w:rPr>
          <w:rFonts w:ascii="Arial" w:hAnsi="Arial" w:cs="Arial"/>
          <w:i/>
        </w:rPr>
        <w:t xml:space="preserve"> </w:t>
      </w:r>
    </w:p>
    <w:p w14:paraId="626EAAB1" w14:textId="77777777" w:rsidR="0022329B" w:rsidRDefault="001767AF" w:rsidP="0022329B">
      <w:pPr>
        <w:spacing w:line="480" w:lineRule="auto"/>
        <w:jc w:val="both"/>
        <w:rPr>
          <w:rFonts w:ascii="Arial" w:hAnsi="Arial"/>
        </w:rPr>
      </w:pPr>
      <w:r>
        <w:rPr>
          <w:rFonts w:ascii="Arial" w:hAnsi="Arial"/>
        </w:rPr>
        <w:t>The aim of the experiments described in this chapter was</w:t>
      </w:r>
      <w:r w:rsidR="0022329B">
        <w:rPr>
          <w:rFonts w:ascii="Arial" w:hAnsi="Arial"/>
        </w:rPr>
        <w:t xml:space="preserve"> to determine </w:t>
      </w:r>
      <w:r w:rsidR="0022329B" w:rsidRPr="00842660">
        <w:rPr>
          <w:rFonts w:ascii="Arial" w:hAnsi="Arial"/>
        </w:rPr>
        <w:t xml:space="preserve">the role of </w:t>
      </w:r>
      <w:r>
        <w:rPr>
          <w:rFonts w:ascii="Arial" w:hAnsi="Arial"/>
        </w:rPr>
        <w:t>2-</w:t>
      </w:r>
      <w:r w:rsidR="0022329B">
        <w:rPr>
          <w:rFonts w:ascii="Arial" w:hAnsi="Arial"/>
        </w:rPr>
        <w:t>hour</w:t>
      </w:r>
      <w:r w:rsidR="0022329B" w:rsidRPr="00842660">
        <w:rPr>
          <w:rFonts w:ascii="Arial" w:hAnsi="Arial"/>
        </w:rPr>
        <w:t xml:space="preserve"> food ingestion following overnight </w:t>
      </w:r>
      <w:r>
        <w:rPr>
          <w:rFonts w:ascii="Arial" w:hAnsi="Arial"/>
        </w:rPr>
        <w:t xml:space="preserve">16-hour </w:t>
      </w:r>
      <w:r w:rsidR="002C6741">
        <w:rPr>
          <w:rFonts w:ascii="Arial" w:hAnsi="Arial"/>
        </w:rPr>
        <w:t>fast</w:t>
      </w:r>
      <w:r w:rsidR="0022329B" w:rsidRPr="00842660">
        <w:rPr>
          <w:rFonts w:ascii="Arial" w:hAnsi="Arial"/>
        </w:rPr>
        <w:t xml:space="preserve"> on the effectiveness of 8N sub-threshold and 11N submaximal mechanical load</w:t>
      </w:r>
      <w:r w:rsidR="0022329B">
        <w:rPr>
          <w:rFonts w:ascii="Arial" w:hAnsi="Arial"/>
        </w:rPr>
        <w:t>ing regimens in male young mice</w:t>
      </w:r>
      <w:r w:rsidR="0022329B" w:rsidRPr="00842660">
        <w:rPr>
          <w:rFonts w:ascii="Arial" w:hAnsi="Arial"/>
        </w:rPr>
        <w:t xml:space="preserve">, mimicking low or high intensity exercise regulated by timing of feeding in young </w:t>
      </w:r>
      <w:r w:rsidR="0022329B">
        <w:rPr>
          <w:rFonts w:ascii="Arial" w:hAnsi="Arial"/>
        </w:rPr>
        <w:t xml:space="preserve">male </w:t>
      </w:r>
      <w:r w:rsidR="0022329B" w:rsidRPr="00842660">
        <w:rPr>
          <w:rFonts w:ascii="Arial" w:hAnsi="Arial"/>
        </w:rPr>
        <w:t xml:space="preserve">mice. </w:t>
      </w:r>
    </w:p>
    <w:p w14:paraId="4A972BE1" w14:textId="77777777" w:rsidR="002C2354" w:rsidRDefault="002C2354" w:rsidP="0022329B">
      <w:pPr>
        <w:spacing w:line="480" w:lineRule="auto"/>
        <w:jc w:val="both"/>
        <w:rPr>
          <w:rFonts w:ascii="Arial" w:hAnsi="Arial"/>
        </w:rPr>
      </w:pPr>
    </w:p>
    <w:p w14:paraId="247B3FF1" w14:textId="77777777" w:rsidR="002C2354" w:rsidRPr="00E43121" w:rsidRDefault="002C2354" w:rsidP="0022329B">
      <w:pPr>
        <w:spacing w:line="480" w:lineRule="auto"/>
        <w:jc w:val="both"/>
        <w:rPr>
          <w:rFonts w:ascii="Arial" w:hAnsi="Arial" w:cs="Arial"/>
          <w:vertAlign w:val="superscript"/>
        </w:rPr>
      </w:pPr>
    </w:p>
    <w:p w14:paraId="2750B4ED" w14:textId="77777777" w:rsidR="002C2354" w:rsidRDefault="0022329B" w:rsidP="00D40E59">
      <w:pPr>
        <w:pStyle w:val="Heading2"/>
      </w:pPr>
      <w:bookmarkStart w:id="126" w:name="_Toc383723907"/>
      <w:r>
        <w:lastRenderedPageBreak/>
        <w:t>5.2 Results</w:t>
      </w:r>
      <w:bookmarkEnd w:id="126"/>
    </w:p>
    <w:p w14:paraId="5E39C0A9" w14:textId="77777777" w:rsidR="00C60729" w:rsidRPr="00C60729" w:rsidRDefault="0022329B" w:rsidP="00C60729">
      <w:pPr>
        <w:pStyle w:val="Heading3"/>
        <w:spacing w:line="480" w:lineRule="auto"/>
        <w:jc w:val="both"/>
        <w:rPr>
          <w:rFonts w:ascii="Arial" w:hAnsi="Arial"/>
          <w:color w:val="auto"/>
        </w:rPr>
      </w:pPr>
      <w:bookmarkStart w:id="127" w:name="_Toc383723908"/>
      <w:r w:rsidRPr="00C60729">
        <w:rPr>
          <w:rFonts w:ascii="Arial" w:eastAsia="Times New Roman" w:hAnsi="Arial"/>
          <w:color w:val="auto"/>
        </w:rPr>
        <w:t xml:space="preserve">5.2.1 </w:t>
      </w:r>
      <w:r w:rsidR="00C60729" w:rsidRPr="00C60729">
        <w:rPr>
          <w:rFonts w:ascii="Arial" w:hAnsi="Arial"/>
          <w:color w:val="auto"/>
        </w:rPr>
        <w:t>The effect of sub-threshold mechanical loading on tibial cortical bone mass and architecture of fed or fed for 2 hours foll</w:t>
      </w:r>
      <w:r w:rsidR="00871BAA">
        <w:rPr>
          <w:rFonts w:ascii="Arial" w:hAnsi="Arial"/>
          <w:color w:val="auto"/>
        </w:rPr>
        <w:t xml:space="preserve">owing overnight fast young </w:t>
      </w:r>
      <w:r w:rsidR="00C60729" w:rsidRPr="00C60729">
        <w:rPr>
          <w:rFonts w:ascii="Arial" w:hAnsi="Arial"/>
          <w:color w:val="auto"/>
        </w:rPr>
        <w:t>mice</w:t>
      </w:r>
      <w:bookmarkEnd w:id="127"/>
    </w:p>
    <w:p w14:paraId="68A1080E" w14:textId="77777777" w:rsidR="0022329B" w:rsidRPr="00C60729" w:rsidRDefault="00C60729" w:rsidP="002C2354">
      <w:pPr>
        <w:spacing w:line="480" w:lineRule="auto"/>
        <w:jc w:val="both"/>
        <w:rPr>
          <w:rFonts w:ascii="Arial" w:eastAsiaTheme="majorEastAsia" w:hAnsi="Arial"/>
          <w:bCs/>
        </w:rPr>
      </w:pPr>
      <w:r>
        <w:rPr>
          <w:rFonts w:ascii="Arial" w:hAnsi="Arial"/>
        </w:rPr>
        <w:t>F</w:t>
      </w:r>
      <w:r w:rsidR="0022329B" w:rsidRPr="002C2354">
        <w:rPr>
          <w:rFonts w:ascii="Arial" w:hAnsi="Arial"/>
        </w:rPr>
        <w:t>ood ingestion for 2 hours following overnight fast</w:t>
      </w:r>
      <w:r w:rsidR="004C6C51">
        <w:rPr>
          <w:rFonts w:ascii="Arial" w:hAnsi="Arial"/>
        </w:rPr>
        <w:t>ing</w:t>
      </w:r>
      <w:r w:rsidR="0022329B" w:rsidRPr="002C2354">
        <w:rPr>
          <w:rFonts w:ascii="Arial" w:hAnsi="Arial"/>
        </w:rPr>
        <w:t xml:space="preserve"> potentiated bone’s response to optimal mechanical loading in young male mice. Therefore,</w:t>
      </w:r>
      <w:r>
        <w:rPr>
          <w:rFonts w:ascii="Arial" w:eastAsiaTheme="majorEastAsia" w:hAnsi="Arial"/>
          <w:bCs/>
        </w:rPr>
        <w:t xml:space="preserve"> </w:t>
      </w:r>
      <w:r w:rsidR="0022329B" w:rsidRPr="002C2354">
        <w:rPr>
          <w:rFonts w:ascii="Arial" w:hAnsi="Arial" w:cs="Arial"/>
        </w:rPr>
        <w:t>to determine interactions between loading and feeding/fasting</w:t>
      </w:r>
      <w:r w:rsidR="0022329B" w:rsidRPr="002C2354">
        <w:rPr>
          <w:rFonts w:ascii="Arial" w:hAnsi="Arial" w:cs="Arial"/>
          <w:vertAlign w:val="superscript"/>
        </w:rPr>
        <w:t xml:space="preserve"> </w:t>
      </w:r>
      <w:r w:rsidR="0022329B" w:rsidRPr="002C2354">
        <w:rPr>
          <w:rFonts w:ascii="Arial" w:hAnsi="Arial" w:cs="Arial"/>
        </w:rPr>
        <w:t xml:space="preserve">we first examined the ability of food ingestion for 2 hours following overnight fast to </w:t>
      </w:r>
      <w:r w:rsidR="0022329B" w:rsidRPr="002C2354">
        <w:rPr>
          <w:rFonts w:ascii="Arial" w:hAnsi="Arial"/>
          <w:bCs/>
        </w:rPr>
        <w:t xml:space="preserve">enhance ineffective mechanical loading in young 17-week-old male C57BL/6 mice. </w:t>
      </w:r>
    </w:p>
    <w:p w14:paraId="04BEFA2D" w14:textId="77777777" w:rsidR="0022329B" w:rsidRDefault="0022329B" w:rsidP="0022329B">
      <w:pPr>
        <w:spacing w:line="480" w:lineRule="auto"/>
        <w:jc w:val="both"/>
        <w:rPr>
          <w:rFonts w:ascii="Arial" w:hAnsi="Arial"/>
          <w:bCs/>
        </w:rPr>
      </w:pPr>
    </w:p>
    <w:p w14:paraId="2D9031D8" w14:textId="77777777" w:rsidR="00C60729" w:rsidRDefault="00932701" w:rsidP="00C60729">
      <w:pPr>
        <w:spacing w:line="480" w:lineRule="auto"/>
        <w:jc w:val="both"/>
        <w:rPr>
          <w:rFonts w:ascii="Arial" w:hAnsi="Arial" w:cs="Arial"/>
          <w:color w:val="1A1A1A"/>
        </w:rPr>
      </w:pPr>
      <w:r w:rsidRPr="00FA2DF3">
        <w:rPr>
          <w:rFonts w:ascii="Arial" w:hAnsi="Arial"/>
          <w:b/>
          <w:i/>
        </w:rPr>
        <w:t>Experimental details:</w:t>
      </w:r>
      <w:r>
        <w:rPr>
          <w:rFonts w:ascii="Arial" w:hAnsi="Arial"/>
        </w:rPr>
        <w:t xml:space="preserve"> </w:t>
      </w:r>
      <w:r w:rsidR="0022329B" w:rsidRPr="00341A88">
        <w:rPr>
          <w:rFonts w:ascii="Arial" w:hAnsi="Arial" w:cs="Arial"/>
          <w:color w:val="1A1A1A"/>
        </w:rPr>
        <w:t>Groups of 17-week-old C57BL/6 male mice (n=7) e</w:t>
      </w:r>
      <w:r w:rsidR="00F80570">
        <w:rPr>
          <w:rFonts w:ascii="Arial" w:hAnsi="Arial" w:cs="Arial"/>
          <w:color w:val="1A1A1A"/>
        </w:rPr>
        <w:t>ither fasted overnight for 16 hours</w:t>
      </w:r>
      <w:r w:rsidR="0022329B" w:rsidRPr="00341A88">
        <w:rPr>
          <w:rFonts w:ascii="Arial" w:hAnsi="Arial" w:cs="Arial"/>
          <w:color w:val="1A1A1A"/>
        </w:rPr>
        <w:t xml:space="preserve"> then fed for 2 hours or allowed free access to food ad-lib underwent axial loading of the right tibiae with 8N sub-threshold regimen, 3 times weekly for 2 weeks</w:t>
      </w:r>
      <w:r w:rsidR="002C2354">
        <w:rPr>
          <w:rFonts w:ascii="Arial" w:hAnsi="Arial" w:cs="Arial"/>
          <w:color w:val="1A1A1A"/>
        </w:rPr>
        <w:t xml:space="preserve"> (40 cycles of loading with 9s</w:t>
      </w:r>
      <w:r w:rsidR="0022329B" w:rsidRPr="00341A88">
        <w:rPr>
          <w:rFonts w:ascii="Arial" w:hAnsi="Arial" w:cs="Arial"/>
          <w:color w:val="1A1A1A"/>
        </w:rPr>
        <w:t xml:space="preserve"> rest periods between each). Left tibiae were non-loaded controls in each animal as previously described.</w:t>
      </w:r>
    </w:p>
    <w:p w14:paraId="0FD4E65E" w14:textId="77777777" w:rsidR="00C60729" w:rsidRDefault="00C60729" w:rsidP="00C60729">
      <w:pPr>
        <w:spacing w:line="480" w:lineRule="auto"/>
        <w:jc w:val="both"/>
        <w:rPr>
          <w:b/>
          <w:color w:val="000000" w:themeColor="text1"/>
        </w:rPr>
      </w:pPr>
    </w:p>
    <w:p w14:paraId="75964EC8" w14:textId="77777777" w:rsidR="00814275" w:rsidRDefault="00C60729" w:rsidP="004C6C51">
      <w:pPr>
        <w:spacing w:line="480" w:lineRule="auto"/>
        <w:jc w:val="both"/>
        <w:rPr>
          <w:rFonts w:ascii="Arial" w:hAnsi="Arial"/>
          <w:color w:val="000000" w:themeColor="text1"/>
        </w:rPr>
      </w:pPr>
      <w:r w:rsidRPr="00C60729">
        <w:rPr>
          <w:rFonts w:ascii="Arial" w:hAnsi="Arial"/>
          <w:color w:val="000000" w:themeColor="text1"/>
        </w:rPr>
        <w:t xml:space="preserve">Consistent with our previous findings sub-threshold mechanical loading, that alone was </w:t>
      </w:r>
      <w:r w:rsidR="00F80570" w:rsidRPr="00C60729">
        <w:rPr>
          <w:rFonts w:ascii="Arial" w:hAnsi="Arial"/>
          <w:color w:val="000000" w:themeColor="text1"/>
        </w:rPr>
        <w:t>insufficient</w:t>
      </w:r>
      <w:r w:rsidRPr="00C60729">
        <w:rPr>
          <w:rFonts w:ascii="Arial" w:hAnsi="Arial"/>
          <w:color w:val="000000" w:themeColor="text1"/>
        </w:rPr>
        <w:t xml:space="preserve"> to cause osteogenic response, induced significant increase in cortical thickness of loaded tibiae in fasted 2-hour fed mice when compared only with left non-loaded controls </w:t>
      </w:r>
      <w:r w:rsidRPr="00C60729">
        <w:rPr>
          <w:rFonts w:ascii="Arial" w:hAnsi="Arial"/>
        </w:rPr>
        <w:t>(0.26</w:t>
      </w:r>
      <w:r w:rsidRPr="00C60729">
        <w:rPr>
          <w:rFonts w:ascii="Arial" w:eastAsia="MS Gothic" w:hAnsi="Arial"/>
        </w:rPr>
        <w:t>±</w:t>
      </w:r>
      <w:r w:rsidRPr="00C60729">
        <w:rPr>
          <w:rFonts w:ascii="Arial" w:hAnsi="Arial"/>
        </w:rPr>
        <w:t>0.008mm versus 0.24</w:t>
      </w:r>
      <w:r w:rsidRPr="00C60729">
        <w:rPr>
          <w:rFonts w:ascii="Arial" w:eastAsia="MS Gothic" w:hAnsi="Arial"/>
        </w:rPr>
        <w:t>±</w:t>
      </w:r>
      <w:r w:rsidRPr="00C60729">
        <w:rPr>
          <w:rFonts w:ascii="Arial" w:hAnsi="Arial"/>
        </w:rPr>
        <w:t>0.008mm, p&lt;0.05)</w:t>
      </w:r>
      <w:r w:rsidRPr="00C60729">
        <w:rPr>
          <w:rFonts w:ascii="Arial" w:hAnsi="Arial"/>
          <w:color w:val="000000" w:themeColor="text1"/>
        </w:rPr>
        <w:t xml:space="preserve">. Ct.Th measured by </w:t>
      </w:r>
      <w:r w:rsidRPr="00C60729">
        <w:rPr>
          <w:rFonts w:ascii="Arial" w:hAnsi="Arial"/>
          <w:color w:val="000000" w:themeColor="text1"/>
        </w:rPr>
        <w:sym w:font="Symbol" w:char="F06D"/>
      </w:r>
      <w:r w:rsidRPr="00C60729">
        <w:rPr>
          <w:rFonts w:ascii="Arial" w:hAnsi="Arial"/>
          <w:color w:val="000000" w:themeColor="text1"/>
        </w:rPr>
        <w:t>CT</w:t>
      </w:r>
      <w:r w:rsidRPr="00C60729">
        <w:rPr>
          <w:rFonts w:ascii="Arial" w:eastAsiaTheme="minorHAnsi" w:hAnsi="Arial"/>
          <w:color w:val="000000" w:themeColor="text1"/>
        </w:rPr>
        <w:t xml:space="preserve"> </w:t>
      </w:r>
      <w:r w:rsidRPr="00C60729">
        <w:rPr>
          <w:rFonts w:ascii="Arial" w:hAnsi="Arial"/>
          <w:color w:val="000000" w:themeColor="text1"/>
        </w:rPr>
        <w:t xml:space="preserve">at the mid-shaft of the right tibiae increased in ad-lib fed mice but not significantly from left tibiae </w:t>
      </w:r>
      <w:r w:rsidRPr="00C60729">
        <w:rPr>
          <w:rFonts w:ascii="Arial" w:hAnsi="Arial"/>
        </w:rPr>
        <w:t>(0.26</w:t>
      </w:r>
      <w:r w:rsidRPr="00C60729">
        <w:rPr>
          <w:rFonts w:ascii="Arial" w:eastAsia="MS Gothic" w:hAnsi="Arial"/>
        </w:rPr>
        <w:t>±</w:t>
      </w:r>
      <w:r w:rsidRPr="00C60729">
        <w:rPr>
          <w:rFonts w:ascii="Arial" w:hAnsi="Arial"/>
        </w:rPr>
        <w:t>0.002mm versus 0.25</w:t>
      </w:r>
      <w:r w:rsidRPr="00C60729">
        <w:rPr>
          <w:rFonts w:ascii="Arial" w:eastAsia="MS Gothic" w:hAnsi="Arial"/>
        </w:rPr>
        <w:t>±</w:t>
      </w:r>
      <w:r w:rsidRPr="00C60729">
        <w:rPr>
          <w:rFonts w:ascii="Arial" w:hAnsi="Arial"/>
        </w:rPr>
        <w:t>0.004mm, p&gt;0.05</w:t>
      </w:r>
      <w:r>
        <w:rPr>
          <w:rFonts w:ascii="Arial" w:hAnsi="Arial"/>
          <w:color w:val="000000" w:themeColor="text1"/>
        </w:rPr>
        <w:t>) (Figure 40</w:t>
      </w:r>
      <w:r w:rsidRPr="00C60729">
        <w:rPr>
          <w:rFonts w:ascii="Arial" w:hAnsi="Arial"/>
          <w:color w:val="000000" w:themeColor="text1"/>
        </w:rPr>
        <w:t xml:space="preserve">D). </w:t>
      </w:r>
    </w:p>
    <w:p w14:paraId="2259360F" w14:textId="77777777" w:rsidR="00814275" w:rsidRDefault="00814275" w:rsidP="004C6C51">
      <w:pPr>
        <w:spacing w:line="480" w:lineRule="auto"/>
        <w:jc w:val="both"/>
        <w:rPr>
          <w:rFonts w:ascii="Arial" w:hAnsi="Arial"/>
          <w:color w:val="000000" w:themeColor="text1"/>
        </w:rPr>
      </w:pPr>
    </w:p>
    <w:p w14:paraId="537BAA66" w14:textId="77777777" w:rsidR="00C60729" w:rsidRDefault="00C60729" w:rsidP="004C6C51">
      <w:pPr>
        <w:spacing w:line="480" w:lineRule="auto"/>
        <w:jc w:val="both"/>
        <w:rPr>
          <w:rFonts w:ascii="Arial" w:hAnsi="Arial"/>
          <w:color w:val="000000" w:themeColor="text1"/>
        </w:rPr>
      </w:pPr>
      <w:r w:rsidRPr="004C6C51">
        <w:rPr>
          <w:rFonts w:ascii="Arial" w:hAnsi="Arial"/>
          <w:color w:val="000000" w:themeColor="text1"/>
        </w:rPr>
        <w:t xml:space="preserve">Ma.Ar of the right tibiae has decreased compared to the left non-loaded tibiae in fasted 2-hour fed mice but </w:t>
      </w:r>
      <w:r w:rsidR="00814275">
        <w:rPr>
          <w:rFonts w:ascii="Arial" w:hAnsi="Arial"/>
          <w:color w:val="000000" w:themeColor="text1"/>
        </w:rPr>
        <w:t xml:space="preserve">did </w:t>
      </w:r>
      <w:r w:rsidRPr="004C6C51">
        <w:rPr>
          <w:rFonts w:ascii="Arial" w:hAnsi="Arial"/>
          <w:color w:val="000000" w:themeColor="text1"/>
        </w:rPr>
        <w:t xml:space="preserve">not reach significance </w:t>
      </w:r>
      <w:r w:rsidRPr="004C6C51">
        <w:rPr>
          <w:rFonts w:ascii="Arial" w:hAnsi="Arial"/>
        </w:rPr>
        <w:t>(0.47</w:t>
      </w:r>
      <w:r w:rsidRPr="004C6C51">
        <w:rPr>
          <w:rFonts w:ascii="Arial" w:eastAsia="MS Gothic" w:hAnsi="Arial"/>
        </w:rPr>
        <w:t>±0.03mm</w:t>
      </w:r>
      <w:r w:rsidRPr="004C6C51">
        <w:rPr>
          <w:rFonts w:ascii="Arial" w:eastAsia="MS Gothic" w:hAnsi="Arial"/>
          <w:vertAlign w:val="superscript"/>
        </w:rPr>
        <w:t>2</w:t>
      </w:r>
      <w:r w:rsidRPr="004C6C51">
        <w:rPr>
          <w:rFonts w:ascii="Arial" w:eastAsia="MS Gothic" w:hAnsi="Arial"/>
        </w:rPr>
        <w:t xml:space="preserve"> versus 0.49±0.03mm</w:t>
      </w:r>
      <w:r w:rsidRPr="004C6C51">
        <w:rPr>
          <w:rFonts w:ascii="Arial" w:eastAsia="MS Gothic" w:hAnsi="Arial"/>
          <w:vertAlign w:val="superscript"/>
        </w:rPr>
        <w:t>2</w:t>
      </w:r>
      <w:r w:rsidRPr="004C6C51">
        <w:rPr>
          <w:rFonts w:ascii="Arial" w:eastAsia="MS Gothic" w:hAnsi="Arial"/>
        </w:rPr>
        <w:t>,</w:t>
      </w:r>
      <w:r w:rsidRPr="004C6C51">
        <w:rPr>
          <w:rFonts w:ascii="Arial" w:eastAsia="MS Gothic" w:hAnsi="Arial"/>
          <w:vertAlign w:val="superscript"/>
        </w:rPr>
        <w:t xml:space="preserve"> </w:t>
      </w:r>
      <w:r w:rsidRPr="004C6C51">
        <w:rPr>
          <w:rFonts w:ascii="Arial" w:hAnsi="Arial"/>
        </w:rPr>
        <w:t xml:space="preserve">p&gt;0.05), </w:t>
      </w:r>
      <w:r w:rsidRPr="004C6C51">
        <w:rPr>
          <w:rFonts w:ascii="Arial" w:hAnsi="Arial"/>
          <w:color w:val="000000" w:themeColor="text1"/>
        </w:rPr>
        <w:t>whereas Ma.Ar in ad-lib fed mice remained unchanged (</w:t>
      </w:r>
      <w:r w:rsidRPr="004C6C51">
        <w:rPr>
          <w:rFonts w:ascii="Arial" w:eastAsia="MS Gothic" w:hAnsi="Arial"/>
        </w:rPr>
        <w:t>0.51±0.03mm</w:t>
      </w:r>
      <w:r w:rsidRPr="004C6C51">
        <w:rPr>
          <w:rFonts w:ascii="Arial" w:eastAsia="MS Gothic" w:hAnsi="Arial"/>
          <w:vertAlign w:val="superscript"/>
        </w:rPr>
        <w:t>2</w:t>
      </w:r>
      <w:r w:rsidRPr="004C6C51">
        <w:rPr>
          <w:rFonts w:ascii="Arial" w:eastAsia="MS Gothic" w:hAnsi="Arial"/>
        </w:rPr>
        <w:t xml:space="preserve"> versus 0.51±0.02mm</w:t>
      </w:r>
      <w:r w:rsidRPr="004C6C51">
        <w:rPr>
          <w:rFonts w:ascii="Arial" w:eastAsia="MS Gothic" w:hAnsi="Arial"/>
          <w:vertAlign w:val="superscript"/>
        </w:rPr>
        <w:t>2</w:t>
      </w:r>
      <w:r w:rsidRPr="004C6C51">
        <w:rPr>
          <w:rFonts w:ascii="Arial" w:eastAsia="MS Gothic" w:hAnsi="Arial"/>
        </w:rPr>
        <w:t xml:space="preserve">, </w:t>
      </w:r>
      <w:r w:rsidRPr="004C6C51">
        <w:rPr>
          <w:rFonts w:ascii="Arial" w:hAnsi="Arial"/>
        </w:rPr>
        <w:t>p&gt;0.05</w:t>
      </w:r>
      <w:r w:rsidR="00814275">
        <w:rPr>
          <w:rFonts w:ascii="Arial" w:hAnsi="Arial"/>
          <w:color w:val="000000" w:themeColor="text1"/>
        </w:rPr>
        <w:t>), (Figure 40</w:t>
      </w:r>
      <w:r w:rsidRPr="004C6C51">
        <w:rPr>
          <w:rFonts w:ascii="Arial" w:hAnsi="Arial"/>
          <w:color w:val="000000" w:themeColor="text1"/>
        </w:rPr>
        <w:t xml:space="preserve">C). </w:t>
      </w:r>
    </w:p>
    <w:p w14:paraId="4A44F9CC" w14:textId="77777777" w:rsidR="00C60729" w:rsidRPr="00B3478A" w:rsidRDefault="00C60729" w:rsidP="00B3478A">
      <w:pPr>
        <w:spacing w:line="480" w:lineRule="auto"/>
        <w:jc w:val="both"/>
        <w:rPr>
          <w:rFonts w:ascii="Arial" w:hAnsi="Arial" w:cs="Arial"/>
        </w:rPr>
      </w:pPr>
      <w:r w:rsidRPr="00B3478A">
        <w:rPr>
          <w:rFonts w:ascii="Arial" w:hAnsi="Arial" w:cs="Arial"/>
        </w:rPr>
        <w:lastRenderedPageBreak/>
        <w:t>Sub-maximal loading had no significant effect on Ct.Ar (fasted 2-hour fed: 0.74±0.03mm</w:t>
      </w:r>
      <w:r w:rsidRPr="00B3478A">
        <w:rPr>
          <w:rFonts w:ascii="Arial" w:hAnsi="Arial" w:cs="Arial"/>
          <w:vertAlign w:val="superscript"/>
        </w:rPr>
        <w:t>2</w:t>
      </w:r>
      <w:r w:rsidRPr="00B3478A">
        <w:rPr>
          <w:rFonts w:ascii="Arial" w:hAnsi="Arial" w:cs="Arial"/>
        </w:rPr>
        <w:t xml:space="preserve"> versus 0.71±0.04mm</w:t>
      </w:r>
      <w:r w:rsidRPr="00B3478A">
        <w:rPr>
          <w:rFonts w:ascii="Arial" w:hAnsi="Arial" w:cs="Arial"/>
          <w:vertAlign w:val="superscript"/>
        </w:rPr>
        <w:t>2</w:t>
      </w:r>
      <w:r w:rsidRPr="00B3478A">
        <w:rPr>
          <w:rFonts w:ascii="Arial" w:hAnsi="Arial" w:cs="Arial"/>
        </w:rPr>
        <w:t>,</w:t>
      </w:r>
      <w:r w:rsidRPr="00B3478A">
        <w:rPr>
          <w:rFonts w:ascii="Arial" w:hAnsi="Arial" w:cs="Arial"/>
          <w:vertAlign w:val="superscript"/>
        </w:rPr>
        <w:t xml:space="preserve"> </w:t>
      </w:r>
      <w:r w:rsidRPr="00B3478A">
        <w:rPr>
          <w:rFonts w:ascii="Arial" w:hAnsi="Arial" w:cs="Arial"/>
        </w:rPr>
        <w:t>p&gt;0.05; ad-lib fed: 0.78±0.02mm</w:t>
      </w:r>
      <w:r w:rsidRPr="00B3478A">
        <w:rPr>
          <w:rFonts w:ascii="Arial" w:hAnsi="Arial" w:cs="Arial"/>
          <w:vertAlign w:val="superscript"/>
        </w:rPr>
        <w:t xml:space="preserve">2 </w:t>
      </w:r>
      <w:r w:rsidRPr="00B3478A">
        <w:rPr>
          <w:rFonts w:ascii="Arial" w:hAnsi="Arial" w:cs="Arial"/>
        </w:rPr>
        <w:t>versus 0.76±0.02mm</w:t>
      </w:r>
      <w:r w:rsidRPr="00B3478A">
        <w:rPr>
          <w:rFonts w:ascii="Arial" w:hAnsi="Arial" w:cs="Arial"/>
          <w:vertAlign w:val="superscript"/>
        </w:rPr>
        <w:t>2</w:t>
      </w:r>
      <w:r w:rsidRPr="00B3478A">
        <w:rPr>
          <w:rFonts w:ascii="Arial" w:hAnsi="Arial" w:cs="Arial"/>
        </w:rPr>
        <w:t>,</w:t>
      </w:r>
      <w:r w:rsidRPr="00B3478A">
        <w:rPr>
          <w:rFonts w:ascii="Arial" w:hAnsi="Arial" w:cs="Arial"/>
          <w:vertAlign w:val="superscript"/>
        </w:rPr>
        <w:t xml:space="preserve"> </w:t>
      </w:r>
      <w:r w:rsidRPr="00B3478A">
        <w:rPr>
          <w:rFonts w:ascii="Arial" w:hAnsi="Arial" w:cs="Arial"/>
        </w:rPr>
        <w:t>p&gt;0.05) and Tt.Ar (fasted fed: 1.20±0.06mm</w:t>
      </w:r>
      <w:r w:rsidRPr="00B3478A">
        <w:rPr>
          <w:rFonts w:ascii="Arial" w:hAnsi="Arial" w:cs="Arial"/>
          <w:vertAlign w:val="superscript"/>
        </w:rPr>
        <w:t>2</w:t>
      </w:r>
      <w:r w:rsidRPr="00B3478A">
        <w:rPr>
          <w:rFonts w:ascii="Arial" w:hAnsi="Arial" w:cs="Arial"/>
        </w:rPr>
        <w:t xml:space="preserve"> versus 1.21±0.06mm</w:t>
      </w:r>
      <w:r w:rsidRPr="00B3478A">
        <w:rPr>
          <w:rFonts w:ascii="Arial" w:hAnsi="Arial" w:cs="Arial"/>
          <w:vertAlign w:val="superscript"/>
        </w:rPr>
        <w:t>2</w:t>
      </w:r>
      <w:r w:rsidRPr="00B3478A">
        <w:rPr>
          <w:rFonts w:ascii="Arial" w:hAnsi="Arial" w:cs="Arial"/>
        </w:rPr>
        <w:t>,</w:t>
      </w:r>
      <w:r w:rsidRPr="00B3478A">
        <w:rPr>
          <w:rFonts w:ascii="Arial" w:hAnsi="Arial" w:cs="Arial"/>
          <w:vertAlign w:val="superscript"/>
        </w:rPr>
        <w:t xml:space="preserve"> </w:t>
      </w:r>
      <w:r w:rsidRPr="00B3478A">
        <w:rPr>
          <w:rFonts w:ascii="Arial" w:hAnsi="Arial" w:cs="Arial"/>
        </w:rPr>
        <w:t>p&gt;0.05; ad-lib fed: 1.29±0.05mm</w:t>
      </w:r>
      <w:r w:rsidRPr="00B3478A">
        <w:rPr>
          <w:rFonts w:ascii="Arial" w:hAnsi="Arial" w:cs="Arial"/>
          <w:vertAlign w:val="superscript"/>
        </w:rPr>
        <w:t xml:space="preserve">2 </w:t>
      </w:r>
      <w:r w:rsidRPr="00B3478A">
        <w:rPr>
          <w:rFonts w:ascii="Arial" w:hAnsi="Arial" w:cs="Arial"/>
        </w:rPr>
        <w:t>versus 1.27±0.04mm</w:t>
      </w:r>
      <w:r w:rsidRPr="00B3478A">
        <w:rPr>
          <w:rFonts w:ascii="Arial" w:hAnsi="Arial" w:cs="Arial"/>
          <w:vertAlign w:val="superscript"/>
        </w:rPr>
        <w:t>2</w:t>
      </w:r>
      <w:r w:rsidRPr="00B3478A">
        <w:rPr>
          <w:rFonts w:ascii="Arial" w:hAnsi="Arial" w:cs="Arial"/>
        </w:rPr>
        <w:t>,</w:t>
      </w:r>
      <w:r w:rsidRPr="00B3478A">
        <w:rPr>
          <w:rFonts w:ascii="Arial" w:hAnsi="Arial" w:cs="Arial"/>
          <w:vertAlign w:val="superscript"/>
        </w:rPr>
        <w:t xml:space="preserve"> </w:t>
      </w:r>
      <w:r w:rsidRPr="00B3478A">
        <w:rPr>
          <w:rFonts w:ascii="Arial" w:hAnsi="Arial" w:cs="Arial"/>
        </w:rPr>
        <w:t>p&gt;0.05) within and between t</w:t>
      </w:r>
      <w:r w:rsidR="00814275" w:rsidRPr="00B3478A">
        <w:rPr>
          <w:rFonts w:ascii="Arial" w:hAnsi="Arial" w:cs="Arial"/>
        </w:rPr>
        <w:t>he experimental groups (Figure 40A, B</w:t>
      </w:r>
      <w:r w:rsidRPr="00B3478A">
        <w:rPr>
          <w:rFonts w:ascii="Arial" w:hAnsi="Arial" w:cs="Arial"/>
        </w:rPr>
        <w:t xml:space="preserve">). </w:t>
      </w:r>
    </w:p>
    <w:p w14:paraId="532FF2C8" w14:textId="77777777" w:rsidR="00C60729" w:rsidRDefault="00C60729" w:rsidP="00C60729">
      <w:pPr>
        <w:spacing w:line="480" w:lineRule="auto"/>
        <w:jc w:val="both"/>
      </w:pPr>
    </w:p>
    <w:p w14:paraId="7181BD2B" w14:textId="77777777" w:rsidR="00C60729" w:rsidRDefault="00C60729" w:rsidP="00C60729"/>
    <w:p w14:paraId="194304A6" w14:textId="77777777" w:rsidR="00814275" w:rsidRDefault="00814275" w:rsidP="00C60729"/>
    <w:p w14:paraId="3B1608AE" w14:textId="77777777" w:rsidR="00814275" w:rsidRDefault="00814275" w:rsidP="00C60729"/>
    <w:p w14:paraId="5757D3C6" w14:textId="77777777" w:rsidR="00814275" w:rsidRDefault="00814275" w:rsidP="00C60729"/>
    <w:p w14:paraId="5F644797" w14:textId="77777777" w:rsidR="00814275" w:rsidRDefault="00814275" w:rsidP="00C60729"/>
    <w:p w14:paraId="251B64F1" w14:textId="77777777" w:rsidR="00814275" w:rsidRDefault="00814275" w:rsidP="00C60729"/>
    <w:p w14:paraId="26FC3969" w14:textId="77777777" w:rsidR="00814275" w:rsidRDefault="00814275" w:rsidP="00C60729"/>
    <w:p w14:paraId="35332C0A" w14:textId="77777777" w:rsidR="00814275" w:rsidRDefault="00814275" w:rsidP="00C60729"/>
    <w:p w14:paraId="072D4CA2" w14:textId="77777777" w:rsidR="00814275" w:rsidRDefault="00814275" w:rsidP="00C60729"/>
    <w:p w14:paraId="6FE1A3E3" w14:textId="77777777" w:rsidR="00814275" w:rsidRDefault="00814275" w:rsidP="00C60729"/>
    <w:p w14:paraId="3E592EC8" w14:textId="77777777" w:rsidR="00814275" w:rsidRDefault="00814275" w:rsidP="00C60729"/>
    <w:p w14:paraId="7E64771C" w14:textId="77777777" w:rsidR="00814275" w:rsidRDefault="00814275" w:rsidP="00C60729"/>
    <w:p w14:paraId="6F3A5FCF" w14:textId="77777777" w:rsidR="00814275" w:rsidRDefault="00814275" w:rsidP="00C60729"/>
    <w:p w14:paraId="2D7A851B" w14:textId="77777777" w:rsidR="00814275" w:rsidRDefault="00814275" w:rsidP="00C60729"/>
    <w:p w14:paraId="50512EDB" w14:textId="77777777" w:rsidR="00814275" w:rsidRDefault="00814275" w:rsidP="00C60729"/>
    <w:p w14:paraId="557F5D6D" w14:textId="77777777" w:rsidR="00C60729" w:rsidRDefault="00C60729" w:rsidP="00C60729"/>
    <w:p w14:paraId="122FFE95" w14:textId="77777777" w:rsidR="00C60729" w:rsidRDefault="00C60729" w:rsidP="00C60729"/>
    <w:p w14:paraId="564667C1" w14:textId="77777777" w:rsidR="00C60729" w:rsidRDefault="00C60729" w:rsidP="00C60729"/>
    <w:p w14:paraId="660737D8" w14:textId="77777777" w:rsidR="00814275" w:rsidRDefault="00814275" w:rsidP="00C60729"/>
    <w:p w14:paraId="3DF6466A" w14:textId="77777777" w:rsidR="00814275" w:rsidRPr="00814275" w:rsidRDefault="00814275" w:rsidP="00814275"/>
    <w:p w14:paraId="2BF82E65" w14:textId="77777777" w:rsidR="00814275" w:rsidRPr="00814275" w:rsidRDefault="00814275" w:rsidP="00814275"/>
    <w:p w14:paraId="6B18A305" w14:textId="77777777" w:rsidR="00814275" w:rsidRPr="00814275" w:rsidRDefault="00814275" w:rsidP="00814275"/>
    <w:p w14:paraId="2B32D7DA" w14:textId="77777777" w:rsidR="00814275" w:rsidRPr="00814275" w:rsidRDefault="00814275" w:rsidP="00814275"/>
    <w:p w14:paraId="588F825D" w14:textId="77777777" w:rsidR="00814275" w:rsidRPr="00814275" w:rsidRDefault="00814275" w:rsidP="00814275"/>
    <w:p w14:paraId="1488FE28" w14:textId="77777777" w:rsidR="00814275" w:rsidRPr="00814275" w:rsidRDefault="00814275" w:rsidP="00814275"/>
    <w:p w14:paraId="668B0C3C" w14:textId="77777777" w:rsidR="00814275" w:rsidRPr="00814275" w:rsidRDefault="00814275" w:rsidP="00814275"/>
    <w:p w14:paraId="7F61537A" w14:textId="77777777" w:rsidR="00814275" w:rsidRPr="00814275" w:rsidRDefault="00814275" w:rsidP="00814275"/>
    <w:p w14:paraId="53CC6EEC" w14:textId="77777777" w:rsidR="00814275" w:rsidRPr="00814275" w:rsidRDefault="00814275" w:rsidP="00814275"/>
    <w:p w14:paraId="64C83A76" w14:textId="77777777" w:rsidR="00814275" w:rsidRPr="00814275" w:rsidRDefault="00814275" w:rsidP="00814275"/>
    <w:p w14:paraId="70779BD4" w14:textId="77777777" w:rsidR="00814275" w:rsidRPr="00814275" w:rsidRDefault="00814275" w:rsidP="00814275"/>
    <w:p w14:paraId="37A2017D" w14:textId="77777777" w:rsidR="00814275" w:rsidRPr="00814275" w:rsidRDefault="00814275" w:rsidP="00814275"/>
    <w:p w14:paraId="5D1FDA6C" w14:textId="77777777" w:rsidR="00814275" w:rsidRDefault="00814275" w:rsidP="00814275"/>
    <w:p w14:paraId="2A0B3C0D" w14:textId="77777777" w:rsidR="00814275" w:rsidRDefault="00814275" w:rsidP="00814275"/>
    <w:p w14:paraId="0C0B77E5" w14:textId="77777777" w:rsidR="00C60729" w:rsidRDefault="00C60729" w:rsidP="00814275"/>
    <w:p w14:paraId="2F03565F" w14:textId="77777777" w:rsidR="00814275" w:rsidRDefault="00814275" w:rsidP="00814275"/>
    <w:p w14:paraId="2E154D9C" w14:textId="77777777" w:rsidR="00814275" w:rsidRDefault="00814275" w:rsidP="00814275"/>
    <w:p w14:paraId="024F1E03" w14:textId="77777777" w:rsidR="003E002E" w:rsidRDefault="003E002E" w:rsidP="00814275"/>
    <w:p w14:paraId="303EFF61" w14:textId="77777777" w:rsidR="003E002E" w:rsidRDefault="003E002E" w:rsidP="00814275"/>
    <w:p w14:paraId="7BD7FF1C" w14:textId="77777777" w:rsidR="003E002E" w:rsidRDefault="003E002E" w:rsidP="00814275"/>
    <w:p w14:paraId="2862C1F8" w14:textId="77777777" w:rsidR="00932701" w:rsidRDefault="00932701" w:rsidP="00814275"/>
    <w:p w14:paraId="6FB8170A" w14:textId="77777777" w:rsidR="00932701" w:rsidRDefault="00932701" w:rsidP="00814275"/>
    <w:p w14:paraId="0458D392" w14:textId="77777777" w:rsidR="00FA1243" w:rsidRPr="00814275" w:rsidRDefault="00FA1243" w:rsidP="00814275"/>
    <w:p w14:paraId="5EB9421B" w14:textId="77777777" w:rsidR="00C60729" w:rsidRDefault="00C60729" w:rsidP="00712858">
      <w:pPr>
        <w:pStyle w:val="Caption"/>
        <w:spacing w:line="360" w:lineRule="auto"/>
        <w:ind w:right="-7"/>
      </w:pPr>
      <w:r>
        <w:rPr>
          <w:noProof/>
          <w:color w:val="1F497D" w:themeColor="text2"/>
          <w:sz w:val="24"/>
          <w:szCs w:val="24"/>
          <w:lang w:val="en-US"/>
        </w:rPr>
        <w:drawing>
          <wp:inline distT="0" distB="0" distL="0" distR="0" wp14:anchorId="6E401B86" wp14:editId="2C6CD19A">
            <wp:extent cx="3048000" cy="2789817"/>
            <wp:effectExtent l="0" t="0" r="0" b="4445"/>
            <wp:docPr id="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48000" cy="2789817"/>
                    </a:xfrm>
                    <a:prstGeom prst="rect">
                      <a:avLst/>
                    </a:prstGeom>
                    <a:noFill/>
                    <a:ln>
                      <a:noFill/>
                    </a:ln>
                  </pic:spPr>
                </pic:pic>
              </a:graphicData>
            </a:graphic>
          </wp:inline>
        </w:drawing>
      </w:r>
      <w:r w:rsidRPr="0055795F">
        <w:t xml:space="preserve"> </w:t>
      </w:r>
      <w:r>
        <w:rPr>
          <w:noProof/>
          <w:color w:val="1F497D" w:themeColor="text2"/>
          <w:sz w:val="24"/>
          <w:szCs w:val="24"/>
          <w:lang w:val="en-US"/>
        </w:rPr>
        <w:drawing>
          <wp:inline distT="0" distB="0" distL="0" distR="0" wp14:anchorId="65B1C667" wp14:editId="701545DE">
            <wp:extent cx="3030793" cy="2617470"/>
            <wp:effectExtent l="0" t="0" r="0" b="0"/>
            <wp:docPr id="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30793" cy="2617470"/>
                    </a:xfrm>
                    <a:prstGeom prst="rect">
                      <a:avLst/>
                    </a:prstGeom>
                    <a:noFill/>
                    <a:ln>
                      <a:noFill/>
                    </a:ln>
                  </pic:spPr>
                </pic:pic>
              </a:graphicData>
            </a:graphic>
          </wp:inline>
        </w:drawing>
      </w:r>
    </w:p>
    <w:p w14:paraId="0429FD40" w14:textId="77777777" w:rsidR="00712858" w:rsidRPr="00712858" w:rsidRDefault="00712858" w:rsidP="00712858"/>
    <w:p w14:paraId="59E521E4" w14:textId="77777777" w:rsidR="00386A0D" w:rsidRDefault="00C60729" w:rsidP="00386A0D">
      <w:pPr>
        <w:keepNext/>
        <w:ind w:left="284"/>
      </w:pPr>
      <w:r>
        <w:rPr>
          <w:noProof/>
          <w:lang w:val="en-US"/>
        </w:rPr>
        <w:drawing>
          <wp:inline distT="0" distB="0" distL="0" distR="0" wp14:anchorId="7B26376D" wp14:editId="04295274">
            <wp:extent cx="2823845" cy="2615345"/>
            <wp:effectExtent l="0" t="0" r="0" b="1270"/>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23882" cy="2615379"/>
                    </a:xfrm>
                    <a:prstGeom prst="rect">
                      <a:avLst/>
                    </a:prstGeom>
                    <a:noFill/>
                    <a:ln>
                      <a:noFill/>
                    </a:ln>
                  </pic:spPr>
                </pic:pic>
              </a:graphicData>
            </a:graphic>
          </wp:inline>
        </w:drawing>
      </w:r>
      <w:r w:rsidRPr="00AA054A">
        <w:t xml:space="preserve"> </w:t>
      </w:r>
      <w:r>
        <w:rPr>
          <w:noProof/>
          <w:lang w:val="en-US"/>
        </w:rPr>
        <w:drawing>
          <wp:inline distT="0" distB="0" distL="0" distR="0" wp14:anchorId="404CD760" wp14:editId="5EEF504B">
            <wp:extent cx="3052916" cy="2600669"/>
            <wp:effectExtent l="0" t="0" r="0" b="0"/>
            <wp:docPr id="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53258" cy="2600960"/>
                    </a:xfrm>
                    <a:prstGeom prst="rect">
                      <a:avLst/>
                    </a:prstGeom>
                    <a:noFill/>
                    <a:ln>
                      <a:noFill/>
                    </a:ln>
                  </pic:spPr>
                </pic:pic>
              </a:graphicData>
            </a:graphic>
          </wp:inline>
        </w:drawing>
      </w:r>
    </w:p>
    <w:p w14:paraId="46521706" w14:textId="77777777" w:rsidR="00386A0D" w:rsidRDefault="00386A0D" w:rsidP="00386A0D">
      <w:pPr>
        <w:pStyle w:val="Caption"/>
      </w:pPr>
    </w:p>
    <w:p w14:paraId="564A09EF" w14:textId="77777777" w:rsidR="00386A0D" w:rsidRDefault="00386A0D" w:rsidP="00386A0D">
      <w:pPr>
        <w:pStyle w:val="Caption"/>
      </w:pPr>
    </w:p>
    <w:p w14:paraId="716BFDF9" w14:textId="77777777" w:rsidR="00386A0D" w:rsidRPr="001928EA" w:rsidRDefault="00386A0D" w:rsidP="00386A0D">
      <w:pPr>
        <w:pStyle w:val="Caption"/>
        <w:spacing w:line="360" w:lineRule="auto"/>
        <w:jc w:val="both"/>
        <w:rPr>
          <w:rFonts w:ascii="Arial" w:hAnsi="Arial"/>
          <w:color w:val="244061" w:themeColor="accent1" w:themeShade="80"/>
          <w:sz w:val="24"/>
          <w:szCs w:val="24"/>
        </w:rPr>
      </w:pPr>
      <w:bookmarkStart w:id="128" w:name="_Toc383544631"/>
      <w:r w:rsidRPr="001928EA">
        <w:rPr>
          <w:rFonts w:ascii="Arial" w:hAnsi="Arial"/>
          <w:color w:val="244061" w:themeColor="accent1" w:themeShade="80"/>
          <w:sz w:val="24"/>
          <w:szCs w:val="24"/>
        </w:rPr>
        <w:t xml:space="preserve">Figure </w:t>
      </w:r>
      <w:r w:rsidRPr="001928EA">
        <w:rPr>
          <w:rFonts w:ascii="Arial" w:hAnsi="Arial"/>
          <w:color w:val="244061" w:themeColor="accent1" w:themeShade="80"/>
          <w:sz w:val="24"/>
          <w:szCs w:val="24"/>
        </w:rPr>
        <w:fldChar w:fldCharType="begin"/>
      </w:r>
      <w:r w:rsidRPr="001928EA">
        <w:rPr>
          <w:rFonts w:ascii="Arial" w:hAnsi="Arial"/>
          <w:color w:val="244061" w:themeColor="accent1" w:themeShade="80"/>
          <w:sz w:val="24"/>
          <w:szCs w:val="24"/>
        </w:rPr>
        <w:instrText xml:space="preserve"> SEQ Figure \* ARABIC </w:instrText>
      </w:r>
      <w:r w:rsidRPr="001928EA">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40</w:t>
      </w:r>
      <w:r w:rsidRPr="001928EA">
        <w:rPr>
          <w:rFonts w:ascii="Arial" w:hAnsi="Arial"/>
          <w:color w:val="244061" w:themeColor="accent1" w:themeShade="80"/>
          <w:sz w:val="24"/>
          <w:szCs w:val="24"/>
        </w:rPr>
        <w:fldChar w:fldCharType="end"/>
      </w:r>
      <w:r w:rsidRPr="001928EA">
        <w:rPr>
          <w:rFonts w:ascii="Arial" w:hAnsi="Arial"/>
          <w:color w:val="244061" w:themeColor="accent1" w:themeShade="80"/>
          <w:sz w:val="24"/>
          <w:szCs w:val="24"/>
        </w:rPr>
        <w:t xml:space="preserve"> The effect of sub-threshold mechanical loading with a peak force of 8N on cortical </w:t>
      </w:r>
      <w:r w:rsidR="001928EA" w:rsidRPr="001928EA">
        <w:rPr>
          <w:rFonts w:ascii="Arial" w:hAnsi="Arial"/>
          <w:color w:val="244061" w:themeColor="accent1" w:themeShade="80"/>
          <w:sz w:val="24"/>
          <w:szCs w:val="24"/>
        </w:rPr>
        <w:t xml:space="preserve">Ct.Ar (A), Tt.Ar (B), Ma.Ar (C) and Ct.Th (D) </w:t>
      </w:r>
      <w:r w:rsidRPr="001928EA">
        <w:rPr>
          <w:rFonts w:ascii="Arial" w:hAnsi="Arial"/>
          <w:color w:val="244061" w:themeColor="accent1" w:themeShade="80"/>
          <w:sz w:val="24"/>
          <w:szCs w:val="24"/>
        </w:rPr>
        <w:t xml:space="preserve">at the tibial mid-shaft </w:t>
      </w:r>
      <w:r w:rsidRPr="001928EA">
        <w:rPr>
          <w:rFonts w:ascii="Arial" w:eastAsiaTheme="minorHAnsi" w:hAnsi="Arial"/>
          <w:bCs w:val="0"/>
          <w:color w:val="244061" w:themeColor="accent1" w:themeShade="80"/>
          <w:sz w:val="24"/>
          <w:szCs w:val="24"/>
          <w:lang w:val="en-US"/>
        </w:rPr>
        <w:t>of 19-week-old fed (n=7) or overnight fasted 2- hour fed (n=7) male mice</w:t>
      </w:r>
      <w:bookmarkEnd w:id="128"/>
      <w:r w:rsidRPr="001928EA">
        <w:rPr>
          <w:rFonts w:ascii="Arial" w:eastAsiaTheme="minorHAnsi" w:hAnsi="Arial"/>
          <w:bCs w:val="0"/>
          <w:color w:val="244061" w:themeColor="accent1" w:themeShade="80"/>
          <w:sz w:val="24"/>
          <w:szCs w:val="24"/>
          <w:lang w:val="en-US"/>
        </w:rPr>
        <w:t xml:space="preserve"> </w:t>
      </w:r>
    </w:p>
    <w:p w14:paraId="56FB25BA" w14:textId="77777777" w:rsidR="00D768D7" w:rsidRDefault="00C60729" w:rsidP="00C60729">
      <w:pPr>
        <w:spacing w:line="360" w:lineRule="auto"/>
        <w:jc w:val="both"/>
        <w:rPr>
          <w:rFonts w:ascii="Arial" w:eastAsiaTheme="minorHAnsi" w:hAnsi="Arial" w:cs="Arial"/>
          <w:sz w:val="22"/>
          <w:szCs w:val="22"/>
        </w:rPr>
      </w:pPr>
      <w:r>
        <w:rPr>
          <w:rFonts w:ascii="Arial" w:eastAsiaTheme="minorHAnsi" w:hAnsi="Arial" w:cs="Arial"/>
          <w:sz w:val="22"/>
          <w:szCs w:val="22"/>
        </w:rPr>
        <w:t xml:space="preserve">Feeding for 2 hours following overnight fast had no effect on sub-threshold mechanical loading related changes in </w:t>
      </w:r>
      <w:r w:rsidR="001928EA">
        <w:rPr>
          <w:rFonts w:ascii="Arial" w:eastAsiaTheme="minorHAnsi" w:hAnsi="Arial" w:cs="Arial"/>
          <w:sz w:val="22"/>
          <w:szCs w:val="22"/>
        </w:rPr>
        <w:t xml:space="preserve">Ct.Ar, Tt.Ar and Ma.Ar </w:t>
      </w:r>
      <w:r>
        <w:rPr>
          <w:rFonts w:ascii="Arial" w:eastAsiaTheme="minorHAnsi" w:hAnsi="Arial" w:cs="Arial"/>
          <w:sz w:val="22"/>
          <w:szCs w:val="22"/>
        </w:rPr>
        <w:t xml:space="preserve">measured by </w:t>
      </w:r>
      <w:r w:rsidRPr="00A3239C">
        <w:rPr>
          <w:rFonts w:ascii="Arial" w:hAnsi="Arial" w:cs="Arial"/>
          <w:color w:val="000000" w:themeColor="text1"/>
          <w:sz w:val="22"/>
          <w:szCs w:val="22"/>
        </w:rPr>
        <w:sym w:font="Symbol" w:char="F06D"/>
      </w:r>
      <w:r>
        <w:rPr>
          <w:rFonts w:ascii="Arial" w:eastAsiaTheme="minorHAnsi" w:hAnsi="Arial" w:cs="Arial"/>
          <w:sz w:val="22"/>
          <w:szCs w:val="22"/>
        </w:rPr>
        <w:t>CT at the mid-shaft of tibiae</w:t>
      </w:r>
      <w:r w:rsidR="006C3EF1">
        <w:rPr>
          <w:rFonts w:ascii="Arial" w:eastAsiaTheme="minorHAnsi" w:hAnsi="Arial" w:cs="Arial"/>
          <w:sz w:val="22"/>
          <w:szCs w:val="22"/>
        </w:rPr>
        <w:t>. Significant increase in Ct.Th</w:t>
      </w:r>
      <w:r w:rsidR="00386A0D">
        <w:rPr>
          <w:rFonts w:ascii="Arial" w:eastAsiaTheme="minorHAnsi" w:hAnsi="Arial" w:cs="Arial"/>
          <w:sz w:val="22"/>
          <w:szCs w:val="22"/>
        </w:rPr>
        <w:t xml:space="preserve"> </w:t>
      </w:r>
      <w:r>
        <w:rPr>
          <w:rFonts w:ascii="Arial" w:eastAsiaTheme="minorHAnsi" w:hAnsi="Arial" w:cs="Arial"/>
          <w:sz w:val="22"/>
          <w:szCs w:val="22"/>
        </w:rPr>
        <w:t xml:space="preserve">of the right loaded tibiae was observed in fasted 2-hour fed mice compared to left controls when assessed using paired two-tail Student’s </w:t>
      </w:r>
      <w:r w:rsidRPr="002E6130">
        <w:rPr>
          <w:rFonts w:ascii="Arial" w:eastAsiaTheme="minorHAnsi" w:hAnsi="Arial" w:cs="Arial"/>
          <w:i/>
          <w:sz w:val="22"/>
          <w:szCs w:val="22"/>
        </w:rPr>
        <w:t>t</w:t>
      </w:r>
      <w:r>
        <w:rPr>
          <w:rFonts w:ascii="Arial" w:eastAsiaTheme="minorHAnsi" w:hAnsi="Arial" w:cs="Arial"/>
          <w:sz w:val="22"/>
          <w:szCs w:val="22"/>
        </w:rPr>
        <w:t xml:space="preserve">-test. The effect of mechanical loading within and across the experimental groups was assessed using two-way ANOVA corrected with Tukey post-hoc test for multiple comparisons. </w:t>
      </w:r>
    </w:p>
    <w:p w14:paraId="7BE33C8A" w14:textId="77777777" w:rsidR="00C60729" w:rsidRDefault="00C60729" w:rsidP="00C60729">
      <w:pPr>
        <w:spacing w:line="360" w:lineRule="auto"/>
        <w:jc w:val="both"/>
        <w:rPr>
          <w:rFonts w:ascii="Arial" w:eastAsiaTheme="minorHAnsi" w:hAnsi="Arial" w:cs="Arial"/>
          <w:sz w:val="22"/>
          <w:szCs w:val="22"/>
        </w:rPr>
      </w:pPr>
      <w:r>
        <w:rPr>
          <w:rFonts w:ascii="Arial" w:eastAsiaTheme="minorHAnsi" w:hAnsi="Arial" w:cs="Arial"/>
          <w:sz w:val="22"/>
          <w:szCs w:val="22"/>
        </w:rPr>
        <w:t>Bars represent mean</w:t>
      </w:r>
      <w:r w:rsidRPr="004D06C6">
        <w:rPr>
          <w:rFonts w:ascii="Arial" w:eastAsia="MS Gothic" w:hAnsi="Arial" w:cs="Arial"/>
          <w:sz w:val="22"/>
          <w:szCs w:val="22"/>
        </w:rPr>
        <w:t>±</w:t>
      </w:r>
      <w:r w:rsidR="00D768D7">
        <w:rPr>
          <w:rFonts w:ascii="Arial" w:eastAsiaTheme="minorHAnsi" w:hAnsi="Arial" w:cs="Arial"/>
          <w:sz w:val="22"/>
          <w:szCs w:val="22"/>
        </w:rPr>
        <w:t>SE.</w:t>
      </w:r>
      <w:r w:rsidR="00D768D7" w:rsidRPr="00D768D7">
        <w:rPr>
          <w:rFonts w:ascii="Arial" w:eastAsiaTheme="minorHAnsi" w:hAnsi="Arial" w:cs="Arial"/>
          <w:sz w:val="22"/>
          <w:szCs w:val="22"/>
        </w:rPr>
        <w:t xml:space="preserve"> </w:t>
      </w:r>
      <w:r w:rsidR="00D768D7">
        <w:rPr>
          <w:rFonts w:ascii="Arial" w:eastAsiaTheme="minorHAnsi" w:hAnsi="Arial" w:cs="Arial"/>
          <w:sz w:val="22"/>
          <w:szCs w:val="22"/>
        </w:rPr>
        <w:t xml:space="preserve">* </w:t>
      </w:r>
      <w:proofErr w:type="gramStart"/>
      <w:r w:rsidR="00D768D7">
        <w:rPr>
          <w:rFonts w:ascii="Arial" w:eastAsiaTheme="minorHAnsi" w:hAnsi="Arial" w:cs="Arial"/>
          <w:sz w:val="22"/>
          <w:szCs w:val="22"/>
        </w:rPr>
        <w:t>p</w:t>
      </w:r>
      <w:proofErr w:type="gramEnd"/>
      <w:r w:rsidR="00D768D7">
        <w:rPr>
          <w:rFonts w:ascii="Arial" w:eastAsiaTheme="minorHAnsi" w:hAnsi="Arial" w:cs="Arial"/>
          <w:sz w:val="22"/>
          <w:szCs w:val="22"/>
        </w:rPr>
        <w:t>&lt;0.05</w:t>
      </w:r>
    </w:p>
    <w:p w14:paraId="57967085" w14:textId="77777777" w:rsidR="00C60729" w:rsidRDefault="00C60729" w:rsidP="00C60729">
      <w:pPr>
        <w:pStyle w:val="Heading3"/>
        <w:spacing w:line="480" w:lineRule="auto"/>
        <w:jc w:val="both"/>
        <w:rPr>
          <w:rFonts w:ascii="Arial" w:hAnsi="Arial"/>
          <w:color w:val="auto"/>
        </w:rPr>
      </w:pPr>
      <w:bookmarkStart w:id="129" w:name="_Toc383723909"/>
      <w:r>
        <w:rPr>
          <w:rFonts w:ascii="Arial" w:hAnsi="Arial"/>
          <w:color w:val="auto"/>
        </w:rPr>
        <w:lastRenderedPageBreak/>
        <w:t xml:space="preserve">5.2.2 </w:t>
      </w:r>
      <w:r w:rsidRPr="002C2354">
        <w:rPr>
          <w:rFonts w:ascii="Arial" w:hAnsi="Arial"/>
          <w:color w:val="auto"/>
        </w:rPr>
        <w:t>The effect of sub-threshold mechanical loading</w:t>
      </w:r>
      <w:r w:rsidR="00902E69">
        <w:rPr>
          <w:rFonts w:ascii="Arial" w:hAnsi="Arial"/>
          <w:color w:val="auto"/>
        </w:rPr>
        <w:t xml:space="preserve"> on tibial trabecular bone mass </w:t>
      </w:r>
      <w:r w:rsidRPr="002C2354">
        <w:rPr>
          <w:rFonts w:ascii="Arial" w:hAnsi="Arial"/>
          <w:color w:val="auto"/>
        </w:rPr>
        <w:t>and architecture of fed or fed for 2 hours foll</w:t>
      </w:r>
      <w:r w:rsidR="00AC5B49">
        <w:rPr>
          <w:rFonts w:ascii="Arial" w:hAnsi="Arial"/>
          <w:color w:val="auto"/>
        </w:rPr>
        <w:t xml:space="preserve">owing overnight fast young </w:t>
      </w:r>
      <w:r w:rsidRPr="002C2354">
        <w:rPr>
          <w:rFonts w:ascii="Arial" w:hAnsi="Arial"/>
          <w:color w:val="auto"/>
        </w:rPr>
        <w:t>mice</w:t>
      </w:r>
      <w:bookmarkEnd w:id="129"/>
    </w:p>
    <w:p w14:paraId="416777DB" w14:textId="77777777" w:rsidR="0022329B" w:rsidRDefault="0022329B" w:rsidP="0022329B">
      <w:pPr>
        <w:spacing w:line="480" w:lineRule="auto"/>
        <w:jc w:val="both"/>
        <w:rPr>
          <w:rFonts w:ascii="Arial" w:hAnsi="Arial"/>
          <w:bCs/>
        </w:rPr>
      </w:pPr>
      <w:r w:rsidRPr="00066402">
        <w:rPr>
          <w:rFonts w:ascii="Arial" w:hAnsi="Arial"/>
          <w:bCs/>
        </w:rPr>
        <w:t xml:space="preserve">There were no significant changes in any measured trabecular bone parameters </w:t>
      </w:r>
      <w:r>
        <w:rPr>
          <w:rFonts w:ascii="Arial" w:hAnsi="Arial"/>
          <w:bCs/>
        </w:rPr>
        <w:t xml:space="preserve">including trabecular BV/TV, number, pattern factor and thickness </w:t>
      </w:r>
      <w:r w:rsidRPr="00066402">
        <w:rPr>
          <w:rFonts w:ascii="Arial" w:hAnsi="Arial"/>
          <w:bCs/>
        </w:rPr>
        <w:t>compared within and between the experimental groups</w:t>
      </w:r>
      <w:r w:rsidR="000021A7">
        <w:rPr>
          <w:rFonts w:ascii="Arial" w:hAnsi="Arial"/>
          <w:bCs/>
        </w:rPr>
        <w:t xml:space="preserve"> (Figure 41</w:t>
      </w:r>
      <w:r w:rsidRPr="00066402">
        <w:rPr>
          <w:rFonts w:ascii="Arial" w:hAnsi="Arial"/>
          <w:bCs/>
        </w:rPr>
        <w:t xml:space="preserve">). </w:t>
      </w:r>
    </w:p>
    <w:p w14:paraId="396DE8B9" w14:textId="77777777" w:rsidR="0022329B" w:rsidRDefault="0022329B" w:rsidP="0022329B">
      <w:pPr>
        <w:spacing w:line="480" w:lineRule="auto"/>
        <w:jc w:val="both"/>
        <w:rPr>
          <w:rFonts w:ascii="Arial" w:hAnsi="Arial"/>
          <w:bCs/>
        </w:rPr>
      </w:pPr>
    </w:p>
    <w:p w14:paraId="4885C4B8" w14:textId="77777777" w:rsidR="0022329B" w:rsidRPr="00C87E83" w:rsidRDefault="0022329B" w:rsidP="0022329B">
      <w:pPr>
        <w:spacing w:line="480" w:lineRule="auto"/>
        <w:jc w:val="both"/>
        <w:rPr>
          <w:rFonts w:ascii="Arial" w:hAnsi="Arial"/>
          <w:bCs/>
        </w:rPr>
      </w:pPr>
      <w:r w:rsidRPr="00C87E83">
        <w:rPr>
          <w:rFonts w:ascii="Arial" w:hAnsi="Arial"/>
          <w:bCs/>
        </w:rPr>
        <w:t>In the fasted 2-hour fed mice, the increase in trabecular BV/TV in the right tibiae compared with the non-loaded control left tibiae was 11.4</w:t>
      </w:r>
      <w:r w:rsidRPr="00C87E83">
        <w:rPr>
          <w:rFonts w:ascii="Arial" w:eastAsia="MS Gothic" w:hAnsi="Arial" w:cs="Arial"/>
          <w:color w:val="000000"/>
        </w:rPr>
        <w:t>±</w:t>
      </w:r>
      <w:r w:rsidRPr="00C87E83">
        <w:rPr>
          <w:rFonts w:ascii="Arial" w:hAnsi="Arial"/>
          <w:bCs/>
        </w:rPr>
        <w:t xml:space="preserve">0.4% </w:t>
      </w:r>
      <w:r w:rsidRPr="00C87E83">
        <w:rPr>
          <w:rFonts w:ascii="Arial" w:hAnsi="Arial" w:cs="Lucida Grande"/>
        </w:rPr>
        <w:t>versus</w:t>
      </w:r>
      <w:r w:rsidRPr="00C87E83">
        <w:rPr>
          <w:rFonts w:ascii="Arial" w:hAnsi="Arial"/>
          <w:bCs/>
        </w:rPr>
        <w:t xml:space="preserve"> 11.3</w:t>
      </w:r>
      <w:r w:rsidRPr="00C87E83">
        <w:rPr>
          <w:rFonts w:ascii="Arial" w:eastAsia="MS Gothic" w:hAnsi="Arial" w:cs="Arial"/>
          <w:color w:val="000000"/>
        </w:rPr>
        <w:t>±</w:t>
      </w:r>
      <w:r w:rsidRPr="00C87E83">
        <w:rPr>
          <w:rFonts w:ascii="Arial" w:hAnsi="Arial"/>
          <w:bCs/>
        </w:rPr>
        <w:t>0.6% (p&gt;0.05) compared with 13.2</w:t>
      </w:r>
      <w:r w:rsidRPr="00C87E83">
        <w:rPr>
          <w:rFonts w:ascii="Arial" w:eastAsia="MS Gothic" w:hAnsi="Arial" w:cs="Arial"/>
          <w:color w:val="000000"/>
        </w:rPr>
        <w:t>±</w:t>
      </w:r>
      <w:r w:rsidRPr="00C87E83">
        <w:rPr>
          <w:rFonts w:ascii="Arial" w:hAnsi="Arial"/>
          <w:bCs/>
        </w:rPr>
        <w:t xml:space="preserve">0.5% </w:t>
      </w:r>
      <w:r w:rsidRPr="00C87E83">
        <w:rPr>
          <w:rFonts w:ascii="Arial" w:hAnsi="Arial" w:cs="Lucida Grande"/>
        </w:rPr>
        <w:t>versus</w:t>
      </w:r>
      <w:r w:rsidRPr="00C87E83">
        <w:rPr>
          <w:rFonts w:ascii="Arial" w:hAnsi="Arial"/>
          <w:bCs/>
        </w:rPr>
        <w:t xml:space="preserve"> 12.1</w:t>
      </w:r>
      <w:r w:rsidRPr="00C87E83">
        <w:rPr>
          <w:rFonts w:ascii="Arial" w:eastAsia="MS Gothic" w:hAnsi="Arial" w:cs="Arial"/>
          <w:color w:val="000000"/>
        </w:rPr>
        <w:t>±</w:t>
      </w:r>
      <w:r w:rsidRPr="00C87E83">
        <w:rPr>
          <w:rFonts w:ascii="Arial" w:hAnsi="Arial"/>
          <w:bCs/>
        </w:rPr>
        <w:t xml:space="preserve">0.5% (p&gt;0.05) in </w:t>
      </w:r>
      <w:r w:rsidR="00C87E83">
        <w:rPr>
          <w:rFonts w:ascii="Arial" w:hAnsi="Arial"/>
          <w:bCs/>
        </w:rPr>
        <w:t>ad-lib</w:t>
      </w:r>
      <w:r w:rsidRPr="00C87E83">
        <w:rPr>
          <w:rFonts w:ascii="Arial" w:hAnsi="Arial"/>
          <w:bCs/>
        </w:rPr>
        <w:t xml:space="preserve"> fed group, </w:t>
      </w:r>
      <w:r w:rsidR="00C87E83">
        <w:rPr>
          <w:rFonts w:ascii="Arial" w:hAnsi="Arial"/>
          <w:bCs/>
        </w:rPr>
        <w:t>Figure 41</w:t>
      </w:r>
      <w:r w:rsidRPr="00C87E83">
        <w:rPr>
          <w:rFonts w:ascii="Arial" w:hAnsi="Arial"/>
          <w:bCs/>
        </w:rPr>
        <w:t>A. Tb.Th of the right tibiae compared with the left controls increased in fasted fed mice by 0.0</w:t>
      </w:r>
      <w:r w:rsidR="00D27B5A">
        <w:rPr>
          <w:rFonts w:ascii="Arial" w:hAnsi="Arial"/>
          <w:bCs/>
        </w:rPr>
        <w:t>37</w:t>
      </w:r>
      <w:r w:rsidRPr="00C87E83">
        <w:rPr>
          <w:rFonts w:ascii="Arial" w:eastAsia="MS Gothic" w:hAnsi="Arial" w:cs="Arial"/>
          <w:color w:val="000000"/>
        </w:rPr>
        <w:t xml:space="preserve">±0.002mm </w:t>
      </w:r>
      <w:r w:rsidRPr="00C87E83">
        <w:rPr>
          <w:rFonts w:ascii="Arial" w:hAnsi="Arial" w:cs="Lucida Grande"/>
        </w:rPr>
        <w:t>versus</w:t>
      </w:r>
      <w:r w:rsidRPr="00C87E83">
        <w:rPr>
          <w:rFonts w:ascii="Arial" w:eastAsia="MS Gothic" w:hAnsi="Arial" w:cs="Arial"/>
          <w:color w:val="000000"/>
        </w:rPr>
        <w:t xml:space="preserve"> 0.03</w:t>
      </w:r>
      <w:r w:rsidR="00D27B5A">
        <w:rPr>
          <w:rFonts w:ascii="Arial" w:eastAsia="MS Gothic" w:hAnsi="Arial" w:cs="Arial"/>
          <w:color w:val="000000"/>
        </w:rPr>
        <w:t>2</w:t>
      </w:r>
      <w:r w:rsidRPr="00C87E83">
        <w:rPr>
          <w:rFonts w:ascii="Arial" w:eastAsia="MS Gothic" w:hAnsi="Arial" w:cs="Arial"/>
          <w:color w:val="000000"/>
        </w:rPr>
        <w:t>±0.002mm (</w:t>
      </w:r>
      <w:r w:rsidRPr="00C87E83">
        <w:rPr>
          <w:rFonts w:ascii="Arial" w:hAnsi="Arial"/>
          <w:bCs/>
        </w:rPr>
        <w:t>p&gt;0.05</w:t>
      </w:r>
      <w:r w:rsidRPr="00C87E83">
        <w:rPr>
          <w:rFonts w:ascii="Arial" w:eastAsia="MS Gothic" w:hAnsi="Arial" w:cs="Arial"/>
          <w:color w:val="000000"/>
        </w:rPr>
        <w:t>) compared with 0.04</w:t>
      </w:r>
      <w:r w:rsidR="00D27B5A">
        <w:rPr>
          <w:rFonts w:ascii="Arial" w:eastAsia="MS Gothic" w:hAnsi="Arial" w:cs="Arial"/>
          <w:color w:val="000000"/>
        </w:rPr>
        <w:t>1</w:t>
      </w:r>
      <w:r w:rsidRPr="00C87E83">
        <w:rPr>
          <w:rFonts w:ascii="Arial" w:eastAsia="MS Gothic" w:hAnsi="Arial" w:cs="Arial"/>
          <w:color w:val="000000"/>
        </w:rPr>
        <w:t xml:space="preserve">±0.001mm </w:t>
      </w:r>
      <w:r w:rsidRPr="00C87E83">
        <w:rPr>
          <w:rFonts w:ascii="Arial" w:hAnsi="Arial" w:cs="Lucida Grande"/>
        </w:rPr>
        <w:t>versus</w:t>
      </w:r>
      <w:r w:rsidRPr="00C87E83">
        <w:rPr>
          <w:rFonts w:ascii="Arial" w:eastAsia="MS Gothic" w:hAnsi="Arial" w:cs="Arial"/>
          <w:color w:val="000000"/>
        </w:rPr>
        <w:t xml:space="preserve"> 0.04mm (</w:t>
      </w:r>
      <w:r w:rsidRPr="00C87E83">
        <w:rPr>
          <w:rFonts w:ascii="Arial" w:hAnsi="Arial"/>
          <w:bCs/>
        </w:rPr>
        <w:t>p&gt;0.05</w:t>
      </w:r>
      <w:r w:rsidRPr="00C87E83">
        <w:rPr>
          <w:rFonts w:ascii="Arial" w:eastAsia="MS Gothic" w:hAnsi="Arial" w:cs="Arial"/>
          <w:color w:val="000000"/>
        </w:rPr>
        <w:t xml:space="preserve">) in </w:t>
      </w:r>
      <w:r w:rsidR="00C87E83">
        <w:rPr>
          <w:rFonts w:ascii="Arial" w:eastAsia="MS Gothic" w:hAnsi="Arial" w:cs="Arial"/>
          <w:color w:val="000000"/>
        </w:rPr>
        <w:t>ad-lib</w:t>
      </w:r>
      <w:r w:rsidRPr="00C87E83">
        <w:rPr>
          <w:rFonts w:ascii="Arial" w:eastAsia="MS Gothic" w:hAnsi="Arial" w:cs="Arial"/>
          <w:color w:val="000000"/>
        </w:rPr>
        <w:t xml:space="preserve"> fed </w:t>
      </w:r>
      <w:r w:rsidR="00C87E83">
        <w:rPr>
          <w:rFonts w:ascii="Arial" w:eastAsia="MS Gothic" w:hAnsi="Arial" w:cs="Arial"/>
          <w:color w:val="000000"/>
        </w:rPr>
        <w:t>mice, Figure 41</w:t>
      </w:r>
      <w:r w:rsidRPr="00C87E83">
        <w:rPr>
          <w:rFonts w:ascii="Arial" w:eastAsia="MS Gothic" w:hAnsi="Arial" w:cs="Arial"/>
          <w:color w:val="000000"/>
        </w:rPr>
        <w:t xml:space="preserve">D. </w:t>
      </w:r>
      <w:r w:rsidRPr="00C87E83">
        <w:rPr>
          <w:rFonts w:ascii="Arial" w:hAnsi="Arial"/>
          <w:bCs/>
        </w:rPr>
        <w:t>Tb.Pf decreased in the loaded tibiae of fasted 2-hour fed and ad-lib fed mice compared to the left non-loaded controls (23.8</w:t>
      </w:r>
      <w:r w:rsidRPr="00C87E83">
        <w:rPr>
          <w:rFonts w:ascii="Arial" w:eastAsia="MS Gothic" w:hAnsi="Arial" w:cs="Arial"/>
          <w:color w:val="000000"/>
        </w:rPr>
        <w:t>±1.04mm</w:t>
      </w:r>
      <w:r w:rsidRPr="00C87E83">
        <w:rPr>
          <w:rFonts w:ascii="Arial" w:eastAsia="MS Gothic" w:hAnsi="Arial" w:cs="Arial"/>
          <w:color w:val="000000"/>
          <w:vertAlign w:val="superscript"/>
        </w:rPr>
        <w:t>-1</w:t>
      </w:r>
      <w:r w:rsidRPr="00C87E83">
        <w:rPr>
          <w:rFonts w:ascii="Arial" w:eastAsia="MS Gothic" w:hAnsi="Arial" w:cs="Arial"/>
          <w:color w:val="000000"/>
        </w:rPr>
        <w:t xml:space="preserve"> </w:t>
      </w:r>
      <w:r w:rsidRPr="00C87E83">
        <w:rPr>
          <w:rFonts w:ascii="Arial" w:hAnsi="Arial" w:cs="Lucida Grande"/>
        </w:rPr>
        <w:t>versus</w:t>
      </w:r>
      <w:r w:rsidRPr="00C87E83">
        <w:rPr>
          <w:rFonts w:ascii="Arial" w:eastAsia="MS Gothic" w:hAnsi="Arial" w:cs="Arial"/>
          <w:color w:val="000000"/>
        </w:rPr>
        <w:t xml:space="preserve"> 25.5±1.05mm</w:t>
      </w:r>
      <w:r w:rsidRPr="00C87E83">
        <w:rPr>
          <w:rFonts w:ascii="Arial" w:eastAsia="MS Gothic" w:hAnsi="Arial" w:cs="Arial"/>
          <w:color w:val="000000"/>
          <w:vertAlign w:val="superscript"/>
        </w:rPr>
        <w:t xml:space="preserve">-1 </w:t>
      </w:r>
      <w:r w:rsidRPr="00C87E83">
        <w:rPr>
          <w:rFonts w:ascii="Arial" w:hAnsi="Arial"/>
          <w:bCs/>
        </w:rPr>
        <w:t>(p&gt;0.05) and 19.8</w:t>
      </w:r>
      <w:r w:rsidRPr="00C87E83">
        <w:rPr>
          <w:rFonts w:ascii="Arial" w:eastAsia="MS Gothic" w:hAnsi="Arial" w:cs="Arial"/>
          <w:color w:val="000000"/>
        </w:rPr>
        <w:t>±1.1mm</w:t>
      </w:r>
      <w:r w:rsidRPr="00C87E83">
        <w:rPr>
          <w:rFonts w:ascii="Arial" w:eastAsia="MS Gothic" w:hAnsi="Arial" w:cs="Arial"/>
          <w:color w:val="000000"/>
          <w:vertAlign w:val="superscript"/>
        </w:rPr>
        <w:t xml:space="preserve">-1 </w:t>
      </w:r>
      <w:r w:rsidRPr="00C87E83">
        <w:rPr>
          <w:rFonts w:ascii="Arial" w:hAnsi="Arial" w:cs="Lucida Grande"/>
        </w:rPr>
        <w:t>versus</w:t>
      </w:r>
      <w:r w:rsidRPr="00C87E83">
        <w:rPr>
          <w:rFonts w:ascii="Arial" w:eastAsia="MS Gothic" w:hAnsi="Arial" w:cs="Arial"/>
          <w:color w:val="000000"/>
        </w:rPr>
        <w:t xml:space="preserve"> 22.5±1.2mm</w:t>
      </w:r>
      <w:r w:rsidRPr="00C87E83">
        <w:rPr>
          <w:rFonts w:ascii="Arial" w:eastAsia="MS Gothic" w:hAnsi="Arial" w:cs="Arial"/>
          <w:color w:val="000000"/>
          <w:vertAlign w:val="superscript"/>
        </w:rPr>
        <w:t xml:space="preserve">-1 </w:t>
      </w:r>
      <w:r w:rsidRPr="00C87E83">
        <w:rPr>
          <w:rFonts w:ascii="Arial" w:hAnsi="Arial"/>
          <w:bCs/>
        </w:rPr>
        <w:t>(p&gt;0.05) respectively)</w:t>
      </w:r>
      <w:r w:rsidR="00C87E83">
        <w:rPr>
          <w:rFonts w:ascii="Arial" w:hAnsi="Arial"/>
          <w:bCs/>
        </w:rPr>
        <w:t>, Figure 41</w:t>
      </w:r>
      <w:r w:rsidRPr="00C87E83">
        <w:rPr>
          <w:rFonts w:ascii="Arial" w:hAnsi="Arial"/>
          <w:bCs/>
        </w:rPr>
        <w:t>C. There were no significant differences in Tb.N within and betwe</w:t>
      </w:r>
      <w:r w:rsidR="00C87E83">
        <w:rPr>
          <w:rFonts w:ascii="Arial" w:hAnsi="Arial"/>
          <w:bCs/>
        </w:rPr>
        <w:t>en the groups (p&gt;0.05), Figure 41</w:t>
      </w:r>
      <w:r w:rsidRPr="00C87E83">
        <w:rPr>
          <w:rFonts w:ascii="Arial" w:hAnsi="Arial"/>
          <w:bCs/>
        </w:rPr>
        <w:t>B.</w:t>
      </w:r>
    </w:p>
    <w:p w14:paraId="4ED89392" w14:textId="77777777" w:rsidR="0022329B" w:rsidRDefault="0022329B" w:rsidP="0022329B">
      <w:pPr>
        <w:spacing w:line="480" w:lineRule="auto"/>
        <w:jc w:val="both"/>
        <w:rPr>
          <w:rFonts w:ascii="Arial" w:hAnsi="Arial"/>
          <w:bCs/>
        </w:rPr>
      </w:pPr>
    </w:p>
    <w:p w14:paraId="65A221E0" w14:textId="77777777" w:rsidR="000021A7" w:rsidRDefault="000021A7" w:rsidP="0022329B">
      <w:pPr>
        <w:spacing w:line="480" w:lineRule="auto"/>
        <w:jc w:val="both"/>
        <w:rPr>
          <w:rFonts w:ascii="Arial" w:hAnsi="Arial"/>
          <w:bCs/>
        </w:rPr>
      </w:pPr>
    </w:p>
    <w:p w14:paraId="17FA866A" w14:textId="77777777" w:rsidR="000021A7" w:rsidRPr="00D43631" w:rsidRDefault="000021A7" w:rsidP="0022329B">
      <w:pPr>
        <w:spacing w:line="480" w:lineRule="auto"/>
        <w:jc w:val="both"/>
        <w:rPr>
          <w:rFonts w:ascii="Arial" w:hAnsi="Arial"/>
          <w:bCs/>
        </w:rPr>
      </w:pPr>
    </w:p>
    <w:p w14:paraId="0103438A" w14:textId="77777777" w:rsidR="000021A7" w:rsidRDefault="000021A7" w:rsidP="0022329B"/>
    <w:p w14:paraId="7542ACFE" w14:textId="77777777" w:rsidR="000021A7" w:rsidRPr="000021A7" w:rsidRDefault="000021A7" w:rsidP="000021A7"/>
    <w:p w14:paraId="19F37E65" w14:textId="77777777" w:rsidR="000021A7" w:rsidRPr="000021A7" w:rsidRDefault="000021A7" w:rsidP="000021A7"/>
    <w:p w14:paraId="2D4499EC" w14:textId="77777777" w:rsidR="000021A7" w:rsidRPr="000021A7" w:rsidRDefault="000021A7" w:rsidP="000021A7"/>
    <w:p w14:paraId="3BD1B32C" w14:textId="77777777" w:rsidR="000021A7" w:rsidRPr="000021A7" w:rsidRDefault="000021A7" w:rsidP="000021A7"/>
    <w:p w14:paraId="76D380EA" w14:textId="77777777" w:rsidR="000021A7" w:rsidRPr="000021A7" w:rsidRDefault="000021A7" w:rsidP="000021A7"/>
    <w:p w14:paraId="2B057A5C" w14:textId="77777777" w:rsidR="000021A7" w:rsidRPr="000021A7" w:rsidRDefault="000021A7" w:rsidP="000021A7"/>
    <w:p w14:paraId="0C33DDE3" w14:textId="77777777" w:rsidR="000021A7" w:rsidRDefault="000021A7" w:rsidP="000021A7"/>
    <w:p w14:paraId="3CD4055D" w14:textId="77777777" w:rsidR="0022329B" w:rsidRDefault="0022329B" w:rsidP="000021A7"/>
    <w:p w14:paraId="2CDE8798" w14:textId="77777777" w:rsidR="000021A7" w:rsidRDefault="000021A7" w:rsidP="000021A7"/>
    <w:p w14:paraId="70049EA5" w14:textId="77777777" w:rsidR="000021A7" w:rsidRDefault="000021A7" w:rsidP="000021A7"/>
    <w:p w14:paraId="7C470444" w14:textId="77777777" w:rsidR="000021A7" w:rsidRDefault="000021A7" w:rsidP="000021A7"/>
    <w:p w14:paraId="4B7BAD4C" w14:textId="77777777" w:rsidR="000021A7" w:rsidRDefault="000021A7" w:rsidP="000021A7"/>
    <w:p w14:paraId="62B41B8B" w14:textId="77777777" w:rsidR="000021A7" w:rsidRDefault="000021A7" w:rsidP="000021A7"/>
    <w:p w14:paraId="329182A8" w14:textId="77777777" w:rsidR="005C2C1D" w:rsidRDefault="005C2C1D" w:rsidP="000021A7"/>
    <w:p w14:paraId="134E34BC" w14:textId="77777777" w:rsidR="000021A7" w:rsidRPr="000021A7" w:rsidRDefault="000021A7" w:rsidP="000021A7"/>
    <w:p w14:paraId="3A49D1A3" w14:textId="77777777" w:rsidR="0022329B" w:rsidRDefault="0022329B" w:rsidP="0022329B">
      <w:pPr>
        <w:pStyle w:val="Caption"/>
        <w:spacing w:line="360" w:lineRule="auto"/>
        <w:rPr>
          <w:color w:val="1F497D" w:themeColor="text2"/>
          <w:sz w:val="24"/>
          <w:szCs w:val="24"/>
        </w:rPr>
      </w:pPr>
      <w:r>
        <w:rPr>
          <w:noProof/>
          <w:lang w:val="en-US"/>
        </w:rPr>
        <w:drawing>
          <wp:inline distT="0" distB="0" distL="0" distR="0" wp14:anchorId="1DE845F5" wp14:editId="72D09361">
            <wp:extent cx="3139440" cy="2997200"/>
            <wp:effectExtent l="0" t="0" r="1016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39440" cy="2997200"/>
                    </a:xfrm>
                    <a:prstGeom prst="rect">
                      <a:avLst/>
                    </a:prstGeom>
                    <a:noFill/>
                    <a:ln>
                      <a:noFill/>
                    </a:ln>
                  </pic:spPr>
                </pic:pic>
              </a:graphicData>
            </a:graphic>
          </wp:inline>
        </w:drawing>
      </w:r>
      <w:r w:rsidRPr="00A157D2">
        <w:t xml:space="preserve"> </w:t>
      </w:r>
      <w:r>
        <w:rPr>
          <w:noProof/>
          <w:lang w:val="en-US"/>
        </w:rPr>
        <w:drawing>
          <wp:inline distT="0" distB="0" distL="0" distR="0" wp14:anchorId="46B2E61A" wp14:editId="583242A5">
            <wp:extent cx="2913529" cy="2703830"/>
            <wp:effectExtent l="0" t="0" r="7620" b="0"/>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13529" cy="2703830"/>
                    </a:xfrm>
                    <a:prstGeom prst="rect">
                      <a:avLst/>
                    </a:prstGeom>
                    <a:noFill/>
                    <a:ln>
                      <a:noFill/>
                    </a:ln>
                  </pic:spPr>
                </pic:pic>
              </a:graphicData>
            </a:graphic>
          </wp:inline>
        </w:drawing>
      </w:r>
    </w:p>
    <w:p w14:paraId="3CFC1CAD" w14:textId="77777777" w:rsidR="0022329B" w:rsidRDefault="0022329B" w:rsidP="0022329B">
      <w:pPr>
        <w:pStyle w:val="Caption"/>
        <w:spacing w:line="360" w:lineRule="auto"/>
        <w:rPr>
          <w:color w:val="1F497D" w:themeColor="text2"/>
          <w:sz w:val="24"/>
          <w:szCs w:val="24"/>
        </w:rPr>
      </w:pPr>
    </w:p>
    <w:p w14:paraId="2EE4F71C" w14:textId="77777777" w:rsidR="000021A7" w:rsidRDefault="0022329B" w:rsidP="000021A7">
      <w:pPr>
        <w:keepNext/>
        <w:ind w:left="426"/>
      </w:pPr>
      <w:r>
        <w:rPr>
          <w:noProof/>
          <w:lang w:val="en-US"/>
        </w:rPr>
        <w:drawing>
          <wp:inline distT="0" distB="0" distL="0" distR="0" wp14:anchorId="1B338D8F" wp14:editId="23CA63B8">
            <wp:extent cx="2788024" cy="2519580"/>
            <wp:effectExtent l="0" t="0" r="6350" b="0"/>
            <wp:docPr id="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88024" cy="2519580"/>
                    </a:xfrm>
                    <a:prstGeom prst="rect">
                      <a:avLst/>
                    </a:prstGeom>
                    <a:noFill/>
                    <a:ln>
                      <a:noFill/>
                    </a:ln>
                  </pic:spPr>
                </pic:pic>
              </a:graphicData>
            </a:graphic>
          </wp:inline>
        </w:drawing>
      </w:r>
      <w:r w:rsidRPr="00904193">
        <w:t xml:space="preserve"> </w:t>
      </w:r>
      <w:r>
        <w:rPr>
          <w:noProof/>
          <w:lang w:val="en-US"/>
        </w:rPr>
        <w:drawing>
          <wp:inline distT="0" distB="0" distL="0" distR="0" wp14:anchorId="2660493C" wp14:editId="56E64FE6">
            <wp:extent cx="3008671" cy="2498222"/>
            <wp:effectExtent l="0" t="0" r="0" b="0"/>
            <wp:docPr id="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09276" cy="2498725"/>
                    </a:xfrm>
                    <a:prstGeom prst="rect">
                      <a:avLst/>
                    </a:prstGeom>
                    <a:noFill/>
                    <a:ln>
                      <a:noFill/>
                    </a:ln>
                  </pic:spPr>
                </pic:pic>
              </a:graphicData>
            </a:graphic>
          </wp:inline>
        </w:drawing>
      </w:r>
    </w:p>
    <w:p w14:paraId="20E8B3FB" w14:textId="77777777" w:rsidR="00D768D7" w:rsidRDefault="00D768D7" w:rsidP="00D768D7">
      <w:pPr>
        <w:pStyle w:val="Caption"/>
      </w:pPr>
    </w:p>
    <w:p w14:paraId="1A4D709D" w14:textId="77777777" w:rsidR="00D768D7" w:rsidRDefault="00D768D7" w:rsidP="00D768D7">
      <w:pPr>
        <w:pStyle w:val="Caption"/>
        <w:spacing w:line="360" w:lineRule="auto"/>
        <w:jc w:val="both"/>
        <w:rPr>
          <w:rFonts w:ascii="Arial" w:hAnsi="Arial"/>
          <w:color w:val="244061" w:themeColor="accent1" w:themeShade="80"/>
          <w:sz w:val="24"/>
          <w:szCs w:val="24"/>
        </w:rPr>
      </w:pPr>
    </w:p>
    <w:p w14:paraId="27E5F501" w14:textId="77777777" w:rsidR="0022329B" w:rsidRPr="001928EA" w:rsidRDefault="000021A7" w:rsidP="001928EA">
      <w:pPr>
        <w:pStyle w:val="Caption"/>
        <w:spacing w:line="360" w:lineRule="auto"/>
        <w:jc w:val="both"/>
        <w:rPr>
          <w:rFonts w:ascii="Arial" w:hAnsi="Arial"/>
          <w:color w:val="244061" w:themeColor="accent1" w:themeShade="80"/>
          <w:sz w:val="24"/>
          <w:szCs w:val="24"/>
        </w:rPr>
      </w:pPr>
      <w:bookmarkStart w:id="130" w:name="_Toc383544632"/>
      <w:r w:rsidRPr="001928EA">
        <w:rPr>
          <w:rFonts w:ascii="Arial" w:hAnsi="Arial"/>
          <w:color w:val="244061" w:themeColor="accent1" w:themeShade="80"/>
          <w:sz w:val="24"/>
          <w:szCs w:val="24"/>
        </w:rPr>
        <w:t xml:space="preserve">Figure </w:t>
      </w:r>
      <w:r w:rsidRPr="001928EA">
        <w:rPr>
          <w:rFonts w:ascii="Arial" w:hAnsi="Arial"/>
          <w:color w:val="244061" w:themeColor="accent1" w:themeShade="80"/>
          <w:sz w:val="24"/>
          <w:szCs w:val="24"/>
        </w:rPr>
        <w:fldChar w:fldCharType="begin"/>
      </w:r>
      <w:r w:rsidRPr="001928EA">
        <w:rPr>
          <w:rFonts w:ascii="Arial" w:hAnsi="Arial"/>
          <w:color w:val="244061" w:themeColor="accent1" w:themeShade="80"/>
          <w:sz w:val="24"/>
          <w:szCs w:val="24"/>
        </w:rPr>
        <w:instrText xml:space="preserve"> SEQ Figure \* ARABIC </w:instrText>
      </w:r>
      <w:r w:rsidRPr="001928EA">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41</w:t>
      </w:r>
      <w:r w:rsidRPr="001928EA">
        <w:rPr>
          <w:rFonts w:ascii="Arial" w:hAnsi="Arial"/>
          <w:color w:val="244061" w:themeColor="accent1" w:themeShade="80"/>
          <w:sz w:val="24"/>
          <w:szCs w:val="24"/>
        </w:rPr>
        <w:fldChar w:fldCharType="end"/>
      </w:r>
      <w:r w:rsidR="00D768D7" w:rsidRPr="001928EA">
        <w:rPr>
          <w:rFonts w:ascii="Arial" w:hAnsi="Arial"/>
          <w:color w:val="244061" w:themeColor="accent1" w:themeShade="80"/>
          <w:sz w:val="24"/>
          <w:szCs w:val="24"/>
        </w:rPr>
        <w:t xml:space="preserve"> </w:t>
      </w:r>
      <w:r w:rsidR="0022329B" w:rsidRPr="001928EA">
        <w:rPr>
          <w:rFonts w:ascii="Arial" w:hAnsi="Arial"/>
          <w:color w:val="244061" w:themeColor="accent1" w:themeShade="80"/>
          <w:sz w:val="24"/>
          <w:szCs w:val="24"/>
        </w:rPr>
        <w:t xml:space="preserve">The effect of sub-threshold mechanical loading with a peak force of 8N on trabecular </w:t>
      </w:r>
      <w:r w:rsidR="005C2C1D">
        <w:rPr>
          <w:rFonts w:ascii="Arial" w:hAnsi="Arial"/>
          <w:color w:val="244061" w:themeColor="accent1" w:themeShade="80"/>
          <w:sz w:val="24"/>
          <w:szCs w:val="24"/>
        </w:rPr>
        <w:t>BV/TV (A), Tb.N (B), Tb.Pf (C) and Tb</w:t>
      </w:r>
      <w:r w:rsidR="001928EA" w:rsidRPr="001928EA">
        <w:rPr>
          <w:rFonts w:ascii="Arial" w:hAnsi="Arial"/>
          <w:color w:val="244061" w:themeColor="accent1" w:themeShade="80"/>
          <w:sz w:val="24"/>
          <w:szCs w:val="24"/>
        </w:rPr>
        <w:t xml:space="preserve">.Th (D) </w:t>
      </w:r>
      <w:r w:rsidR="0022329B" w:rsidRPr="001928EA">
        <w:rPr>
          <w:rFonts w:ascii="Arial" w:hAnsi="Arial"/>
          <w:color w:val="244061" w:themeColor="accent1" w:themeShade="80"/>
          <w:sz w:val="24"/>
          <w:szCs w:val="24"/>
        </w:rPr>
        <w:t xml:space="preserve">in the proximal tibia </w:t>
      </w:r>
      <w:r w:rsidR="0022329B" w:rsidRPr="001928EA">
        <w:rPr>
          <w:rFonts w:ascii="Arial" w:eastAsiaTheme="minorHAnsi" w:hAnsi="Arial"/>
          <w:bCs w:val="0"/>
          <w:color w:val="244061" w:themeColor="accent1" w:themeShade="80"/>
          <w:sz w:val="24"/>
          <w:szCs w:val="24"/>
          <w:lang w:val="en-US"/>
        </w:rPr>
        <w:t xml:space="preserve">of 19-week-old fed (n=7) or overnight fasted </w:t>
      </w:r>
      <w:r w:rsidR="00D768D7" w:rsidRPr="001928EA">
        <w:rPr>
          <w:rFonts w:ascii="Arial" w:eastAsiaTheme="minorHAnsi" w:hAnsi="Arial"/>
          <w:bCs w:val="0"/>
          <w:color w:val="244061" w:themeColor="accent1" w:themeShade="80"/>
          <w:sz w:val="24"/>
          <w:szCs w:val="24"/>
          <w:lang w:val="en-US"/>
        </w:rPr>
        <w:t>2-hour fed</w:t>
      </w:r>
      <w:r w:rsidR="0022329B" w:rsidRPr="001928EA">
        <w:rPr>
          <w:rFonts w:ascii="Arial" w:eastAsiaTheme="minorHAnsi" w:hAnsi="Arial"/>
          <w:bCs w:val="0"/>
          <w:color w:val="244061" w:themeColor="accent1" w:themeShade="80"/>
          <w:sz w:val="24"/>
          <w:szCs w:val="24"/>
          <w:lang w:val="en-US"/>
        </w:rPr>
        <w:t xml:space="preserve"> (n=7) male mice</w:t>
      </w:r>
      <w:bookmarkEnd w:id="130"/>
      <w:r w:rsidR="0022329B" w:rsidRPr="001928EA">
        <w:rPr>
          <w:rFonts w:ascii="Arial" w:eastAsiaTheme="minorHAnsi" w:hAnsi="Arial"/>
          <w:bCs w:val="0"/>
          <w:color w:val="244061" w:themeColor="accent1" w:themeShade="80"/>
          <w:sz w:val="24"/>
          <w:szCs w:val="24"/>
          <w:lang w:val="en-US"/>
        </w:rPr>
        <w:t xml:space="preserve"> </w:t>
      </w:r>
    </w:p>
    <w:p w14:paraId="3BF4E328" w14:textId="77777777" w:rsidR="0022329B" w:rsidRDefault="0022329B" w:rsidP="0022329B">
      <w:pPr>
        <w:spacing w:line="360" w:lineRule="auto"/>
        <w:jc w:val="both"/>
        <w:rPr>
          <w:rFonts w:ascii="Arial" w:eastAsiaTheme="minorHAnsi" w:hAnsi="Arial" w:cs="Arial"/>
          <w:sz w:val="22"/>
          <w:szCs w:val="22"/>
        </w:rPr>
      </w:pPr>
      <w:r>
        <w:rPr>
          <w:rFonts w:ascii="Arial" w:eastAsiaTheme="minorHAnsi" w:hAnsi="Arial" w:cs="Arial"/>
          <w:sz w:val="22"/>
          <w:szCs w:val="22"/>
        </w:rPr>
        <w:t>Sub-threshold mechanical l</w:t>
      </w:r>
      <w:r w:rsidRPr="004D06C6">
        <w:rPr>
          <w:rFonts w:ascii="Arial" w:eastAsiaTheme="minorHAnsi" w:hAnsi="Arial" w:cs="Arial"/>
          <w:sz w:val="22"/>
          <w:szCs w:val="22"/>
        </w:rPr>
        <w:t>oading induc</w:t>
      </w:r>
      <w:r>
        <w:rPr>
          <w:rFonts w:ascii="Arial" w:eastAsiaTheme="minorHAnsi" w:hAnsi="Arial" w:cs="Arial"/>
          <w:sz w:val="22"/>
          <w:szCs w:val="22"/>
        </w:rPr>
        <w:t xml:space="preserve">ed non-significant changes in trabecular bone parameters </w:t>
      </w:r>
      <w:r w:rsidRPr="004D06C6">
        <w:rPr>
          <w:rFonts w:ascii="Arial" w:eastAsiaTheme="minorHAnsi" w:hAnsi="Arial" w:cs="Arial"/>
          <w:sz w:val="22"/>
          <w:szCs w:val="22"/>
        </w:rPr>
        <w:t>measured within and between the experimental groups</w:t>
      </w:r>
      <w:r>
        <w:rPr>
          <w:rFonts w:ascii="Arial" w:eastAsiaTheme="minorHAnsi" w:hAnsi="Arial" w:cs="Arial"/>
          <w:sz w:val="22"/>
          <w:szCs w:val="22"/>
        </w:rPr>
        <w:t>.</w:t>
      </w:r>
      <w:r w:rsidR="00D768D7">
        <w:rPr>
          <w:rFonts w:ascii="Arial" w:eastAsiaTheme="minorHAnsi" w:hAnsi="Arial" w:cs="Arial"/>
          <w:sz w:val="22"/>
          <w:szCs w:val="22"/>
        </w:rPr>
        <w:t xml:space="preserve"> </w:t>
      </w:r>
      <w:r>
        <w:rPr>
          <w:rFonts w:ascii="Arial" w:eastAsiaTheme="minorHAnsi" w:hAnsi="Arial" w:cs="Arial"/>
          <w:sz w:val="22"/>
          <w:szCs w:val="22"/>
        </w:rPr>
        <w:t>Bars represent mean</w:t>
      </w:r>
      <w:r w:rsidRPr="004D06C6">
        <w:rPr>
          <w:rFonts w:ascii="Arial" w:eastAsia="MS Gothic" w:hAnsi="Arial" w:cs="Arial"/>
          <w:sz w:val="22"/>
          <w:szCs w:val="22"/>
        </w:rPr>
        <w:t>±</w:t>
      </w:r>
      <w:r w:rsidR="00D768D7">
        <w:rPr>
          <w:rFonts w:ascii="Arial" w:eastAsiaTheme="minorHAnsi" w:hAnsi="Arial" w:cs="Arial"/>
          <w:sz w:val="22"/>
          <w:szCs w:val="22"/>
        </w:rPr>
        <w:t>SE</w:t>
      </w:r>
      <w:r w:rsidRPr="004D06C6">
        <w:rPr>
          <w:rFonts w:ascii="Arial" w:eastAsiaTheme="minorHAnsi" w:hAnsi="Arial" w:cs="Arial"/>
          <w:sz w:val="22"/>
          <w:szCs w:val="22"/>
        </w:rPr>
        <w:t xml:space="preserve"> </w:t>
      </w:r>
    </w:p>
    <w:p w14:paraId="3CBB4D6C" w14:textId="77777777" w:rsidR="0022329B" w:rsidRDefault="0022329B" w:rsidP="0022329B">
      <w:pPr>
        <w:spacing w:line="360" w:lineRule="auto"/>
        <w:jc w:val="both"/>
        <w:rPr>
          <w:rFonts w:ascii="Arial" w:eastAsiaTheme="minorHAnsi" w:hAnsi="Arial" w:cs="Arial"/>
          <w:sz w:val="22"/>
          <w:szCs w:val="22"/>
        </w:rPr>
      </w:pPr>
    </w:p>
    <w:p w14:paraId="7896048B" w14:textId="77777777" w:rsidR="0022329B" w:rsidRDefault="0022329B" w:rsidP="0022329B"/>
    <w:p w14:paraId="2E39404F" w14:textId="77777777" w:rsidR="00EE25DB" w:rsidRPr="00EE25DB" w:rsidRDefault="00EE25DB" w:rsidP="00EE25DB">
      <w:pPr>
        <w:pStyle w:val="Heading3"/>
        <w:spacing w:line="480" w:lineRule="auto"/>
        <w:jc w:val="both"/>
        <w:rPr>
          <w:rFonts w:ascii="Arial" w:hAnsi="Arial"/>
          <w:color w:val="auto"/>
        </w:rPr>
      </w:pPr>
      <w:bookmarkStart w:id="131" w:name="_Toc383723910"/>
      <w:r w:rsidRPr="00EE25DB">
        <w:rPr>
          <w:rFonts w:ascii="Arial" w:hAnsi="Arial"/>
          <w:color w:val="auto"/>
        </w:rPr>
        <w:lastRenderedPageBreak/>
        <w:t>5.2.3 The effect of submaximal mechanical loading on tibial cortical bone mass and architecture of fed or fed for 2 hours foll</w:t>
      </w:r>
      <w:r w:rsidR="00C4763D">
        <w:rPr>
          <w:rFonts w:ascii="Arial" w:hAnsi="Arial"/>
          <w:color w:val="auto"/>
        </w:rPr>
        <w:t xml:space="preserve">owing overnight fast young </w:t>
      </w:r>
      <w:r w:rsidRPr="00EE25DB">
        <w:rPr>
          <w:rFonts w:ascii="Arial" w:hAnsi="Arial"/>
          <w:color w:val="auto"/>
        </w:rPr>
        <w:t>mice</w:t>
      </w:r>
      <w:bookmarkEnd w:id="131"/>
    </w:p>
    <w:p w14:paraId="6564DB42" w14:textId="77777777" w:rsidR="00F506AC" w:rsidRDefault="00CB0137" w:rsidP="00ED25E7">
      <w:pPr>
        <w:spacing w:line="480" w:lineRule="auto"/>
        <w:jc w:val="both"/>
        <w:rPr>
          <w:rFonts w:ascii="Arial" w:hAnsi="Arial" w:cs="Arial"/>
          <w:color w:val="1A1A1A"/>
        </w:rPr>
      </w:pPr>
      <w:r w:rsidRPr="00CB0137">
        <w:rPr>
          <w:rFonts w:ascii="Arial" w:hAnsi="Arial"/>
          <w:b/>
          <w:bCs/>
          <w:i/>
        </w:rPr>
        <w:t xml:space="preserve">Experimental details: </w:t>
      </w:r>
      <w:r w:rsidR="0022329B">
        <w:rPr>
          <w:rFonts w:ascii="Arial" w:hAnsi="Arial"/>
          <w:bCs/>
        </w:rPr>
        <w:t xml:space="preserve">Next we measured the </w:t>
      </w:r>
      <w:r w:rsidR="0022329B" w:rsidRPr="00945BFB">
        <w:rPr>
          <w:rFonts w:ascii="Arial" w:hAnsi="Arial"/>
          <w:bCs/>
        </w:rPr>
        <w:t xml:space="preserve">ability of food ingestion </w:t>
      </w:r>
      <w:r w:rsidR="0022329B">
        <w:rPr>
          <w:rFonts w:ascii="Arial" w:hAnsi="Arial"/>
          <w:bCs/>
        </w:rPr>
        <w:t xml:space="preserve">for 2 hours following prolonged 16-hour fast </w:t>
      </w:r>
      <w:r w:rsidR="0022329B" w:rsidRPr="00945BFB">
        <w:rPr>
          <w:rFonts w:ascii="Arial" w:hAnsi="Arial"/>
          <w:bCs/>
        </w:rPr>
        <w:t xml:space="preserve">to potentiate </w:t>
      </w:r>
      <w:r w:rsidR="0022329B">
        <w:rPr>
          <w:rFonts w:ascii="Arial" w:hAnsi="Arial"/>
          <w:bCs/>
        </w:rPr>
        <w:t>the effect of low intensity</w:t>
      </w:r>
      <w:r w:rsidR="0022329B" w:rsidRPr="00945BFB">
        <w:rPr>
          <w:rFonts w:ascii="Arial" w:hAnsi="Arial"/>
          <w:bCs/>
        </w:rPr>
        <w:t xml:space="preserve"> </w:t>
      </w:r>
      <w:r w:rsidR="0022329B">
        <w:rPr>
          <w:rFonts w:ascii="Arial" w:hAnsi="Arial"/>
          <w:bCs/>
        </w:rPr>
        <w:t xml:space="preserve">mechanical </w:t>
      </w:r>
      <w:r w:rsidR="0022329B" w:rsidRPr="00945BFB">
        <w:rPr>
          <w:rFonts w:ascii="Arial" w:hAnsi="Arial"/>
          <w:bCs/>
        </w:rPr>
        <w:t xml:space="preserve">loading </w:t>
      </w:r>
      <w:r w:rsidR="0022329B">
        <w:rPr>
          <w:rFonts w:ascii="Arial" w:hAnsi="Arial"/>
          <w:bCs/>
        </w:rPr>
        <w:t>with 11N force</w:t>
      </w:r>
      <w:r w:rsidR="003F6E15">
        <w:rPr>
          <w:rFonts w:ascii="Arial" w:hAnsi="Arial"/>
          <w:bCs/>
        </w:rPr>
        <w:t xml:space="preserve"> and </w:t>
      </w:r>
      <w:r w:rsidR="003F6E15">
        <w:rPr>
          <w:rFonts w:ascii="Arial" w:hAnsi="Arial" w:cs="Arial"/>
          <w:color w:val="1A1A1A"/>
        </w:rPr>
        <w:t xml:space="preserve">40 cycles of loading </w:t>
      </w:r>
      <w:r w:rsidR="003F6E15">
        <w:rPr>
          <w:rFonts w:ascii="Arial" w:hAnsi="Arial"/>
          <w:bCs/>
        </w:rPr>
        <w:t>(</w:t>
      </w:r>
      <w:r w:rsidR="003F6E15" w:rsidRPr="00341A88">
        <w:rPr>
          <w:rFonts w:ascii="Arial" w:hAnsi="Arial" w:cs="Arial"/>
          <w:color w:val="1A1A1A"/>
        </w:rPr>
        <w:t>3 times weekly for 2 weeks</w:t>
      </w:r>
      <w:r w:rsidR="003F6E15">
        <w:rPr>
          <w:rFonts w:ascii="Arial" w:hAnsi="Arial" w:cs="Arial"/>
          <w:color w:val="1A1A1A"/>
        </w:rPr>
        <w:t>)</w:t>
      </w:r>
      <w:r w:rsidR="003F6E15">
        <w:rPr>
          <w:rFonts w:ascii="Arial" w:hAnsi="Arial"/>
          <w:bCs/>
        </w:rPr>
        <w:t xml:space="preserve"> </w:t>
      </w:r>
      <w:r w:rsidR="0022329B">
        <w:rPr>
          <w:rFonts w:ascii="Arial" w:hAnsi="Arial"/>
          <w:bCs/>
        </w:rPr>
        <w:t>on</w:t>
      </w:r>
      <w:r w:rsidR="0022329B" w:rsidRPr="00945BFB">
        <w:rPr>
          <w:rFonts w:ascii="Arial" w:hAnsi="Arial"/>
          <w:bCs/>
        </w:rPr>
        <w:t xml:space="preserve"> </w:t>
      </w:r>
      <w:r w:rsidR="0022329B">
        <w:rPr>
          <w:rFonts w:ascii="Arial" w:hAnsi="Arial"/>
          <w:bCs/>
        </w:rPr>
        <w:t>cortical</w:t>
      </w:r>
      <w:r w:rsidR="00EE25DB">
        <w:rPr>
          <w:rFonts w:ascii="Arial" w:hAnsi="Arial"/>
          <w:bCs/>
        </w:rPr>
        <w:t xml:space="preserve"> and trabecular</w:t>
      </w:r>
      <w:r w:rsidR="0022329B">
        <w:rPr>
          <w:rFonts w:ascii="Arial" w:hAnsi="Arial"/>
          <w:bCs/>
        </w:rPr>
        <w:t xml:space="preserve"> bone mass and architecture </w:t>
      </w:r>
      <w:r w:rsidR="003F6E15">
        <w:rPr>
          <w:rFonts w:ascii="Arial" w:hAnsi="Arial"/>
          <w:bCs/>
        </w:rPr>
        <w:t xml:space="preserve">of the right tibiae </w:t>
      </w:r>
      <w:r w:rsidR="0022329B">
        <w:rPr>
          <w:rFonts w:ascii="Arial" w:hAnsi="Arial"/>
          <w:bCs/>
        </w:rPr>
        <w:t xml:space="preserve">in young 17-week-old male C57BL/6 mice. </w:t>
      </w:r>
      <w:r w:rsidR="003F6E15" w:rsidRPr="00341A88">
        <w:rPr>
          <w:rFonts w:ascii="Arial" w:hAnsi="Arial" w:cs="Arial"/>
          <w:color w:val="1A1A1A"/>
        </w:rPr>
        <w:t>Left tibiae were non-loaded controls in each animal as previously described.</w:t>
      </w:r>
    </w:p>
    <w:p w14:paraId="693C5488" w14:textId="77777777" w:rsidR="003F6E15" w:rsidRPr="003F6E15" w:rsidRDefault="003F6E15" w:rsidP="00ED25E7">
      <w:pPr>
        <w:spacing w:line="480" w:lineRule="auto"/>
        <w:jc w:val="both"/>
        <w:rPr>
          <w:rFonts w:ascii="Arial" w:hAnsi="Arial" w:cs="Arial"/>
          <w:color w:val="1A1A1A"/>
        </w:rPr>
      </w:pPr>
    </w:p>
    <w:p w14:paraId="4A83D247" w14:textId="77777777" w:rsidR="00ED25E7" w:rsidRDefault="00ED25E7" w:rsidP="00ED25E7">
      <w:pPr>
        <w:spacing w:line="480" w:lineRule="auto"/>
        <w:jc w:val="both"/>
        <w:rPr>
          <w:rFonts w:ascii="Arial" w:hAnsi="Arial" w:cs="Arial"/>
        </w:rPr>
      </w:pPr>
      <w:r w:rsidRPr="00083B4F">
        <w:rPr>
          <w:rFonts w:ascii="Arial" w:hAnsi="Arial" w:cs="Arial"/>
        </w:rPr>
        <w:t xml:space="preserve">Consistent with </w:t>
      </w:r>
      <w:r>
        <w:rPr>
          <w:rFonts w:ascii="Arial" w:hAnsi="Arial" w:cs="Arial"/>
        </w:rPr>
        <w:t xml:space="preserve">the previous </w:t>
      </w:r>
      <w:r w:rsidRPr="00083B4F">
        <w:rPr>
          <w:rFonts w:ascii="Arial" w:hAnsi="Arial" w:cs="Arial"/>
        </w:rPr>
        <w:t xml:space="preserve">findings in </w:t>
      </w:r>
      <w:r>
        <w:rPr>
          <w:rFonts w:ascii="Arial" w:hAnsi="Arial" w:cs="Arial"/>
        </w:rPr>
        <w:t xml:space="preserve">cortical bone, submaximal mechanical loading </w:t>
      </w:r>
      <w:r w:rsidR="00F506AC">
        <w:rPr>
          <w:rFonts w:ascii="Arial" w:hAnsi="Arial" w:cs="Arial"/>
        </w:rPr>
        <w:t xml:space="preserve">regimen with 11N force </w:t>
      </w:r>
      <w:r>
        <w:rPr>
          <w:rFonts w:ascii="Arial" w:hAnsi="Arial" w:cs="Arial"/>
        </w:rPr>
        <w:t>had significant effect on cortical bone mass and architec</w:t>
      </w:r>
      <w:r w:rsidR="00F506AC">
        <w:rPr>
          <w:rFonts w:ascii="Arial" w:hAnsi="Arial" w:cs="Arial"/>
        </w:rPr>
        <w:t xml:space="preserve">ture </w:t>
      </w:r>
      <w:r>
        <w:rPr>
          <w:rFonts w:ascii="Arial" w:hAnsi="Arial" w:cs="Arial"/>
        </w:rPr>
        <w:t>of the loaded tibiae in young male mice.</w:t>
      </w:r>
      <w:r w:rsidR="00F506AC">
        <w:rPr>
          <w:rFonts w:ascii="Arial" w:hAnsi="Arial" w:cs="Arial"/>
        </w:rPr>
        <w:t xml:space="preserve"> </w:t>
      </w:r>
      <w:r>
        <w:rPr>
          <w:rFonts w:ascii="Arial" w:hAnsi="Arial" w:cs="Arial"/>
        </w:rPr>
        <w:t>Submaximal loading induced significant increase in Ct.Th by 13% at the tibial mid-shaft of fasted 2-hour fed and 8% ad-lib fed mice. However</w:t>
      </w:r>
      <w:r w:rsidR="00371D23">
        <w:rPr>
          <w:rFonts w:ascii="Arial" w:hAnsi="Arial" w:cs="Arial"/>
        </w:rPr>
        <w:t>,</w:t>
      </w:r>
      <w:r>
        <w:rPr>
          <w:rFonts w:ascii="Arial" w:hAnsi="Arial" w:cs="Arial"/>
        </w:rPr>
        <w:t xml:space="preserve"> no significant interactions in Ct.Th were detected between the experimental groups (fasted 2-hour fed: </w:t>
      </w:r>
      <w:r>
        <w:rPr>
          <w:rFonts w:ascii="Arial" w:hAnsi="Arial"/>
        </w:rPr>
        <w:t>0.27</w:t>
      </w:r>
      <w:r w:rsidRPr="00711F86">
        <w:rPr>
          <w:rFonts w:ascii="Arial" w:eastAsia="MS Gothic" w:hAnsi="Arial" w:cs="Arial"/>
        </w:rPr>
        <w:t>±</w:t>
      </w:r>
      <w:r>
        <w:rPr>
          <w:rFonts w:ascii="Arial" w:hAnsi="Arial"/>
        </w:rPr>
        <w:t>0.007</w:t>
      </w:r>
      <w:r w:rsidRPr="00711F86">
        <w:rPr>
          <w:rFonts w:ascii="Arial" w:hAnsi="Arial"/>
        </w:rPr>
        <w:t>mm versus 0.24</w:t>
      </w:r>
      <w:r w:rsidRPr="00711F86">
        <w:rPr>
          <w:rFonts w:ascii="Arial" w:eastAsia="MS Gothic" w:hAnsi="Arial" w:cs="Arial"/>
        </w:rPr>
        <w:t>±</w:t>
      </w:r>
      <w:r>
        <w:rPr>
          <w:rFonts w:ascii="Arial" w:hAnsi="Arial"/>
        </w:rPr>
        <w:t>0.003</w:t>
      </w:r>
      <w:r w:rsidR="00D27B5A">
        <w:rPr>
          <w:rFonts w:ascii="Arial" w:hAnsi="Arial"/>
        </w:rPr>
        <w:t>mm, p&lt;0.01</w:t>
      </w:r>
      <w:r w:rsidRPr="00711F86">
        <w:rPr>
          <w:rFonts w:ascii="Arial" w:hAnsi="Arial"/>
        </w:rPr>
        <w:t>; ad-lib fed: 0.26</w:t>
      </w:r>
      <w:r w:rsidRPr="00711F86">
        <w:rPr>
          <w:rFonts w:ascii="Arial" w:eastAsia="MS Gothic" w:hAnsi="Arial" w:cs="Arial"/>
        </w:rPr>
        <w:t>±</w:t>
      </w:r>
      <w:r>
        <w:rPr>
          <w:rFonts w:ascii="Arial" w:hAnsi="Arial"/>
        </w:rPr>
        <w:t>0.004</w:t>
      </w:r>
      <w:r w:rsidRPr="00711F86">
        <w:rPr>
          <w:rFonts w:ascii="Arial" w:hAnsi="Arial"/>
        </w:rPr>
        <w:t>mm versus 0.24</w:t>
      </w:r>
      <w:r w:rsidRPr="00711F86">
        <w:rPr>
          <w:rFonts w:ascii="Arial" w:eastAsia="MS Gothic" w:hAnsi="Arial" w:cs="Arial"/>
        </w:rPr>
        <w:t>±</w:t>
      </w:r>
      <w:r>
        <w:rPr>
          <w:rFonts w:ascii="Arial" w:hAnsi="Arial"/>
        </w:rPr>
        <w:t>0.004</w:t>
      </w:r>
      <w:r w:rsidRPr="00711F86">
        <w:rPr>
          <w:rFonts w:ascii="Arial" w:hAnsi="Arial"/>
        </w:rPr>
        <w:t>mm, p&lt;0.05</w:t>
      </w:r>
      <w:r w:rsidRPr="00711F86">
        <w:rPr>
          <w:rFonts w:ascii="Arial" w:hAnsi="Arial" w:cs="Arial"/>
        </w:rPr>
        <w:t>)</w:t>
      </w:r>
      <w:r w:rsidR="00F506AC">
        <w:rPr>
          <w:rFonts w:ascii="Arial" w:hAnsi="Arial" w:cs="Arial"/>
        </w:rPr>
        <w:t xml:space="preserve"> (Figure 42</w:t>
      </w:r>
      <w:r>
        <w:rPr>
          <w:rFonts w:ascii="Arial" w:hAnsi="Arial" w:cs="Arial"/>
        </w:rPr>
        <w:t xml:space="preserve">D). </w:t>
      </w:r>
    </w:p>
    <w:p w14:paraId="3E26C4B6" w14:textId="77777777" w:rsidR="00ED25E7" w:rsidRDefault="00ED25E7" w:rsidP="00ED25E7">
      <w:pPr>
        <w:spacing w:line="480" w:lineRule="auto"/>
        <w:jc w:val="both"/>
        <w:rPr>
          <w:rFonts w:ascii="Arial" w:hAnsi="Arial" w:cs="Arial"/>
        </w:rPr>
      </w:pPr>
    </w:p>
    <w:p w14:paraId="70554891" w14:textId="77777777" w:rsidR="00ED25E7" w:rsidRPr="00083B4F" w:rsidRDefault="00ED25E7" w:rsidP="00ED25E7">
      <w:pPr>
        <w:spacing w:line="480" w:lineRule="auto"/>
        <w:jc w:val="both"/>
        <w:rPr>
          <w:rFonts w:ascii="Arial" w:hAnsi="Arial" w:cs="Arial"/>
        </w:rPr>
      </w:pPr>
      <w:r>
        <w:rPr>
          <w:rFonts w:ascii="Arial" w:hAnsi="Arial" w:cs="Arial"/>
        </w:rPr>
        <w:t xml:space="preserve">Ct.Ar and Tt.Ar increased in loaded tibiae of both fasted 2-hours fed and ad-lib fed mice compared with the non-loaded controls, but did not reach statistical significance (Ct.Ar </w:t>
      </w:r>
      <w:r>
        <w:rPr>
          <w:rFonts w:ascii="Arial" w:hAnsi="Arial" w:cs="Arial"/>
          <w:noProof/>
        </w:rPr>
        <w:t>fasted 2-hour fed: 0.76</w:t>
      </w:r>
      <w:r>
        <w:rPr>
          <w:rFonts w:ascii="Arial" w:eastAsia="MS Gothic" w:hAnsi="Arial" w:cs="Arial"/>
        </w:rPr>
        <w:t>±0.01</w:t>
      </w:r>
      <w:r w:rsidRPr="00A9556A">
        <w:rPr>
          <w:rFonts w:ascii="Arial" w:eastAsia="MS Gothic" w:hAnsi="Arial" w:cs="Arial"/>
        </w:rPr>
        <w:t>mm</w:t>
      </w:r>
      <w:r w:rsidRPr="00A9556A">
        <w:rPr>
          <w:rFonts w:ascii="Arial" w:eastAsia="MS Gothic" w:hAnsi="Arial" w:cs="Arial"/>
          <w:vertAlign w:val="superscript"/>
        </w:rPr>
        <w:t>2</w:t>
      </w:r>
      <w:r>
        <w:rPr>
          <w:rFonts w:ascii="Arial" w:eastAsia="MS Gothic" w:hAnsi="Arial" w:cs="Arial"/>
        </w:rPr>
        <w:t xml:space="preserve"> versus 0.69±0.02</w:t>
      </w:r>
      <w:r w:rsidRPr="00A9556A">
        <w:rPr>
          <w:rFonts w:ascii="Arial" w:eastAsia="MS Gothic" w:hAnsi="Arial" w:cs="Arial"/>
        </w:rPr>
        <w:t>mm</w:t>
      </w:r>
      <w:r w:rsidRPr="00A9556A">
        <w:rPr>
          <w:rFonts w:ascii="Arial" w:eastAsia="MS Gothic" w:hAnsi="Arial" w:cs="Arial"/>
          <w:vertAlign w:val="superscript"/>
        </w:rPr>
        <w:t>2</w:t>
      </w:r>
      <w:r w:rsidRPr="00A9556A">
        <w:rPr>
          <w:rFonts w:ascii="Arial" w:eastAsia="MS Gothic" w:hAnsi="Arial" w:cs="Arial"/>
        </w:rPr>
        <w:t>,</w:t>
      </w:r>
      <w:r w:rsidRPr="00A9556A">
        <w:rPr>
          <w:rFonts w:ascii="Arial" w:eastAsia="MS Gothic" w:hAnsi="Arial" w:cs="Arial"/>
          <w:vertAlign w:val="superscript"/>
        </w:rPr>
        <w:t xml:space="preserve"> </w:t>
      </w:r>
      <w:r w:rsidRPr="00A9556A">
        <w:rPr>
          <w:rFonts w:ascii="Arial" w:hAnsi="Arial"/>
          <w:bCs/>
        </w:rPr>
        <w:t>p&gt;0.05</w:t>
      </w:r>
      <w:r>
        <w:rPr>
          <w:rFonts w:ascii="Arial" w:eastAsia="MS Gothic" w:hAnsi="Arial" w:cs="Arial"/>
        </w:rPr>
        <w:t>; ad-lib fed: 0.77</w:t>
      </w:r>
      <w:r w:rsidRPr="00A9556A">
        <w:rPr>
          <w:rFonts w:ascii="Arial" w:eastAsia="MS Gothic" w:hAnsi="Arial" w:cs="Arial"/>
        </w:rPr>
        <w:t>±0.02mm</w:t>
      </w:r>
      <w:r w:rsidRPr="00A9556A">
        <w:rPr>
          <w:rFonts w:ascii="Arial" w:eastAsia="MS Gothic" w:hAnsi="Arial" w:cs="Arial"/>
          <w:vertAlign w:val="superscript"/>
        </w:rPr>
        <w:t xml:space="preserve">2 </w:t>
      </w:r>
      <w:r>
        <w:rPr>
          <w:rFonts w:ascii="Arial" w:eastAsia="MS Gothic" w:hAnsi="Arial" w:cs="Arial"/>
        </w:rPr>
        <w:t>versus 0.70</w:t>
      </w:r>
      <w:r w:rsidRPr="00A9556A">
        <w:rPr>
          <w:rFonts w:ascii="Arial" w:eastAsia="MS Gothic" w:hAnsi="Arial" w:cs="Arial"/>
        </w:rPr>
        <w:t>±0.02mm</w:t>
      </w:r>
      <w:r w:rsidRPr="00A9556A">
        <w:rPr>
          <w:rFonts w:ascii="Arial" w:eastAsia="MS Gothic" w:hAnsi="Arial" w:cs="Arial"/>
          <w:vertAlign w:val="superscript"/>
        </w:rPr>
        <w:t>2</w:t>
      </w:r>
      <w:r w:rsidRPr="00A9556A">
        <w:rPr>
          <w:rFonts w:ascii="Arial" w:eastAsia="MS Gothic" w:hAnsi="Arial" w:cs="Arial"/>
        </w:rPr>
        <w:t>,</w:t>
      </w:r>
      <w:r w:rsidRPr="00A9556A">
        <w:rPr>
          <w:rFonts w:ascii="Arial" w:eastAsia="MS Gothic" w:hAnsi="Arial" w:cs="Arial"/>
          <w:vertAlign w:val="superscript"/>
        </w:rPr>
        <w:t xml:space="preserve"> </w:t>
      </w:r>
      <w:r w:rsidRPr="00A9556A">
        <w:rPr>
          <w:rFonts w:ascii="Arial" w:hAnsi="Arial"/>
          <w:bCs/>
        </w:rPr>
        <w:t>p&gt;0.05</w:t>
      </w:r>
      <w:r>
        <w:rPr>
          <w:rFonts w:ascii="Arial" w:hAnsi="Arial"/>
          <w:bCs/>
        </w:rPr>
        <w:t xml:space="preserve"> and</w:t>
      </w:r>
      <w:r w:rsidRPr="00A9556A">
        <w:rPr>
          <w:rFonts w:ascii="Arial" w:hAnsi="Arial"/>
          <w:bCs/>
        </w:rPr>
        <w:t xml:space="preserve"> Tt.Ar </w:t>
      </w:r>
      <w:r w:rsidRPr="00A9556A">
        <w:rPr>
          <w:rFonts w:ascii="Arial" w:hAnsi="Arial" w:cs="Arial"/>
          <w:noProof/>
        </w:rPr>
        <w:t xml:space="preserve">fasted 2-hour </w:t>
      </w:r>
      <w:r>
        <w:rPr>
          <w:rFonts w:ascii="Arial" w:hAnsi="Arial" w:cs="Arial"/>
          <w:noProof/>
        </w:rPr>
        <w:t>fed: 1.2</w:t>
      </w:r>
      <w:r w:rsidRPr="00A9556A">
        <w:rPr>
          <w:rFonts w:ascii="Arial" w:hAnsi="Arial" w:cs="Arial"/>
          <w:noProof/>
        </w:rPr>
        <w:t>4</w:t>
      </w:r>
      <w:r>
        <w:rPr>
          <w:rFonts w:ascii="Arial" w:eastAsia="MS Gothic" w:hAnsi="Arial" w:cs="Arial"/>
        </w:rPr>
        <w:t>±0.02</w:t>
      </w:r>
      <w:r w:rsidRPr="00A9556A">
        <w:rPr>
          <w:rFonts w:ascii="Arial" w:eastAsia="MS Gothic" w:hAnsi="Arial" w:cs="Arial"/>
        </w:rPr>
        <w:t>mm</w:t>
      </w:r>
      <w:r w:rsidRPr="00A9556A">
        <w:rPr>
          <w:rFonts w:ascii="Arial" w:eastAsia="MS Gothic" w:hAnsi="Arial" w:cs="Arial"/>
          <w:vertAlign w:val="superscript"/>
        </w:rPr>
        <w:t>2</w:t>
      </w:r>
      <w:r>
        <w:rPr>
          <w:rFonts w:ascii="Arial" w:eastAsia="MS Gothic" w:hAnsi="Arial" w:cs="Arial"/>
        </w:rPr>
        <w:t xml:space="preserve"> versus 1.17±0.03</w:t>
      </w:r>
      <w:r w:rsidRPr="00A9556A">
        <w:rPr>
          <w:rFonts w:ascii="Arial" w:eastAsia="MS Gothic" w:hAnsi="Arial" w:cs="Arial"/>
        </w:rPr>
        <w:t>mm</w:t>
      </w:r>
      <w:r w:rsidRPr="00A9556A">
        <w:rPr>
          <w:rFonts w:ascii="Arial" w:eastAsia="MS Gothic" w:hAnsi="Arial" w:cs="Arial"/>
          <w:vertAlign w:val="superscript"/>
        </w:rPr>
        <w:t>2</w:t>
      </w:r>
      <w:r w:rsidRPr="00A9556A">
        <w:rPr>
          <w:rFonts w:ascii="Arial" w:eastAsia="MS Gothic" w:hAnsi="Arial" w:cs="Arial"/>
        </w:rPr>
        <w:t>,</w:t>
      </w:r>
      <w:r w:rsidRPr="00A9556A">
        <w:rPr>
          <w:rFonts w:ascii="Arial" w:eastAsia="MS Gothic" w:hAnsi="Arial" w:cs="Arial"/>
          <w:vertAlign w:val="superscript"/>
        </w:rPr>
        <w:t xml:space="preserve"> </w:t>
      </w:r>
      <w:r w:rsidRPr="00A9556A">
        <w:rPr>
          <w:rFonts w:ascii="Arial" w:hAnsi="Arial"/>
          <w:bCs/>
        </w:rPr>
        <w:t>p&gt;0.05</w:t>
      </w:r>
      <w:r>
        <w:rPr>
          <w:rFonts w:ascii="Arial" w:eastAsia="MS Gothic" w:hAnsi="Arial" w:cs="Arial"/>
        </w:rPr>
        <w:t>; ad-lib fed: 1.27±0.05</w:t>
      </w:r>
      <w:r w:rsidRPr="00A9556A">
        <w:rPr>
          <w:rFonts w:ascii="Arial" w:eastAsia="MS Gothic" w:hAnsi="Arial" w:cs="Arial"/>
        </w:rPr>
        <w:t>mm</w:t>
      </w:r>
      <w:r w:rsidRPr="00A9556A">
        <w:rPr>
          <w:rFonts w:ascii="Arial" w:eastAsia="MS Gothic" w:hAnsi="Arial" w:cs="Arial"/>
          <w:vertAlign w:val="superscript"/>
        </w:rPr>
        <w:t xml:space="preserve">2 </w:t>
      </w:r>
      <w:r>
        <w:rPr>
          <w:rFonts w:ascii="Arial" w:eastAsia="MS Gothic" w:hAnsi="Arial" w:cs="Arial"/>
        </w:rPr>
        <w:t>versus 1.20±0.05</w:t>
      </w:r>
      <w:r w:rsidRPr="00A9556A">
        <w:rPr>
          <w:rFonts w:ascii="Arial" w:eastAsia="MS Gothic" w:hAnsi="Arial" w:cs="Arial"/>
        </w:rPr>
        <w:t>mm</w:t>
      </w:r>
      <w:r w:rsidRPr="00A9556A">
        <w:rPr>
          <w:rFonts w:ascii="Arial" w:eastAsia="MS Gothic" w:hAnsi="Arial" w:cs="Arial"/>
          <w:vertAlign w:val="superscript"/>
        </w:rPr>
        <w:t>2</w:t>
      </w:r>
      <w:r w:rsidRPr="00A9556A">
        <w:rPr>
          <w:rFonts w:ascii="Arial" w:eastAsia="MS Gothic" w:hAnsi="Arial" w:cs="Arial"/>
        </w:rPr>
        <w:t>,</w:t>
      </w:r>
      <w:r w:rsidRPr="00A9556A">
        <w:rPr>
          <w:rFonts w:ascii="Arial" w:eastAsia="MS Gothic" w:hAnsi="Arial" w:cs="Arial"/>
          <w:vertAlign w:val="superscript"/>
        </w:rPr>
        <w:t xml:space="preserve"> </w:t>
      </w:r>
      <w:r w:rsidRPr="00A9556A">
        <w:rPr>
          <w:rFonts w:ascii="Arial" w:hAnsi="Arial"/>
          <w:bCs/>
        </w:rPr>
        <w:t>p&gt;0.05)</w:t>
      </w:r>
      <w:r w:rsidR="00F506AC">
        <w:rPr>
          <w:rFonts w:ascii="Arial" w:hAnsi="Arial" w:cs="Arial"/>
        </w:rPr>
        <w:t xml:space="preserve"> (Figure 42A, B), w</w:t>
      </w:r>
      <w:r>
        <w:rPr>
          <w:rFonts w:ascii="Arial" w:hAnsi="Arial" w:cs="Arial"/>
        </w:rPr>
        <w:t>hereas Ma.Ar remained unchanged within and between t</w:t>
      </w:r>
      <w:r w:rsidR="00F506AC">
        <w:rPr>
          <w:rFonts w:ascii="Arial" w:hAnsi="Arial" w:cs="Arial"/>
        </w:rPr>
        <w:t>he experimental groups (Figure 42</w:t>
      </w:r>
      <w:r>
        <w:rPr>
          <w:rFonts w:ascii="Arial" w:hAnsi="Arial" w:cs="Arial"/>
        </w:rPr>
        <w:t xml:space="preserve">C). </w:t>
      </w:r>
    </w:p>
    <w:p w14:paraId="12CDC356" w14:textId="77777777" w:rsidR="00ED25E7" w:rsidRDefault="00ED25E7" w:rsidP="00ED25E7">
      <w:pPr>
        <w:spacing w:line="480" w:lineRule="auto"/>
        <w:jc w:val="both"/>
      </w:pPr>
    </w:p>
    <w:p w14:paraId="7ACB7A01" w14:textId="77777777" w:rsidR="00ED25E7" w:rsidRDefault="00ED25E7" w:rsidP="00ED25E7">
      <w:pPr>
        <w:spacing w:line="480" w:lineRule="auto"/>
        <w:jc w:val="both"/>
      </w:pPr>
    </w:p>
    <w:p w14:paraId="6B14684E" w14:textId="77777777" w:rsidR="00ED25E7" w:rsidRDefault="00ED25E7" w:rsidP="00ED25E7"/>
    <w:p w14:paraId="08F26091" w14:textId="77777777" w:rsidR="00FA1243" w:rsidRDefault="00FA1243" w:rsidP="00ED25E7"/>
    <w:p w14:paraId="556F4143" w14:textId="77777777" w:rsidR="00ED25E7" w:rsidRDefault="00ED25E7" w:rsidP="00ED25E7"/>
    <w:p w14:paraId="28279616" w14:textId="77777777" w:rsidR="00ED25E7" w:rsidRPr="00F91ED8" w:rsidRDefault="00ED25E7" w:rsidP="00ED25E7"/>
    <w:p w14:paraId="11B58F4E" w14:textId="77777777" w:rsidR="00ED25E7" w:rsidRDefault="00ED25E7" w:rsidP="00ED25E7">
      <w:r>
        <w:rPr>
          <w:noProof/>
          <w:lang w:val="en-US"/>
        </w:rPr>
        <w:drawing>
          <wp:inline distT="0" distB="0" distL="0" distR="0" wp14:anchorId="5C9400DF" wp14:editId="34F24E71">
            <wp:extent cx="3154166" cy="2925019"/>
            <wp:effectExtent l="0" t="0" r="0" b="0"/>
            <wp:docPr id="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55310" cy="2926080"/>
                    </a:xfrm>
                    <a:prstGeom prst="rect">
                      <a:avLst/>
                    </a:prstGeom>
                    <a:noFill/>
                    <a:ln>
                      <a:noFill/>
                    </a:ln>
                  </pic:spPr>
                </pic:pic>
              </a:graphicData>
            </a:graphic>
          </wp:inline>
        </w:drawing>
      </w:r>
      <w:r w:rsidRPr="00443A9B">
        <w:t xml:space="preserve"> </w:t>
      </w:r>
      <w:r>
        <w:rPr>
          <w:noProof/>
          <w:lang w:val="en-US"/>
        </w:rPr>
        <w:drawing>
          <wp:inline distT="0" distB="0" distL="0" distR="0" wp14:anchorId="4EB82050" wp14:editId="08BC800C">
            <wp:extent cx="2907586" cy="2642870"/>
            <wp:effectExtent l="0" t="0" r="0" b="0"/>
            <wp:docPr id="6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07586" cy="2642870"/>
                    </a:xfrm>
                    <a:prstGeom prst="rect">
                      <a:avLst/>
                    </a:prstGeom>
                    <a:noFill/>
                    <a:ln>
                      <a:noFill/>
                    </a:ln>
                  </pic:spPr>
                </pic:pic>
              </a:graphicData>
            </a:graphic>
          </wp:inline>
        </w:drawing>
      </w:r>
    </w:p>
    <w:p w14:paraId="7D47577C" w14:textId="77777777" w:rsidR="00ED25E7" w:rsidRPr="00F91ED8" w:rsidRDefault="00ED25E7" w:rsidP="00ED25E7"/>
    <w:p w14:paraId="34F41A12" w14:textId="77777777" w:rsidR="00ED25E7" w:rsidRDefault="00ED25E7" w:rsidP="00ED25E7">
      <w:pPr>
        <w:pStyle w:val="Caption"/>
        <w:spacing w:line="360" w:lineRule="auto"/>
        <w:rPr>
          <w:noProof/>
          <w:color w:val="1F497D" w:themeColor="text2"/>
          <w:sz w:val="24"/>
          <w:szCs w:val="24"/>
          <w:lang w:val="en-US"/>
        </w:rPr>
      </w:pPr>
    </w:p>
    <w:p w14:paraId="1398FF48" w14:textId="77777777" w:rsidR="00F506AC" w:rsidRDefault="00ED25E7" w:rsidP="00F506AC">
      <w:pPr>
        <w:keepNext/>
        <w:ind w:left="284"/>
      </w:pPr>
      <w:r w:rsidRPr="00E846AE">
        <w:t xml:space="preserve"> </w:t>
      </w:r>
      <w:r w:rsidRPr="00852D1A">
        <w:t xml:space="preserve"> </w:t>
      </w:r>
      <w:r>
        <w:rPr>
          <w:noProof/>
          <w:lang w:val="en-US"/>
        </w:rPr>
        <w:drawing>
          <wp:inline distT="0" distB="0" distL="0" distR="0" wp14:anchorId="4288FDD0" wp14:editId="1C7DE9E9">
            <wp:extent cx="2876764" cy="2519551"/>
            <wp:effectExtent l="0" t="0" r="0" b="0"/>
            <wp:docPr id="7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76911" cy="2519680"/>
                    </a:xfrm>
                    <a:prstGeom prst="rect">
                      <a:avLst/>
                    </a:prstGeom>
                    <a:noFill/>
                    <a:ln>
                      <a:noFill/>
                    </a:ln>
                  </pic:spPr>
                </pic:pic>
              </a:graphicData>
            </a:graphic>
          </wp:inline>
        </w:drawing>
      </w:r>
      <w:r>
        <w:rPr>
          <w:noProof/>
          <w:lang w:val="en-US"/>
        </w:rPr>
        <w:drawing>
          <wp:inline distT="0" distB="0" distL="0" distR="0" wp14:anchorId="25833EDA" wp14:editId="370EF54E">
            <wp:extent cx="2965821" cy="2519519"/>
            <wp:effectExtent l="0" t="0" r="6350" b="0"/>
            <wp:docPr id="7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66011" cy="2519680"/>
                    </a:xfrm>
                    <a:prstGeom prst="rect">
                      <a:avLst/>
                    </a:prstGeom>
                    <a:noFill/>
                    <a:ln>
                      <a:noFill/>
                    </a:ln>
                  </pic:spPr>
                </pic:pic>
              </a:graphicData>
            </a:graphic>
          </wp:inline>
        </w:drawing>
      </w:r>
    </w:p>
    <w:p w14:paraId="6F861F5B" w14:textId="77777777" w:rsidR="00F506AC" w:rsidRDefault="00F506AC" w:rsidP="00F506AC">
      <w:pPr>
        <w:pStyle w:val="Caption"/>
      </w:pPr>
    </w:p>
    <w:p w14:paraId="076DDABA" w14:textId="77777777" w:rsidR="00F506AC" w:rsidRDefault="00F506AC" w:rsidP="00F506AC">
      <w:pPr>
        <w:pStyle w:val="Caption"/>
      </w:pPr>
    </w:p>
    <w:p w14:paraId="1C6CBE01" w14:textId="77777777" w:rsidR="00ED25E7" w:rsidRPr="001928EA" w:rsidRDefault="00F506AC" w:rsidP="001928EA">
      <w:pPr>
        <w:pStyle w:val="Caption"/>
        <w:spacing w:line="360" w:lineRule="auto"/>
        <w:jc w:val="both"/>
        <w:rPr>
          <w:rFonts w:ascii="Arial" w:hAnsi="Arial"/>
          <w:color w:val="244061" w:themeColor="accent1" w:themeShade="80"/>
          <w:sz w:val="24"/>
          <w:szCs w:val="24"/>
        </w:rPr>
      </w:pPr>
      <w:bookmarkStart w:id="132" w:name="_Toc383544633"/>
      <w:r w:rsidRPr="001928EA">
        <w:rPr>
          <w:rFonts w:ascii="Arial" w:hAnsi="Arial"/>
          <w:color w:val="244061" w:themeColor="accent1" w:themeShade="80"/>
          <w:sz w:val="24"/>
          <w:szCs w:val="24"/>
        </w:rPr>
        <w:t xml:space="preserve">Figure </w:t>
      </w:r>
      <w:r w:rsidRPr="001928EA">
        <w:rPr>
          <w:rFonts w:ascii="Arial" w:hAnsi="Arial"/>
          <w:color w:val="244061" w:themeColor="accent1" w:themeShade="80"/>
          <w:sz w:val="24"/>
          <w:szCs w:val="24"/>
        </w:rPr>
        <w:fldChar w:fldCharType="begin"/>
      </w:r>
      <w:r w:rsidRPr="001928EA">
        <w:rPr>
          <w:rFonts w:ascii="Arial" w:hAnsi="Arial"/>
          <w:color w:val="244061" w:themeColor="accent1" w:themeShade="80"/>
          <w:sz w:val="24"/>
          <w:szCs w:val="24"/>
        </w:rPr>
        <w:instrText xml:space="preserve"> SEQ Figure \* ARABIC </w:instrText>
      </w:r>
      <w:r w:rsidRPr="001928EA">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42</w:t>
      </w:r>
      <w:r w:rsidRPr="001928EA">
        <w:rPr>
          <w:rFonts w:ascii="Arial" w:hAnsi="Arial"/>
          <w:color w:val="244061" w:themeColor="accent1" w:themeShade="80"/>
          <w:sz w:val="24"/>
          <w:szCs w:val="24"/>
        </w:rPr>
        <w:fldChar w:fldCharType="end"/>
      </w:r>
      <w:r w:rsidRPr="001928EA">
        <w:rPr>
          <w:rFonts w:ascii="Arial" w:hAnsi="Arial"/>
          <w:color w:val="244061" w:themeColor="accent1" w:themeShade="80"/>
          <w:sz w:val="24"/>
          <w:szCs w:val="24"/>
        </w:rPr>
        <w:t xml:space="preserve"> </w:t>
      </w:r>
      <w:r w:rsidR="00ED25E7" w:rsidRPr="001928EA">
        <w:rPr>
          <w:rFonts w:ascii="Arial" w:hAnsi="Arial"/>
          <w:color w:val="244061" w:themeColor="accent1" w:themeShade="80"/>
          <w:sz w:val="24"/>
          <w:szCs w:val="24"/>
        </w:rPr>
        <w:t>The effect of submaximal mechanical loading with a peak force of 11N on cortical</w:t>
      </w:r>
      <w:r w:rsidRPr="001928EA">
        <w:rPr>
          <w:rFonts w:ascii="Arial" w:hAnsi="Arial"/>
          <w:color w:val="244061" w:themeColor="accent1" w:themeShade="80"/>
          <w:sz w:val="24"/>
          <w:szCs w:val="24"/>
        </w:rPr>
        <w:t xml:space="preserve"> </w:t>
      </w:r>
      <w:r w:rsidR="001928EA" w:rsidRPr="001928EA">
        <w:rPr>
          <w:rFonts w:ascii="Arial" w:hAnsi="Arial"/>
          <w:color w:val="244061" w:themeColor="accent1" w:themeShade="80"/>
          <w:sz w:val="24"/>
          <w:szCs w:val="24"/>
        </w:rPr>
        <w:t xml:space="preserve">Ct.Ar (A), Tt.Ar (B), Ma.Ar (C) and Ct.Th (D) </w:t>
      </w:r>
      <w:r w:rsidR="00ED25E7" w:rsidRPr="001928EA">
        <w:rPr>
          <w:rFonts w:ascii="Arial" w:hAnsi="Arial"/>
          <w:color w:val="244061" w:themeColor="accent1" w:themeShade="80"/>
          <w:sz w:val="24"/>
          <w:szCs w:val="24"/>
        </w:rPr>
        <w:t xml:space="preserve">at the tibial mid-shaft </w:t>
      </w:r>
      <w:r w:rsidR="00ED25E7" w:rsidRPr="001928EA">
        <w:rPr>
          <w:rFonts w:ascii="Arial" w:eastAsiaTheme="minorHAnsi" w:hAnsi="Arial"/>
          <w:bCs w:val="0"/>
          <w:color w:val="244061" w:themeColor="accent1" w:themeShade="80"/>
          <w:sz w:val="24"/>
          <w:szCs w:val="24"/>
          <w:lang w:val="en-US"/>
        </w:rPr>
        <w:t xml:space="preserve">of 19-week-old fed (n=6) or overnight fasted </w:t>
      </w:r>
      <w:r w:rsidRPr="001928EA">
        <w:rPr>
          <w:rFonts w:ascii="Arial" w:eastAsiaTheme="minorHAnsi" w:hAnsi="Arial"/>
          <w:bCs w:val="0"/>
          <w:color w:val="244061" w:themeColor="accent1" w:themeShade="80"/>
          <w:sz w:val="24"/>
          <w:szCs w:val="24"/>
          <w:lang w:val="en-US"/>
        </w:rPr>
        <w:t xml:space="preserve">2-hour </w:t>
      </w:r>
      <w:r w:rsidR="00ED25E7" w:rsidRPr="001928EA">
        <w:rPr>
          <w:rFonts w:ascii="Arial" w:eastAsiaTheme="minorHAnsi" w:hAnsi="Arial"/>
          <w:bCs w:val="0"/>
          <w:color w:val="244061" w:themeColor="accent1" w:themeShade="80"/>
          <w:sz w:val="24"/>
          <w:szCs w:val="24"/>
          <w:lang w:val="en-US"/>
        </w:rPr>
        <w:t>fed (n=7) male mice</w:t>
      </w:r>
      <w:bookmarkEnd w:id="132"/>
      <w:r w:rsidR="00ED25E7" w:rsidRPr="001928EA">
        <w:rPr>
          <w:rFonts w:ascii="Arial" w:eastAsiaTheme="minorHAnsi" w:hAnsi="Arial"/>
          <w:bCs w:val="0"/>
          <w:color w:val="244061" w:themeColor="accent1" w:themeShade="80"/>
          <w:sz w:val="24"/>
          <w:szCs w:val="24"/>
          <w:lang w:val="en-US"/>
        </w:rPr>
        <w:t xml:space="preserve"> </w:t>
      </w:r>
    </w:p>
    <w:p w14:paraId="12C1FB31" w14:textId="77777777" w:rsidR="001928EA" w:rsidRDefault="00ED25E7" w:rsidP="00ED25E7">
      <w:pPr>
        <w:spacing w:line="360" w:lineRule="auto"/>
        <w:jc w:val="both"/>
        <w:rPr>
          <w:rFonts w:ascii="Arial" w:eastAsiaTheme="minorHAnsi" w:hAnsi="Arial" w:cs="Arial"/>
          <w:sz w:val="22"/>
          <w:szCs w:val="22"/>
        </w:rPr>
      </w:pPr>
      <w:r>
        <w:rPr>
          <w:rFonts w:ascii="Arial" w:eastAsiaTheme="minorHAnsi" w:hAnsi="Arial" w:cs="Arial"/>
          <w:sz w:val="22"/>
          <w:szCs w:val="22"/>
        </w:rPr>
        <w:t>Feeding for 2 hours following overnight fast increased cortical bone osteogenic response to submaximal mechanical loading as Ct.Th significantly increased, but had no significant effects on loading related changes in other cortical bone parameters including Ct.Ar</w:t>
      </w:r>
      <w:r w:rsidR="001928EA">
        <w:rPr>
          <w:rFonts w:ascii="Arial" w:eastAsiaTheme="minorHAnsi" w:hAnsi="Arial" w:cs="Arial"/>
          <w:sz w:val="22"/>
          <w:szCs w:val="22"/>
        </w:rPr>
        <w:t>, Tt.Ar</w:t>
      </w:r>
      <w:r w:rsidR="00C31F10">
        <w:rPr>
          <w:rFonts w:ascii="Arial" w:eastAsiaTheme="minorHAnsi" w:hAnsi="Arial" w:cs="Arial"/>
          <w:sz w:val="22"/>
          <w:szCs w:val="22"/>
        </w:rPr>
        <w:t xml:space="preserve"> </w:t>
      </w:r>
      <w:r>
        <w:rPr>
          <w:rFonts w:ascii="Arial" w:eastAsiaTheme="minorHAnsi" w:hAnsi="Arial" w:cs="Arial"/>
          <w:sz w:val="22"/>
          <w:szCs w:val="22"/>
        </w:rPr>
        <w:t>and Ma.Ar</w:t>
      </w:r>
      <w:r w:rsidR="00A17F7E">
        <w:rPr>
          <w:rFonts w:ascii="Arial" w:eastAsiaTheme="minorHAnsi" w:hAnsi="Arial" w:cs="Arial"/>
          <w:sz w:val="22"/>
          <w:szCs w:val="22"/>
        </w:rPr>
        <w:t>.</w:t>
      </w:r>
      <w:r w:rsidR="00C31F10">
        <w:rPr>
          <w:rFonts w:ascii="Arial" w:eastAsiaTheme="minorHAnsi" w:hAnsi="Arial" w:cs="Arial"/>
          <w:sz w:val="22"/>
          <w:szCs w:val="22"/>
        </w:rPr>
        <w:t xml:space="preserve"> </w:t>
      </w:r>
    </w:p>
    <w:p w14:paraId="36CE3D93" w14:textId="77777777" w:rsidR="00ED25E7" w:rsidRPr="00F70869" w:rsidRDefault="00ED25E7" w:rsidP="00ED25E7">
      <w:pPr>
        <w:spacing w:line="360" w:lineRule="auto"/>
        <w:jc w:val="both"/>
        <w:rPr>
          <w:rFonts w:ascii="Arial" w:eastAsiaTheme="minorHAnsi" w:hAnsi="Arial" w:cs="Arial"/>
          <w:sz w:val="22"/>
          <w:szCs w:val="22"/>
        </w:rPr>
      </w:pPr>
      <w:r>
        <w:rPr>
          <w:rFonts w:ascii="Arial" w:eastAsiaTheme="minorHAnsi" w:hAnsi="Arial" w:cs="Arial"/>
          <w:sz w:val="22"/>
          <w:szCs w:val="22"/>
        </w:rPr>
        <w:t>Bars represent mean</w:t>
      </w:r>
      <w:r w:rsidRPr="004D06C6">
        <w:rPr>
          <w:rFonts w:ascii="Arial" w:eastAsia="MS Gothic" w:hAnsi="Arial" w:cs="Arial"/>
          <w:sz w:val="22"/>
          <w:szCs w:val="22"/>
        </w:rPr>
        <w:t>±</w:t>
      </w:r>
      <w:r w:rsidRPr="004D06C6">
        <w:rPr>
          <w:rFonts w:ascii="Arial" w:eastAsiaTheme="minorHAnsi" w:hAnsi="Arial" w:cs="Arial"/>
          <w:sz w:val="22"/>
          <w:szCs w:val="22"/>
        </w:rPr>
        <w:t xml:space="preserve">SE. </w:t>
      </w:r>
      <w:r>
        <w:rPr>
          <w:rFonts w:ascii="Arial" w:eastAsiaTheme="minorHAnsi" w:hAnsi="Arial" w:cs="Arial"/>
          <w:sz w:val="22"/>
          <w:szCs w:val="22"/>
        </w:rPr>
        <w:t xml:space="preserve">* </w:t>
      </w:r>
      <w:proofErr w:type="gramStart"/>
      <w:r>
        <w:rPr>
          <w:rFonts w:ascii="Arial" w:eastAsiaTheme="minorHAnsi" w:hAnsi="Arial" w:cs="Arial"/>
          <w:sz w:val="22"/>
          <w:szCs w:val="22"/>
        </w:rPr>
        <w:t>p</w:t>
      </w:r>
      <w:proofErr w:type="gramEnd"/>
      <w:r>
        <w:rPr>
          <w:rFonts w:ascii="Arial" w:eastAsiaTheme="minorHAnsi" w:hAnsi="Arial" w:cs="Arial"/>
          <w:sz w:val="22"/>
          <w:szCs w:val="22"/>
        </w:rPr>
        <w:t>&lt;0.05, ** p&lt;0.01</w:t>
      </w:r>
    </w:p>
    <w:p w14:paraId="211D01C7" w14:textId="77777777" w:rsidR="00ED25E7" w:rsidRDefault="00ED25E7" w:rsidP="0022329B">
      <w:pPr>
        <w:spacing w:line="480" w:lineRule="auto"/>
        <w:jc w:val="both"/>
        <w:rPr>
          <w:rFonts w:ascii="Arial" w:hAnsi="Arial" w:cs="Arial"/>
          <w:color w:val="000000" w:themeColor="text1"/>
        </w:rPr>
      </w:pPr>
    </w:p>
    <w:p w14:paraId="70D9ECCE" w14:textId="77777777" w:rsidR="00EF7BB8" w:rsidRPr="00EF7BB8" w:rsidRDefault="00EF7BB8" w:rsidP="00EF7BB8">
      <w:pPr>
        <w:pStyle w:val="Heading3"/>
        <w:spacing w:line="480" w:lineRule="auto"/>
        <w:jc w:val="both"/>
        <w:rPr>
          <w:rFonts w:ascii="Arial" w:hAnsi="Arial"/>
          <w:color w:val="auto"/>
        </w:rPr>
      </w:pPr>
      <w:bookmarkStart w:id="133" w:name="_Toc383723911"/>
      <w:r w:rsidRPr="00EF7BB8">
        <w:rPr>
          <w:rFonts w:ascii="Arial" w:hAnsi="Arial"/>
          <w:color w:val="auto"/>
        </w:rPr>
        <w:lastRenderedPageBreak/>
        <w:t>5.2.4 The effect of submaximal mechanical loading on tibial trabecular bone mass and architecture of fed or fed for 2 hours foll</w:t>
      </w:r>
      <w:r w:rsidR="006F0E71">
        <w:rPr>
          <w:rFonts w:ascii="Arial" w:hAnsi="Arial"/>
          <w:color w:val="auto"/>
        </w:rPr>
        <w:t xml:space="preserve">owing overnight fast young </w:t>
      </w:r>
      <w:r w:rsidRPr="00EF7BB8">
        <w:rPr>
          <w:rFonts w:ascii="Arial" w:hAnsi="Arial"/>
          <w:color w:val="auto"/>
        </w:rPr>
        <w:t>mice</w:t>
      </w:r>
      <w:bookmarkEnd w:id="133"/>
    </w:p>
    <w:p w14:paraId="735E9FE8" w14:textId="77777777" w:rsidR="00EF7BB8" w:rsidRDefault="0022329B" w:rsidP="0022329B">
      <w:pPr>
        <w:spacing w:line="480" w:lineRule="auto"/>
        <w:jc w:val="both"/>
        <w:rPr>
          <w:rFonts w:ascii="Arial" w:hAnsi="Arial" w:cs="Arial"/>
          <w:color w:val="000000" w:themeColor="text1"/>
        </w:rPr>
      </w:pPr>
      <w:r w:rsidRPr="000F0037">
        <w:rPr>
          <w:rFonts w:ascii="Arial" w:hAnsi="Arial" w:cs="Arial"/>
          <w:color w:val="000000" w:themeColor="text1"/>
        </w:rPr>
        <w:sym w:font="Symbol" w:char="F06D"/>
      </w:r>
      <w:r w:rsidRPr="000F0037">
        <w:rPr>
          <w:rFonts w:ascii="Arial" w:hAnsi="Arial" w:cs="Arial"/>
          <w:color w:val="000000" w:themeColor="text1"/>
        </w:rPr>
        <w:t>CT</w:t>
      </w:r>
      <w:r>
        <w:rPr>
          <w:rFonts w:ascii="Arial" w:hAnsi="Arial" w:cs="Arial"/>
          <w:color w:val="000000" w:themeColor="text1"/>
        </w:rPr>
        <w:t xml:space="preserve"> analysis of the high resolutions scans of proximal site of the right loaded</w:t>
      </w:r>
      <w:r w:rsidR="003A5F75">
        <w:rPr>
          <w:rFonts w:ascii="Arial" w:hAnsi="Arial" w:cs="Arial"/>
          <w:color w:val="000000" w:themeColor="text1"/>
        </w:rPr>
        <w:t xml:space="preserve"> and left non-loaded contra</w:t>
      </w:r>
      <w:r>
        <w:rPr>
          <w:rFonts w:ascii="Arial" w:hAnsi="Arial" w:cs="Arial"/>
          <w:color w:val="000000" w:themeColor="text1"/>
        </w:rPr>
        <w:t>lateral tibiae revealed that loading induced sig</w:t>
      </w:r>
      <w:r w:rsidR="00EF7BB8">
        <w:rPr>
          <w:rFonts w:ascii="Arial" w:hAnsi="Arial" w:cs="Arial"/>
          <w:color w:val="000000" w:themeColor="text1"/>
        </w:rPr>
        <w:t>nificant changes in trabecular bone architecture (Figure 43</w:t>
      </w:r>
      <w:r>
        <w:rPr>
          <w:rFonts w:ascii="Arial" w:hAnsi="Arial" w:cs="Arial"/>
          <w:color w:val="000000" w:themeColor="text1"/>
        </w:rPr>
        <w:t xml:space="preserve">). </w:t>
      </w:r>
    </w:p>
    <w:p w14:paraId="102977E7" w14:textId="77777777" w:rsidR="00EF7BB8" w:rsidRDefault="00EF7BB8" w:rsidP="0022329B">
      <w:pPr>
        <w:spacing w:line="480" w:lineRule="auto"/>
        <w:jc w:val="both"/>
        <w:rPr>
          <w:rFonts w:ascii="Arial" w:hAnsi="Arial" w:cs="Arial"/>
          <w:color w:val="000000" w:themeColor="text1"/>
        </w:rPr>
      </w:pPr>
    </w:p>
    <w:p w14:paraId="21E98CB2" w14:textId="77777777" w:rsidR="0022329B" w:rsidRDefault="0022329B" w:rsidP="0022329B">
      <w:pPr>
        <w:spacing w:line="480" w:lineRule="auto"/>
        <w:jc w:val="both"/>
        <w:rPr>
          <w:rFonts w:ascii="Arial" w:hAnsi="Arial" w:cs="Arial"/>
        </w:rPr>
      </w:pPr>
      <w:r>
        <w:rPr>
          <w:rFonts w:ascii="Arial" w:hAnsi="Arial" w:cs="Arial"/>
          <w:color w:val="000000" w:themeColor="text1"/>
        </w:rPr>
        <w:t>Submaximal mechanical loading induced significant increase in trabecular BV/TV (</w:t>
      </w:r>
      <w:r>
        <w:rPr>
          <w:rFonts w:ascii="Arial" w:hAnsi="Arial" w:cs="Arial"/>
          <w:noProof/>
          <w:color w:val="000000" w:themeColor="text1"/>
        </w:rPr>
        <w:t xml:space="preserve">fasted 2-hour fed: </w:t>
      </w:r>
      <w:r>
        <w:rPr>
          <w:rFonts w:ascii="Arial" w:hAnsi="Arial"/>
          <w:bCs/>
        </w:rPr>
        <w:t>13.9</w:t>
      </w:r>
      <w:r w:rsidRPr="001C349E">
        <w:rPr>
          <w:rFonts w:ascii="Arial" w:eastAsia="MS Gothic" w:hAnsi="Arial" w:cs="Arial"/>
          <w:color w:val="000000"/>
        </w:rPr>
        <w:t>±</w:t>
      </w:r>
      <w:r>
        <w:rPr>
          <w:rFonts w:ascii="Arial" w:hAnsi="Arial"/>
          <w:bCs/>
        </w:rPr>
        <w:t>0.6%</w:t>
      </w:r>
      <w:r w:rsidRPr="001C349E">
        <w:rPr>
          <w:rFonts w:ascii="Arial" w:hAnsi="Arial"/>
          <w:bCs/>
        </w:rPr>
        <w:t xml:space="preserve"> v</w:t>
      </w:r>
      <w:r>
        <w:rPr>
          <w:rFonts w:ascii="Arial" w:hAnsi="Arial"/>
          <w:bCs/>
        </w:rPr>
        <w:t>ersus 11.5</w:t>
      </w:r>
      <w:r w:rsidRPr="001C349E">
        <w:rPr>
          <w:rFonts w:ascii="Arial" w:eastAsia="MS Gothic" w:hAnsi="Arial" w:cs="Arial"/>
          <w:color w:val="000000"/>
        </w:rPr>
        <w:t>±</w:t>
      </w:r>
      <w:r>
        <w:rPr>
          <w:rFonts w:ascii="Arial" w:hAnsi="Arial"/>
          <w:bCs/>
        </w:rPr>
        <w:t>0.3%, p&lt;0.01; ad-lib fed: 14.3</w:t>
      </w:r>
      <w:r w:rsidRPr="001C349E">
        <w:rPr>
          <w:rFonts w:ascii="Arial" w:eastAsia="MS Gothic" w:hAnsi="Arial" w:cs="Arial"/>
          <w:color w:val="000000"/>
        </w:rPr>
        <w:t>±</w:t>
      </w:r>
      <w:r>
        <w:rPr>
          <w:rFonts w:ascii="Arial" w:hAnsi="Arial"/>
          <w:bCs/>
        </w:rPr>
        <w:t>0.4%</w:t>
      </w:r>
      <w:r w:rsidRPr="001C349E">
        <w:rPr>
          <w:rFonts w:ascii="Arial" w:hAnsi="Arial"/>
          <w:bCs/>
        </w:rPr>
        <w:t xml:space="preserve"> v</w:t>
      </w:r>
      <w:r>
        <w:rPr>
          <w:rFonts w:ascii="Arial" w:hAnsi="Arial"/>
          <w:bCs/>
        </w:rPr>
        <w:t>ersus 11.4</w:t>
      </w:r>
      <w:r w:rsidRPr="001C349E">
        <w:rPr>
          <w:rFonts w:ascii="Arial" w:eastAsia="MS Gothic" w:hAnsi="Arial" w:cs="Arial"/>
          <w:color w:val="000000"/>
        </w:rPr>
        <w:t>±</w:t>
      </w:r>
      <w:r>
        <w:rPr>
          <w:rFonts w:ascii="Arial" w:hAnsi="Arial"/>
          <w:bCs/>
        </w:rPr>
        <w:t>0.4%, p&lt;0.0</w:t>
      </w:r>
      <w:r w:rsidRPr="001C349E">
        <w:rPr>
          <w:rFonts w:ascii="Arial" w:hAnsi="Arial"/>
          <w:bCs/>
        </w:rPr>
        <w:t>1</w:t>
      </w:r>
      <w:r>
        <w:rPr>
          <w:rFonts w:ascii="Arial" w:hAnsi="Arial" w:cs="Arial"/>
          <w:color w:val="000000" w:themeColor="text1"/>
        </w:rPr>
        <w:t>) achieved predominately due to increase in the trabecular thickness (</w:t>
      </w:r>
      <w:r>
        <w:rPr>
          <w:rFonts w:ascii="Arial" w:hAnsi="Arial" w:cs="Arial"/>
          <w:noProof/>
          <w:color w:val="000000" w:themeColor="text1"/>
        </w:rPr>
        <w:t xml:space="preserve">fasted 2-hour fed: </w:t>
      </w:r>
      <w:r w:rsidRPr="003B6F9D">
        <w:rPr>
          <w:rFonts w:ascii="Arial" w:hAnsi="Arial"/>
          <w:bCs/>
        </w:rPr>
        <w:t>0.0</w:t>
      </w:r>
      <w:r>
        <w:rPr>
          <w:rFonts w:ascii="Arial" w:hAnsi="Arial"/>
          <w:bCs/>
        </w:rPr>
        <w:t>39</w:t>
      </w:r>
      <w:r>
        <w:rPr>
          <w:rFonts w:ascii="Arial" w:eastAsia="MS Gothic" w:hAnsi="Arial" w:cs="Arial"/>
          <w:color w:val="000000"/>
        </w:rPr>
        <w:t>±</w:t>
      </w:r>
      <w:r w:rsidRPr="003B6F9D">
        <w:rPr>
          <w:rFonts w:ascii="Arial" w:eastAsia="MS Gothic" w:hAnsi="Arial" w:cs="Arial"/>
          <w:color w:val="000000"/>
        </w:rPr>
        <w:t>0.002mm v</w:t>
      </w:r>
      <w:r>
        <w:rPr>
          <w:rFonts w:ascii="Arial" w:eastAsia="MS Gothic" w:hAnsi="Arial" w:cs="Arial"/>
          <w:color w:val="000000"/>
        </w:rPr>
        <w:t xml:space="preserve">ersus 0.035±0.001mm, p&gt;0.05; </w:t>
      </w:r>
      <w:r>
        <w:rPr>
          <w:rFonts w:ascii="Arial" w:hAnsi="Arial"/>
          <w:bCs/>
        </w:rPr>
        <w:t xml:space="preserve">ad-lib fed: </w:t>
      </w:r>
      <w:r>
        <w:rPr>
          <w:rFonts w:ascii="Arial" w:eastAsia="MS Gothic" w:hAnsi="Arial" w:cs="Arial"/>
          <w:color w:val="000000"/>
        </w:rPr>
        <w:t xml:space="preserve">0.039±0.002mm </w:t>
      </w:r>
      <w:r w:rsidRPr="003B6F9D">
        <w:rPr>
          <w:rFonts w:ascii="Arial" w:eastAsia="MS Gothic" w:hAnsi="Arial" w:cs="Arial"/>
          <w:color w:val="000000"/>
        </w:rPr>
        <w:t>v</w:t>
      </w:r>
      <w:r>
        <w:rPr>
          <w:rFonts w:ascii="Arial" w:eastAsia="MS Gothic" w:hAnsi="Arial" w:cs="Arial"/>
          <w:color w:val="000000"/>
        </w:rPr>
        <w:t>ersus 0.03±0.0005mm, p&lt;0.05</w:t>
      </w:r>
      <w:r>
        <w:rPr>
          <w:rFonts w:ascii="Arial" w:hAnsi="Arial" w:cs="Arial"/>
          <w:color w:val="000000" w:themeColor="text1"/>
        </w:rPr>
        <w:t xml:space="preserve">) and trabecular number </w:t>
      </w:r>
      <w:r>
        <w:rPr>
          <w:rFonts w:ascii="Arial" w:hAnsi="Arial"/>
          <w:bCs/>
        </w:rPr>
        <w:t>(fasted 2-hour fed: 3.6</w:t>
      </w:r>
      <w:r>
        <w:rPr>
          <w:rFonts w:ascii="Arial" w:eastAsia="MS Gothic" w:hAnsi="Arial" w:cs="Arial"/>
          <w:color w:val="000000"/>
        </w:rPr>
        <w:t>±0.1</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vertAlign w:val="superscript"/>
        </w:rPr>
        <w:t xml:space="preserve"> </w:t>
      </w:r>
      <w:r w:rsidRPr="003B6F9D">
        <w:rPr>
          <w:rFonts w:ascii="Arial" w:eastAsia="MS Gothic" w:hAnsi="Arial" w:cs="Arial"/>
          <w:color w:val="000000"/>
        </w:rPr>
        <w:t>v</w:t>
      </w:r>
      <w:r>
        <w:rPr>
          <w:rFonts w:ascii="Arial" w:eastAsia="MS Gothic" w:hAnsi="Arial" w:cs="Arial"/>
          <w:color w:val="000000"/>
        </w:rPr>
        <w:t>ersus 3.3±0.1</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rPr>
        <w:t xml:space="preserve">, </w:t>
      </w:r>
      <w:r>
        <w:rPr>
          <w:rFonts w:ascii="Arial" w:hAnsi="Arial"/>
          <w:bCs/>
        </w:rPr>
        <w:t>p&gt;0.05; fed: 3.7</w:t>
      </w:r>
      <w:r>
        <w:rPr>
          <w:rFonts w:ascii="Arial" w:eastAsia="MS Gothic" w:hAnsi="Arial" w:cs="Arial"/>
          <w:color w:val="000000"/>
        </w:rPr>
        <w:t>±0.2</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vertAlign w:val="superscript"/>
        </w:rPr>
        <w:t xml:space="preserve"> </w:t>
      </w:r>
      <w:r w:rsidRPr="003B6F9D">
        <w:rPr>
          <w:rFonts w:ascii="Arial" w:eastAsia="MS Gothic" w:hAnsi="Arial" w:cs="Arial"/>
          <w:color w:val="000000"/>
        </w:rPr>
        <w:t>v</w:t>
      </w:r>
      <w:r>
        <w:rPr>
          <w:rFonts w:ascii="Arial" w:eastAsia="MS Gothic" w:hAnsi="Arial" w:cs="Arial"/>
          <w:color w:val="000000"/>
        </w:rPr>
        <w:t>ersus</w:t>
      </w:r>
      <w:r>
        <w:rPr>
          <w:rFonts w:ascii="Arial" w:hAnsi="Arial"/>
          <w:bCs/>
        </w:rPr>
        <w:t xml:space="preserve"> 3.4</w:t>
      </w:r>
      <w:r>
        <w:rPr>
          <w:rFonts w:ascii="Arial" w:eastAsia="MS Gothic" w:hAnsi="Arial" w:cs="Arial"/>
          <w:color w:val="000000"/>
        </w:rPr>
        <w:t>±0.2</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hAnsi="Arial"/>
          <w:bCs/>
        </w:rPr>
        <w:t>, p&gt;0.05), which did not reach st</w:t>
      </w:r>
      <w:r w:rsidR="0098186A">
        <w:rPr>
          <w:rFonts w:ascii="Arial" w:hAnsi="Arial"/>
          <w:bCs/>
        </w:rPr>
        <w:t>atistical significance (Figure 43</w:t>
      </w:r>
      <w:r>
        <w:rPr>
          <w:rFonts w:ascii="Arial" w:hAnsi="Arial"/>
          <w:bCs/>
        </w:rPr>
        <w:t xml:space="preserve">A, B and D). Furthermore, trabecular pattern factor was significantly affected by the </w:t>
      </w:r>
      <w:r>
        <w:rPr>
          <w:rFonts w:ascii="Arial" w:hAnsi="Arial" w:cs="Arial"/>
          <w:color w:val="000000" w:themeColor="text1"/>
        </w:rPr>
        <w:t xml:space="preserve">submaximal mechanical loading. Tb.Pf decreased by 37% in loaded tibiae of fasted 2-hour fed mice and 35% in loaded tibiae of ad-lib fed mice compared with non-loaded control tibiae </w:t>
      </w:r>
      <w:r w:rsidRPr="003B6F9D">
        <w:rPr>
          <w:rFonts w:ascii="Arial" w:hAnsi="Arial"/>
          <w:bCs/>
        </w:rPr>
        <w:t>(</w:t>
      </w:r>
      <w:r>
        <w:rPr>
          <w:rFonts w:ascii="Arial" w:hAnsi="Arial" w:cs="Arial"/>
          <w:noProof/>
          <w:color w:val="000000" w:themeColor="text1"/>
        </w:rPr>
        <w:t xml:space="preserve">fasted 2-hour fed: </w:t>
      </w:r>
      <w:r>
        <w:rPr>
          <w:rFonts w:ascii="Arial" w:hAnsi="Arial"/>
          <w:bCs/>
        </w:rPr>
        <w:t>13.8</w:t>
      </w:r>
      <w:r w:rsidRPr="003B6F9D">
        <w:rPr>
          <w:rFonts w:ascii="Arial" w:eastAsia="MS Gothic" w:hAnsi="Arial" w:cs="Arial"/>
          <w:color w:val="000000"/>
        </w:rPr>
        <w:t>±</w:t>
      </w:r>
      <w:r>
        <w:rPr>
          <w:rFonts w:ascii="Arial" w:eastAsia="MS Gothic" w:hAnsi="Arial" w:cs="Arial"/>
          <w:color w:val="000000"/>
        </w:rPr>
        <w:t>1.5</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vertAlign w:val="superscript"/>
        </w:rPr>
        <w:t xml:space="preserve"> </w:t>
      </w:r>
      <w:r w:rsidRPr="003B6F9D">
        <w:rPr>
          <w:rFonts w:ascii="Arial" w:eastAsia="MS Gothic" w:hAnsi="Arial" w:cs="Arial"/>
          <w:color w:val="000000"/>
        </w:rPr>
        <w:t>v</w:t>
      </w:r>
      <w:r>
        <w:rPr>
          <w:rFonts w:ascii="Arial" w:eastAsia="MS Gothic" w:hAnsi="Arial" w:cs="Arial"/>
          <w:color w:val="000000"/>
        </w:rPr>
        <w:t>ersus 21.8±0.9</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hAnsi="Arial"/>
          <w:bCs/>
        </w:rPr>
        <w:t>, p&lt;0.01; ad-lib fed:</w:t>
      </w:r>
      <w:r w:rsidRPr="003B6F9D">
        <w:rPr>
          <w:rFonts w:ascii="Arial" w:hAnsi="Arial"/>
          <w:bCs/>
        </w:rPr>
        <w:t xml:space="preserve"> </w:t>
      </w:r>
      <w:r>
        <w:rPr>
          <w:rFonts w:ascii="Arial" w:hAnsi="Arial"/>
          <w:bCs/>
        </w:rPr>
        <w:t>12.9</w:t>
      </w:r>
      <w:r>
        <w:rPr>
          <w:rFonts w:ascii="Arial" w:eastAsia="MS Gothic" w:hAnsi="Arial" w:cs="Arial"/>
          <w:color w:val="000000"/>
        </w:rPr>
        <w:t>±2.2</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vertAlign w:val="superscript"/>
        </w:rPr>
        <w:t xml:space="preserve"> </w:t>
      </w:r>
      <w:r w:rsidRPr="003B6F9D">
        <w:rPr>
          <w:rFonts w:ascii="Arial" w:eastAsia="MS Gothic" w:hAnsi="Arial" w:cs="Arial"/>
          <w:color w:val="000000"/>
        </w:rPr>
        <w:t>v</w:t>
      </w:r>
      <w:r>
        <w:rPr>
          <w:rFonts w:ascii="Arial" w:eastAsia="MS Gothic" w:hAnsi="Arial" w:cs="Arial"/>
          <w:color w:val="000000"/>
        </w:rPr>
        <w:t>ersus 19.8±1.05</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hAnsi="Arial"/>
          <w:bCs/>
        </w:rPr>
        <w:t>, p&lt;0.05)</w:t>
      </w:r>
      <w:r w:rsidR="00BD085C">
        <w:rPr>
          <w:rFonts w:ascii="Arial" w:hAnsi="Arial" w:cs="Arial"/>
          <w:color w:val="000000" w:themeColor="text1"/>
        </w:rPr>
        <w:t xml:space="preserve"> (Figure 43</w:t>
      </w:r>
      <w:r>
        <w:rPr>
          <w:rFonts w:ascii="Arial" w:hAnsi="Arial" w:cs="Arial"/>
          <w:color w:val="000000" w:themeColor="text1"/>
        </w:rPr>
        <w:t>C). However, there were no significant differences in any measure trabecular bone parameters between the experimental groups.</w:t>
      </w:r>
    </w:p>
    <w:p w14:paraId="17C74FD9" w14:textId="77777777" w:rsidR="0022329B" w:rsidRDefault="0022329B" w:rsidP="0022329B">
      <w:pPr>
        <w:spacing w:line="480" w:lineRule="auto"/>
        <w:jc w:val="both"/>
        <w:rPr>
          <w:rFonts w:ascii="Arial" w:hAnsi="Arial" w:cs="Arial"/>
        </w:rPr>
      </w:pPr>
    </w:p>
    <w:p w14:paraId="544F00BD" w14:textId="77777777" w:rsidR="0022329B" w:rsidRDefault="0022329B" w:rsidP="0022329B">
      <w:pPr>
        <w:spacing w:line="480" w:lineRule="auto"/>
        <w:jc w:val="both"/>
        <w:rPr>
          <w:rFonts w:ascii="Arial" w:hAnsi="Arial" w:cs="Arial"/>
        </w:rPr>
      </w:pPr>
    </w:p>
    <w:p w14:paraId="75DC2262" w14:textId="77777777" w:rsidR="0022329B" w:rsidRDefault="0022329B" w:rsidP="0022329B">
      <w:pPr>
        <w:spacing w:line="480" w:lineRule="auto"/>
        <w:jc w:val="both"/>
        <w:rPr>
          <w:rFonts w:ascii="Arial" w:hAnsi="Arial" w:cs="Arial"/>
        </w:rPr>
      </w:pPr>
    </w:p>
    <w:p w14:paraId="191FEDA2" w14:textId="77777777" w:rsidR="00EF7BB8" w:rsidRDefault="00EF7BB8" w:rsidP="0022329B"/>
    <w:p w14:paraId="78EC2635" w14:textId="77777777" w:rsidR="00EF7BB8" w:rsidRPr="00EF7BB8" w:rsidRDefault="00EF7BB8" w:rsidP="00EF7BB8"/>
    <w:p w14:paraId="1682AE9A" w14:textId="77777777" w:rsidR="00EF7BB8" w:rsidRPr="00EF7BB8" w:rsidRDefault="00EF7BB8" w:rsidP="00EF7BB8"/>
    <w:p w14:paraId="2E70FA6D" w14:textId="77777777" w:rsidR="00EF7BB8" w:rsidRPr="00EF7BB8" w:rsidRDefault="00EF7BB8" w:rsidP="00EF7BB8"/>
    <w:p w14:paraId="3F43EF14" w14:textId="77777777" w:rsidR="00EF7BB8" w:rsidRPr="00EF7BB8" w:rsidRDefault="00EF7BB8" w:rsidP="00EF7BB8"/>
    <w:p w14:paraId="2C37B70C" w14:textId="77777777" w:rsidR="00EF7BB8" w:rsidRDefault="00EF7BB8" w:rsidP="00EF7BB8"/>
    <w:p w14:paraId="70760699" w14:textId="77777777" w:rsidR="00FA1243" w:rsidRPr="00EF7BB8" w:rsidRDefault="00FA1243" w:rsidP="00EF7BB8"/>
    <w:p w14:paraId="7AE8011B" w14:textId="77777777" w:rsidR="00EF7BB8" w:rsidRPr="00EF7BB8" w:rsidRDefault="00EF7BB8" w:rsidP="00EF7BB8"/>
    <w:p w14:paraId="317F6DCF" w14:textId="77777777" w:rsidR="00EF7BB8" w:rsidRDefault="00EF7BB8" w:rsidP="00EF7BB8"/>
    <w:p w14:paraId="00A46190" w14:textId="77777777" w:rsidR="00EF7BB8" w:rsidRPr="00EF7BB8" w:rsidRDefault="00EF7BB8" w:rsidP="00EF7BB8"/>
    <w:p w14:paraId="3D3F901A" w14:textId="77777777" w:rsidR="0022329B" w:rsidRDefault="0022329B" w:rsidP="0022329B">
      <w:pPr>
        <w:pStyle w:val="Caption"/>
        <w:spacing w:line="360" w:lineRule="auto"/>
        <w:rPr>
          <w:color w:val="1F497D" w:themeColor="text2"/>
          <w:sz w:val="24"/>
          <w:szCs w:val="24"/>
        </w:rPr>
      </w:pPr>
      <w:r w:rsidRPr="00600DC2">
        <w:t xml:space="preserve"> </w:t>
      </w:r>
      <w:r>
        <w:rPr>
          <w:noProof/>
          <w:color w:val="1F497D" w:themeColor="text2"/>
          <w:sz w:val="24"/>
          <w:szCs w:val="24"/>
          <w:lang w:val="en-US"/>
        </w:rPr>
        <w:drawing>
          <wp:inline distT="0" distB="0" distL="0" distR="0" wp14:anchorId="53E58F72" wp14:editId="28BCE7A6">
            <wp:extent cx="3191436" cy="2987040"/>
            <wp:effectExtent l="0" t="0" r="9525" b="1016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91436" cy="2987040"/>
                    </a:xfrm>
                    <a:prstGeom prst="rect">
                      <a:avLst/>
                    </a:prstGeom>
                    <a:noFill/>
                    <a:ln>
                      <a:noFill/>
                    </a:ln>
                  </pic:spPr>
                </pic:pic>
              </a:graphicData>
            </a:graphic>
          </wp:inline>
        </w:drawing>
      </w:r>
      <w:r w:rsidRPr="00734B65">
        <w:t xml:space="preserve"> </w:t>
      </w:r>
      <w:r>
        <w:rPr>
          <w:noProof/>
          <w:lang w:val="en-US"/>
        </w:rPr>
        <w:drawing>
          <wp:inline distT="0" distB="0" distL="0" distR="0" wp14:anchorId="720F9FF9" wp14:editId="5C78F709">
            <wp:extent cx="2823883" cy="2728770"/>
            <wp:effectExtent l="0" t="0" r="0" b="0"/>
            <wp:docPr id="5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24359" cy="2729230"/>
                    </a:xfrm>
                    <a:prstGeom prst="rect">
                      <a:avLst/>
                    </a:prstGeom>
                    <a:noFill/>
                    <a:ln>
                      <a:noFill/>
                    </a:ln>
                  </pic:spPr>
                </pic:pic>
              </a:graphicData>
            </a:graphic>
          </wp:inline>
        </w:drawing>
      </w:r>
    </w:p>
    <w:p w14:paraId="4A881787" w14:textId="77777777" w:rsidR="0022329B" w:rsidRDefault="0022329B" w:rsidP="0022329B">
      <w:pPr>
        <w:pStyle w:val="Caption"/>
        <w:spacing w:line="360" w:lineRule="auto"/>
        <w:rPr>
          <w:color w:val="1F497D" w:themeColor="text2"/>
          <w:sz w:val="24"/>
          <w:szCs w:val="24"/>
        </w:rPr>
      </w:pPr>
    </w:p>
    <w:p w14:paraId="61FB726E" w14:textId="77777777" w:rsidR="00EF7BB8" w:rsidRDefault="0022329B" w:rsidP="00EF7BB8">
      <w:pPr>
        <w:keepNext/>
        <w:ind w:left="567"/>
      </w:pPr>
      <w:r>
        <w:rPr>
          <w:noProof/>
          <w:lang w:val="en-US"/>
        </w:rPr>
        <w:drawing>
          <wp:inline distT="0" distB="0" distL="0" distR="0" wp14:anchorId="27A9FD8C" wp14:editId="3F709F34">
            <wp:extent cx="2780071" cy="2498090"/>
            <wp:effectExtent l="0" t="0" r="0" b="0"/>
            <wp:docPr id="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81484" cy="2499360"/>
                    </a:xfrm>
                    <a:prstGeom prst="rect">
                      <a:avLst/>
                    </a:prstGeom>
                    <a:noFill/>
                    <a:ln>
                      <a:noFill/>
                    </a:ln>
                  </pic:spPr>
                </pic:pic>
              </a:graphicData>
            </a:graphic>
          </wp:inline>
        </w:drawing>
      </w:r>
      <w:r w:rsidRPr="00213D8E">
        <w:t xml:space="preserve"> </w:t>
      </w:r>
      <w:r>
        <w:rPr>
          <w:noProof/>
          <w:lang w:val="en-US"/>
        </w:rPr>
        <w:drawing>
          <wp:inline distT="0" distB="0" distL="0" distR="0" wp14:anchorId="5E986255" wp14:editId="17014BEB">
            <wp:extent cx="2920181" cy="2499360"/>
            <wp:effectExtent l="0" t="0" r="1270" b="0"/>
            <wp:docPr id="6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20181" cy="2499360"/>
                    </a:xfrm>
                    <a:prstGeom prst="rect">
                      <a:avLst/>
                    </a:prstGeom>
                    <a:noFill/>
                    <a:ln>
                      <a:noFill/>
                    </a:ln>
                  </pic:spPr>
                </pic:pic>
              </a:graphicData>
            </a:graphic>
          </wp:inline>
        </w:drawing>
      </w:r>
    </w:p>
    <w:p w14:paraId="0661BE61" w14:textId="77777777" w:rsidR="00EF7BB8" w:rsidRDefault="00EF7BB8" w:rsidP="00EF7BB8">
      <w:pPr>
        <w:pStyle w:val="Caption"/>
      </w:pPr>
    </w:p>
    <w:p w14:paraId="6ED14F99" w14:textId="77777777" w:rsidR="00EF7BB8" w:rsidRDefault="00EF7BB8" w:rsidP="00EF7BB8">
      <w:pPr>
        <w:pStyle w:val="Caption"/>
        <w:spacing w:line="360" w:lineRule="auto"/>
        <w:jc w:val="both"/>
        <w:rPr>
          <w:rFonts w:ascii="Arial" w:hAnsi="Arial"/>
          <w:color w:val="244061" w:themeColor="accent1" w:themeShade="80"/>
          <w:sz w:val="24"/>
          <w:szCs w:val="24"/>
        </w:rPr>
      </w:pPr>
    </w:p>
    <w:p w14:paraId="6EE7A1E8" w14:textId="77777777" w:rsidR="0022329B" w:rsidRPr="00EF7BB8" w:rsidRDefault="00EF7BB8" w:rsidP="00EF7BB8">
      <w:pPr>
        <w:pStyle w:val="Caption"/>
        <w:spacing w:line="360" w:lineRule="auto"/>
        <w:jc w:val="both"/>
        <w:rPr>
          <w:rFonts w:ascii="Arial" w:hAnsi="Arial"/>
          <w:color w:val="244061" w:themeColor="accent1" w:themeShade="80"/>
          <w:sz w:val="24"/>
          <w:szCs w:val="24"/>
        </w:rPr>
      </w:pPr>
      <w:bookmarkStart w:id="134" w:name="_Toc383544634"/>
      <w:r w:rsidRPr="00EF7BB8">
        <w:rPr>
          <w:rFonts w:ascii="Arial" w:hAnsi="Arial"/>
          <w:color w:val="244061" w:themeColor="accent1" w:themeShade="80"/>
          <w:sz w:val="24"/>
          <w:szCs w:val="24"/>
        </w:rPr>
        <w:t xml:space="preserve">Figure </w:t>
      </w:r>
      <w:r w:rsidRPr="00EF7BB8">
        <w:rPr>
          <w:rFonts w:ascii="Arial" w:hAnsi="Arial"/>
          <w:color w:val="244061" w:themeColor="accent1" w:themeShade="80"/>
          <w:sz w:val="24"/>
          <w:szCs w:val="24"/>
        </w:rPr>
        <w:fldChar w:fldCharType="begin"/>
      </w:r>
      <w:r w:rsidRPr="00EF7BB8">
        <w:rPr>
          <w:rFonts w:ascii="Arial" w:hAnsi="Arial"/>
          <w:color w:val="244061" w:themeColor="accent1" w:themeShade="80"/>
          <w:sz w:val="24"/>
          <w:szCs w:val="24"/>
        </w:rPr>
        <w:instrText xml:space="preserve"> SEQ Figure \* ARABIC </w:instrText>
      </w:r>
      <w:r w:rsidRPr="00EF7BB8">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43</w:t>
      </w:r>
      <w:r w:rsidRPr="00EF7BB8">
        <w:rPr>
          <w:rFonts w:ascii="Arial" w:hAnsi="Arial"/>
          <w:color w:val="244061" w:themeColor="accent1" w:themeShade="80"/>
          <w:sz w:val="24"/>
          <w:szCs w:val="24"/>
        </w:rPr>
        <w:fldChar w:fldCharType="end"/>
      </w:r>
      <w:r w:rsidRPr="00EF7BB8">
        <w:rPr>
          <w:rFonts w:ascii="Arial" w:hAnsi="Arial"/>
          <w:color w:val="244061" w:themeColor="accent1" w:themeShade="80"/>
          <w:sz w:val="24"/>
          <w:szCs w:val="24"/>
        </w:rPr>
        <w:t xml:space="preserve"> </w:t>
      </w:r>
      <w:r w:rsidR="0022329B" w:rsidRPr="00EF7BB8">
        <w:rPr>
          <w:rFonts w:ascii="Arial" w:hAnsi="Arial"/>
          <w:color w:val="244061" w:themeColor="accent1" w:themeShade="80"/>
          <w:sz w:val="24"/>
          <w:szCs w:val="24"/>
        </w:rPr>
        <w:t>The effect of submaximal mechanical loading with a peak force of 11N on tr</w:t>
      </w:r>
      <w:r w:rsidR="00F1547C">
        <w:rPr>
          <w:rFonts w:ascii="Arial" w:hAnsi="Arial"/>
          <w:color w:val="244061" w:themeColor="accent1" w:themeShade="80"/>
          <w:sz w:val="24"/>
          <w:szCs w:val="24"/>
        </w:rPr>
        <w:t>abecular BV/TV (A), Tb</w:t>
      </w:r>
      <w:r w:rsidR="00B80CC2">
        <w:rPr>
          <w:rFonts w:ascii="Arial" w:hAnsi="Arial"/>
          <w:color w:val="244061" w:themeColor="accent1" w:themeShade="80"/>
          <w:sz w:val="24"/>
          <w:szCs w:val="24"/>
        </w:rPr>
        <w:t>.N (B), Tb.Pf (C) and Tb</w:t>
      </w:r>
      <w:r w:rsidR="0022329B" w:rsidRPr="00EF7BB8">
        <w:rPr>
          <w:rFonts w:ascii="Arial" w:hAnsi="Arial"/>
          <w:color w:val="244061" w:themeColor="accent1" w:themeShade="80"/>
          <w:sz w:val="24"/>
          <w:szCs w:val="24"/>
        </w:rPr>
        <w:t xml:space="preserve">.Th (D) in the proximal tibia </w:t>
      </w:r>
      <w:r w:rsidR="0022329B" w:rsidRPr="00EF7BB8">
        <w:rPr>
          <w:rFonts w:ascii="Arial" w:eastAsiaTheme="minorHAnsi" w:hAnsi="Arial"/>
          <w:bCs w:val="0"/>
          <w:color w:val="244061" w:themeColor="accent1" w:themeShade="80"/>
          <w:sz w:val="24"/>
          <w:szCs w:val="24"/>
          <w:lang w:val="en-US"/>
        </w:rPr>
        <w:t xml:space="preserve">of 19-week-old fed (n=6) or overnight fasted </w:t>
      </w:r>
      <w:r w:rsidR="007031F9">
        <w:rPr>
          <w:rFonts w:ascii="Arial" w:eastAsiaTheme="minorHAnsi" w:hAnsi="Arial"/>
          <w:bCs w:val="0"/>
          <w:color w:val="244061" w:themeColor="accent1" w:themeShade="80"/>
          <w:sz w:val="24"/>
          <w:szCs w:val="24"/>
          <w:lang w:val="en-US"/>
        </w:rPr>
        <w:t xml:space="preserve">2-hour </w:t>
      </w:r>
      <w:r w:rsidR="0022329B" w:rsidRPr="00EF7BB8">
        <w:rPr>
          <w:rFonts w:ascii="Arial" w:eastAsiaTheme="minorHAnsi" w:hAnsi="Arial"/>
          <w:bCs w:val="0"/>
          <w:color w:val="244061" w:themeColor="accent1" w:themeShade="80"/>
          <w:sz w:val="24"/>
          <w:szCs w:val="24"/>
          <w:lang w:val="en-US"/>
        </w:rPr>
        <w:t>fed  (n=7) male mice</w:t>
      </w:r>
      <w:bookmarkEnd w:id="134"/>
      <w:r w:rsidR="0022329B" w:rsidRPr="00EF7BB8">
        <w:rPr>
          <w:rFonts w:ascii="Arial" w:eastAsiaTheme="minorHAnsi" w:hAnsi="Arial"/>
          <w:bCs w:val="0"/>
          <w:color w:val="244061" w:themeColor="accent1" w:themeShade="80"/>
          <w:sz w:val="24"/>
          <w:szCs w:val="24"/>
          <w:lang w:val="en-US"/>
        </w:rPr>
        <w:t xml:space="preserve"> </w:t>
      </w:r>
    </w:p>
    <w:p w14:paraId="473B2EE7" w14:textId="77777777" w:rsidR="001928EA" w:rsidRDefault="0022329B" w:rsidP="0022329B">
      <w:pPr>
        <w:spacing w:line="360" w:lineRule="auto"/>
        <w:jc w:val="both"/>
        <w:rPr>
          <w:rFonts w:ascii="Arial" w:eastAsiaTheme="minorHAnsi" w:hAnsi="Arial" w:cs="Arial"/>
          <w:sz w:val="22"/>
          <w:szCs w:val="22"/>
        </w:rPr>
      </w:pPr>
      <w:r>
        <w:rPr>
          <w:rFonts w:ascii="Arial" w:eastAsiaTheme="minorHAnsi" w:hAnsi="Arial" w:cs="Arial"/>
          <w:sz w:val="22"/>
          <w:szCs w:val="22"/>
        </w:rPr>
        <w:t>Submaximal mechanical l</w:t>
      </w:r>
      <w:r w:rsidRPr="004D06C6">
        <w:rPr>
          <w:rFonts w:ascii="Arial" w:eastAsiaTheme="minorHAnsi" w:hAnsi="Arial" w:cs="Arial"/>
          <w:sz w:val="22"/>
          <w:szCs w:val="22"/>
        </w:rPr>
        <w:t xml:space="preserve">oading </w:t>
      </w:r>
      <w:r>
        <w:rPr>
          <w:rFonts w:ascii="Arial" w:eastAsiaTheme="minorHAnsi" w:hAnsi="Arial" w:cs="Arial"/>
          <w:sz w:val="22"/>
          <w:szCs w:val="22"/>
        </w:rPr>
        <w:t xml:space="preserve">engendered significant increase in trabecular BV/TV </w:t>
      </w:r>
      <w:r w:rsidR="007031F9">
        <w:rPr>
          <w:rFonts w:ascii="Arial" w:eastAsiaTheme="minorHAnsi" w:hAnsi="Arial" w:cs="Arial"/>
          <w:sz w:val="22"/>
          <w:szCs w:val="22"/>
        </w:rPr>
        <w:t xml:space="preserve">(A) </w:t>
      </w:r>
      <w:r w:rsidR="001928EA">
        <w:rPr>
          <w:rFonts w:ascii="Arial" w:eastAsiaTheme="minorHAnsi" w:hAnsi="Arial" w:cs="Arial"/>
          <w:sz w:val="22"/>
          <w:szCs w:val="22"/>
        </w:rPr>
        <w:t>due to increase in Tb.Th</w:t>
      </w:r>
      <w:r w:rsidR="007031F9">
        <w:rPr>
          <w:rFonts w:ascii="Arial" w:eastAsiaTheme="minorHAnsi" w:hAnsi="Arial" w:cs="Arial"/>
          <w:sz w:val="22"/>
          <w:szCs w:val="22"/>
        </w:rPr>
        <w:t xml:space="preserve"> </w:t>
      </w:r>
      <w:r w:rsidR="001928EA">
        <w:rPr>
          <w:rFonts w:ascii="Arial" w:eastAsiaTheme="minorHAnsi" w:hAnsi="Arial" w:cs="Arial"/>
          <w:sz w:val="22"/>
          <w:szCs w:val="22"/>
        </w:rPr>
        <w:t xml:space="preserve">and Tb.N </w:t>
      </w:r>
      <w:r>
        <w:rPr>
          <w:rFonts w:ascii="Arial" w:eastAsiaTheme="minorHAnsi" w:hAnsi="Arial" w:cs="Arial"/>
          <w:sz w:val="22"/>
          <w:szCs w:val="22"/>
        </w:rPr>
        <w:t>an</w:t>
      </w:r>
      <w:r w:rsidR="001928EA">
        <w:rPr>
          <w:rFonts w:ascii="Arial" w:eastAsiaTheme="minorHAnsi" w:hAnsi="Arial" w:cs="Arial"/>
          <w:sz w:val="22"/>
          <w:szCs w:val="22"/>
        </w:rPr>
        <w:t>d significant decrease in Tb.Pf</w:t>
      </w:r>
      <w:r w:rsidR="007031F9">
        <w:rPr>
          <w:rFonts w:ascii="Arial" w:eastAsiaTheme="minorHAnsi" w:hAnsi="Arial" w:cs="Arial"/>
          <w:sz w:val="22"/>
          <w:szCs w:val="22"/>
        </w:rPr>
        <w:t>.</w:t>
      </w:r>
      <w:r>
        <w:rPr>
          <w:rFonts w:ascii="Arial" w:eastAsiaTheme="minorHAnsi" w:hAnsi="Arial" w:cs="Arial"/>
          <w:sz w:val="22"/>
          <w:szCs w:val="22"/>
        </w:rPr>
        <w:t xml:space="preserve"> There were no significant changes in all the trabecular parameters measured </w:t>
      </w:r>
      <w:r w:rsidRPr="004D06C6">
        <w:rPr>
          <w:rFonts w:ascii="Arial" w:eastAsiaTheme="minorHAnsi" w:hAnsi="Arial" w:cs="Arial"/>
          <w:sz w:val="22"/>
          <w:szCs w:val="22"/>
        </w:rPr>
        <w:t>between the experimental groups</w:t>
      </w:r>
      <w:r>
        <w:rPr>
          <w:rFonts w:ascii="Arial" w:eastAsiaTheme="minorHAnsi" w:hAnsi="Arial" w:cs="Arial"/>
          <w:sz w:val="22"/>
          <w:szCs w:val="22"/>
        </w:rPr>
        <w:t xml:space="preserve">. </w:t>
      </w:r>
    </w:p>
    <w:p w14:paraId="448323DE" w14:textId="77777777" w:rsidR="0022329B" w:rsidRPr="00F70869" w:rsidRDefault="0022329B" w:rsidP="0022329B">
      <w:pPr>
        <w:spacing w:line="360" w:lineRule="auto"/>
        <w:jc w:val="both"/>
        <w:rPr>
          <w:rFonts w:ascii="Arial" w:eastAsiaTheme="minorHAnsi" w:hAnsi="Arial" w:cs="Arial"/>
          <w:sz w:val="22"/>
          <w:szCs w:val="22"/>
        </w:rPr>
      </w:pPr>
      <w:r>
        <w:rPr>
          <w:rFonts w:ascii="Arial" w:eastAsiaTheme="minorHAnsi" w:hAnsi="Arial" w:cs="Arial"/>
          <w:sz w:val="22"/>
          <w:szCs w:val="22"/>
        </w:rPr>
        <w:t>Bars represent mean</w:t>
      </w:r>
      <w:r w:rsidRPr="004D06C6">
        <w:rPr>
          <w:rFonts w:ascii="Arial" w:eastAsia="MS Gothic" w:hAnsi="Arial" w:cs="Arial"/>
          <w:sz w:val="22"/>
          <w:szCs w:val="22"/>
        </w:rPr>
        <w:t>±</w:t>
      </w:r>
      <w:r w:rsidRPr="004D06C6">
        <w:rPr>
          <w:rFonts w:ascii="Arial" w:eastAsiaTheme="minorHAnsi" w:hAnsi="Arial" w:cs="Arial"/>
          <w:sz w:val="22"/>
          <w:szCs w:val="22"/>
        </w:rPr>
        <w:t xml:space="preserve">SE. </w:t>
      </w:r>
      <w:r>
        <w:rPr>
          <w:rFonts w:ascii="Arial" w:eastAsiaTheme="minorHAnsi" w:hAnsi="Arial" w:cs="Arial"/>
          <w:sz w:val="22"/>
          <w:szCs w:val="22"/>
        </w:rPr>
        <w:t xml:space="preserve">* </w:t>
      </w:r>
      <w:proofErr w:type="gramStart"/>
      <w:r>
        <w:rPr>
          <w:rFonts w:ascii="Arial" w:eastAsiaTheme="minorHAnsi" w:hAnsi="Arial" w:cs="Arial"/>
          <w:sz w:val="22"/>
          <w:szCs w:val="22"/>
        </w:rPr>
        <w:t>p</w:t>
      </w:r>
      <w:proofErr w:type="gramEnd"/>
      <w:r>
        <w:rPr>
          <w:rFonts w:ascii="Arial" w:eastAsiaTheme="minorHAnsi" w:hAnsi="Arial" w:cs="Arial"/>
          <w:sz w:val="22"/>
          <w:szCs w:val="22"/>
        </w:rPr>
        <w:t>&lt;0.05, ** p&lt;0.01</w:t>
      </w:r>
    </w:p>
    <w:p w14:paraId="7603CE37" w14:textId="77777777" w:rsidR="0022329B" w:rsidRDefault="0022329B" w:rsidP="0022329B">
      <w:pPr>
        <w:rPr>
          <w:rFonts w:ascii="Arial" w:hAnsi="Arial" w:cs="Arial"/>
        </w:rPr>
      </w:pPr>
    </w:p>
    <w:p w14:paraId="0B0B1AA1" w14:textId="77777777" w:rsidR="0022329B" w:rsidRDefault="0022329B" w:rsidP="00D40E59">
      <w:pPr>
        <w:pStyle w:val="Heading2"/>
      </w:pPr>
      <w:bookmarkStart w:id="135" w:name="_Toc383723912"/>
      <w:r>
        <w:lastRenderedPageBreak/>
        <w:t>5.3 Discussion</w:t>
      </w:r>
      <w:bookmarkEnd w:id="135"/>
    </w:p>
    <w:p w14:paraId="440955B3" w14:textId="77777777" w:rsidR="0022329B" w:rsidRDefault="0022329B" w:rsidP="0022329B">
      <w:pPr>
        <w:spacing w:line="480" w:lineRule="auto"/>
        <w:jc w:val="both"/>
        <w:rPr>
          <w:rFonts w:ascii="Arial" w:hAnsi="Arial" w:cs="Arial"/>
        </w:rPr>
      </w:pPr>
      <w:r>
        <w:rPr>
          <w:rFonts w:ascii="Arial" w:hAnsi="Arial" w:cs="Arial"/>
        </w:rPr>
        <w:t xml:space="preserve">In studies within this chapter we aimed to </w:t>
      </w:r>
      <w:r w:rsidR="00E524E9">
        <w:rPr>
          <w:rFonts w:ascii="Arial" w:hAnsi="Arial" w:cs="Arial"/>
        </w:rPr>
        <w:t>determine</w:t>
      </w:r>
      <w:r>
        <w:rPr>
          <w:rFonts w:ascii="Arial" w:hAnsi="Arial" w:cs="Arial"/>
        </w:rPr>
        <w:t xml:space="preserve"> </w:t>
      </w:r>
      <w:r w:rsidRPr="00945BFB">
        <w:rPr>
          <w:rFonts w:ascii="Arial" w:hAnsi="Arial"/>
          <w:bCs/>
        </w:rPr>
        <w:t xml:space="preserve">the </w:t>
      </w:r>
      <w:r>
        <w:rPr>
          <w:rFonts w:ascii="Arial" w:hAnsi="Arial"/>
          <w:bCs/>
        </w:rPr>
        <w:t xml:space="preserve">synergies between fasting/feeding and two regimens of mechanical loading.  </w:t>
      </w:r>
      <w:r w:rsidRPr="002049FA">
        <w:rPr>
          <w:rFonts w:ascii="Arial" w:hAnsi="Arial" w:cs="Arial"/>
        </w:rPr>
        <w:t xml:space="preserve">One loading regimen </w:t>
      </w:r>
      <w:r>
        <w:rPr>
          <w:rFonts w:ascii="Arial" w:hAnsi="Arial" w:cs="Arial"/>
        </w:rPr>
        <w:t>was</w:t>
      </w:r>
      <w:r w:rsidRPr="002049FA">
        <w:rPr>
          <w:rFonts w:ascii="Arial" w:hAnsi="Arial" w:cs="Arial"/>
        </w:rPr>
        <w:t xml:space="preserve"> </w:t>
      </w:r>
      <w:r w:rsidRPr="002049FA">
        <w:rPr>
          <w:rFonts w:ascii="Arial" w:hAnsi="Arial" w:cs="Arial"/>
          <w:iCs/>
        </w:rPr>
        <w:t>submaximal</w:t>
      </w:r>
      <w:r>
        <w:rPr>
          <w:rFonts w:ascii="Arial" w:hAnsi="Arial" w:cs="Arial"/>
          <w:iCs/>
        </w:rPr>
        <w:t xml:space="preserve"> that was</w:t>
      </w:r>
      <w:r w:rsidRPr="002049FA">
        <w:rPr>
          <w:rFonts w:ascii="Arial" w:hAnsi="Arial" w:cs="Arial"/>
          <w:iCs/>
        </w:rPr>
        <w:t xml:space="preserve"> </w:t>
      </w:r>
      <w:r w:rsidRPr="002049FA">
        <w:rPr>
          <w:rFonts w:ascii="Arial" w:hAnsi="Arial" w:cs="Arial"/>
        </w:rPr>
        <w:t xml:space="preserve">sufficient to induce bone formation but not a maximal response. The second </w:t>
      </w:r>
      <w:r>
        <w:rPr>
          <w:rFonts w:ascii="Arial" w:hAnsi="Arial" w:cs="Arial"/>
        </w:rPr>
        <w:t>was</w:t>
      </w:r>
      <w:r w:rsidRPr="00720BA7">
        <w:rPr>
          <w:rFonts w:ascii="Arial" w:hAnsi="Arial" w:cs="Arial"/>
        </w:rPr>
        <w:t xml:space="preserve"> </w:t>
      </w:r>
      <w:r>
        <w:rPr>
          <w:rFonts w:ascii="Arial" w:hAnsi="Arial" w:cs="Arial"/>
          <w:iCs/>
        </w:rPr>
        <w:t xml:space="preserve">sub-threshold loading regimen, </w:t>
      </w:r>
      <w:r w:rsidRPr="00720BA7">
        <w:rPr>
          <w:rFonts w:ascii="Arial" w:hAnsi="Arial" w:cs="Arial"/>
        </w:rPr>
        <w:t>insufficient alone to induce bone formation.</w:t>
      </w:r>
      <w:r w:rsidRPr="002049FA">
        <w:rPr>
          <w:rFonts w:ascii="Times" w:hAnsi="Times" w:cs="Times"/>
        </w:rPr>
        <w:t xml:space="preserve"> </w:t>
      </w:r>
      <w:r w:rsidRPr="002049FA">
        <w:rPr>
          <w:rFonts w:ascii="Arial" w:hAnsi="Arial" w:cs="Arial"/>
        </w:rPr>
        <w:t xml:space="preserve">The loading regimens </w:t>
      </w:r>
      <w:r>
        <w:rPr>
          <w:rFonts w:ascii="Arial" w:hAnsi="Arial" w:cs="Arial"/>
        </w:rPr>
        <w:t>were</w:t>
      </w:r>
      <w:r w:rsidRPr="002049FA">
        <w:rPr>
          <w:rFonts w:ascii="Arial" w:hAnsi="Arial" w:cs="Arial"/>
        </w:rPr>
        <w:t xml:space="preserve"> combined with</w:t>
      </w:r>
      <w:r>
        <w:rPr>
          <w:rFonts w:ascii="Arial" w:hAnsi="Arial" w:cs="Arial"/>
        </w:rPr>
        <w:t xml:space="preserve"> feeding</w:t>
      </w:r>
      <w:r w:rsidRPr="002049FA">
        <w:rPr>
          <w:rFonts w:ascii="Arial" w:hAnsi="Arial" w:cs="Arial"/>
        </w:rPr>
        <w:t xml:space="preserve"> </w:t>
      </w:r>
      <w:r>
        <w:rPr>
          <w:rFonts w:ascii="Arial" w:hAnsi="Arial" w:cs="Arial"/>
        </w:rPr>
        <w:t>or</w:t>
      </w:r>
      <w:r w:rsidRPr="002049FA">
        <w:rPr>
          <w:rFonts w:ascii="Arial" w:hAnsi="Arial" w:cs="Arial"/>
        </w:rPr>
        <w:t xml:space="preserve"> </w:t>
      </w:r>
      <w:r>
        <w:rPr>
          <w:rFonts w:ascii="Arial" w:hAnsi="Arial" w:cs="Arial"/>
        </w:rPr>
        <w:t xml:space="preserve">prolonged </w:t>
      </w:r>
      <w:r w:rsidRPr="002049FA">
        <w:rPr>
          <w:rFonts w:ascii="Arial" w:hAnsi="Arial" w:cs="Arial"/>
        </w:rPr>
        <w:t xml:space="preserve">fasting followed by </w:t>
      </w:r>
      <w:r>
        <w:rPr>
          <w:rFonts w:ascii="Arial" w:hAnsi="Arial" w:cs="Arial"/>
        </w:rPr>
        <w:t xml:space="preserve">2-hour </w:t>
      </w:r>
      <w:r w:rsidRPr="002049FA">
        <w:rPr>
          <w:rFonts w:ascii="Arial" w:hAnsi="Arial" w:cs="Arial"/>
        </w:rPr>
        <w:t xml:space="preserve">feeding </w:t>
      </w:r>
      <w:r>
        <w:rPr>
          <w:rFonts w:ascii="Arial" w:hAnsi="Arial" w:cs="Arial"/>
        </w:rPr>
        <w:t xml:space="preserve">in young male mice </w:t>
      </w:r>
      <w:r w:rsidRPr="002049FA">
        <w:rPr>
          <w:rFonts w:ascii="Arial" w:hAnsi="Arial" w:cs="Arial"/>
        </w:rPr>
        <w:t xml:space="preserve">to mimic the durations of fasting in people overnight and </w:t>
      </w:r>
      <w:r>
        <w:rPr>
          <w:rFonts w:ascii="Arial" w:hAnsi="Arial" w:cs="Arial"/>
        </w:rPr>
        <w:t xml:space="preserve">the effects of different exercises after consuming food. </w:t>
      </w:r>
    </w:p>
    <w:p w14:paraId="35298B3F" w14:textId="77777777" w:rsidR="0022329B" w:rsidRPr="00C97282" w:rsidRDefault="0022329B" w:rsidP="006143CF">
      <w:pPr>
        <w:pStyle w:val="Heading3"/>
        <w:spacing w:line="480" w:lineRule="auto"/>
        <w:jc w:val="both"/>
        <w:rPr>
          <w:rFonts w:ascii="Arial" w:hAnsi="Arial"/>
          <w:color w:val="auto"/>
        </w:rPr>
      </w:pPr>
      <w:bookmarkStart w:id="136" w:name="_Toc383723913"/>
      <w:r w:rsidRPr="00C97282">
        <w:rPr>
          <w:rFonts w:ascii="Arial" w:hAnsi="Arial"/>
          <w:color w:val="auto"/>
        </w:rPr>
        <w:t>5.3.1 Food ingestion for 2 hours following overnight fast potentiated bone’s response to sub-threshold mechanical loading in young male mice</w:t>
      </w:r>
      <w:bookmarkEnd w:id="136"/>
    </w:p>
    <w:p w14:paraId="15CFB3D9" w14:textId="77777777" w:rsidR="0022329B" w:rsidRDefault="0022329B" w:rsidP="0022329B">
      <w:pPr>
        <w:spacing w:line="480" w:lineRule="auto"/>
        <w:jc w:val="both"/>
        <w:rPr>
          <w:rFonts w:ascii="Arial" w:hAnsi="Arial" w:cs="Arial"/>
          <w:noProof/>
          <w:color w:val="000000" w:themeColor="text1"/>
        </w:rPr>
      </w:pPr>
      <w:r>
        <w:rPr>
          <w:rFonts w:ascii="Arial" w:hAnsi="Arial"/>
          <w:bCs/>
        </w:rPr>
        <w:t xml:space="preserve">The mechanical loading regimen with 8N force we used in this study </w:t>
      </w:r>
      <w:r w:rsidR="00344AE6">
        <w:rPr>
          <w:rFonts w:ascii="Arial" w:hAnsi="Arial"/>
          <w:bCs/>
        </w:rPr>
        <w:t xml:space="preserve">has already been determined </w:t>
      </w:r>
      <w:r>
        <w:rPr>
          <w:rFonts w:ascii="Arial" w:hAnsi="Arial"/>
          <w:bCs/>
        </w:rPr>
        <w:t xml:space="preserve">not to engender osteogenic response in trabecular or cortical bone mass and architecture measured at the mod-shaft of the tibiae of young male mice </w:t>
      </w:r>
      <w:r w:rsidR="00A41F2A">
        <w:rPr>
          <w:rFonts w:ascii="Arial" w:hAnsi="Arial"/>
          <w:bCs/>
        </w:rPr>
        <w:fldChar w:fldCharType="begin"/>
      </w:r>
      <w:r w:rsidR="00A108A1">
        <w:rPr>
          <w:rFonts w:ascii="Arial" w:hAnsi="Arial"/>
          <w:bCs/>
        </w:rPr>
        <w:instrText xml:space="preserve"> ADDIN EN.CITE &lt;EndNote&gt;&lt;Cite&gt;&lt;Author&gt;De Souza&lt;/Author&gt;&lt;Year&gt;2005&lt;/Year&gt;&lt;RecNum&gt;500&lt;/RecNum&gt;&lt;DisplayText&gt;(De Souza et al., 2005a)&lt;/DisplayText&gt;&lt;record&gt;&lt;rec-number&gt;500&lt;/rec-number&gt;&lt;foreign-keys&gt;&lt;key app="EN" db-id="ae9rewfrpdttrheppfxxv0p4950wpd25r09x" timestamp="1520658309"&gt;500&lt;/key&gt;&lt;key app="ENWeb" db-id=""&gt;0&lt;/key&gt;&lt;/foreign-keys&gt;&lt;ref-type name="Journal Article"&gt;17&lt;/ref-type&gt;&lt;contributors&gt;&lt;authors&gt;&lt;author&gt;De Souza, Roberto L.&lt;/author&gt;&lt;author&gt;Matsuura, Maiko&lt;/author&gt;&lt;author&gt;Eckstein, Felix&lt;/author&gt;&lt;author&gt;Rawlinson, Simon C. F.&lt;/author&gt;&lt;author&gt;Lanyon, Lance E.&lt;/author&gt;&lt;author&gt;Pitsillides, Andrew A.&lt;/author&gt;&lt;/authors&gt;&lt;/contributors&gt;&lt;titles&gt;&lt;title&gt;Non- invasive axial loading of mouse tibiae increases cortical bone formation and modifies trabecular organization: A new model to study cortical and cancellous compartments in a single loaded element&lt;/title&gt;&lt;secondary-title&gt;Bone&lt;/secondary-title&gt;&lt;/titles&gt;&lt;periodical&gt;&lt;full-title&gt;Bone&lt;/full-title&gt;&lt;/periodical&gt;&lt;pages&gt;810-818&lt;/pages&gt;&lt;volume&gt;37&lt;/volume&gt;&lt;number&gt;6&lt;/number&gt;&lt;keywords&gt;&lt;keyword&gt;Mouse&lt;/keyword&gt;&lt;keyword&gt;Mechanical loading&lt;/keyword&gt;&lt;keyword&gt;Cortical bone&lt;/keyword&gt;&lt;keyword&gt;Cancellous bone&lt;/keyword&gt;&lt;keyword&gt;Adaptation&lt;/keyword&gt;&lt;/keywords&gt;&lt;dates&gt;&lt;year&gt;2005&lt;/year&gt;&lt;/dates&gt;&lt;isbn&gt;8756-3282&lt;/isbn&gt;&lt;urls&gt;&lt;/urls&gt;&lt;electronic-resource-num&gt;10.1016/j.bone.2005.07.022&lt;/electronic-resource-num&gt;&lt;/record&gt;&lt;/Cite&gt;&lt;/EndNote&gt;</w:instrText>
      </w:r>
      <w:r w:rsidR="00A41F2A">
        <w:rPr>
          <w:rFonts w:ascii="Arial" w:hAnsi="Arial"/>
          <w:bCs/>
        </w:rPr>
        <w:fldChar w:fldCharType="separate"/>
      </w:r>
      <w:r w:rsidR="00A41F2A">
        <w:rPr>
          <w:rFonts w:ascii="Arial" w:hAnsi="Arial"/>
          <w:bCs/>
          <w:noProof/>
        </w:rPr>
        <w:t>(De Souza et al., 2005a)</w:t>
      </w:r>
      <w:r w:rsidR="00A41F2A">
        <w:rPr>
          <w:rFonts w:ascii="Arial" w:hAnsi="Arial"/>
          <w:bCs/>
        </w:rPr>
        <w:fldChar w:fldCharType="end"/>
      </w:r>
      <w:r w:rsidR="00344AE6">
        <w:rPr>
          <w:rFonts w:ascii="Arial" w:hAnsi="Arial"/>
          <w:bCs/>
        </w:rPr>
        <w:t xml:space="preserve">. </w:t>
      </w:r>
      <w:r w:rsidRPr="00945BFB">
        <w:rPr>
          <w:rFonts w:ascii="Arial" w:eastAsiaTheme="minorHAnsi" w:hAnsi="Arial"/>
          <w:bCs/>
        </w:rPr>
        <w:t>We measure</w:t>
      </w:r>
      <w:r>
        <w:rPr>
          <w:rFonts w:ascii="Arial" w:eastAsiaTheme="minorHAnsi" w:hAnsi="Arial"/>
          <w:bCs/>
        </w:rPr>
        <w:t>d</w:t>
      </w:r>
      <w:r w:rsidRPr="00945BFB">
        <w:rPr>
          <w:rFonts w:ascii="Arial" w:eastAsiaTheme="minorHAnsi" w:hAnsi="Arial"/>
          <w:bCs/>
        </w:rPr>
        <w:t xml:space="preserve"> </w:t>
      </w:r>
      <w:r>
        <w:rPr>
          <w:rFonts w:ascii="Arial" w:eastAsiaTheme="minorHAnsi" w:hAnsi="Arial"/>
          <w:bCs/>
        </w:rPr>
        <w:t xml:space="preserve">the </w:t>
      </w:r>
      <w:r w:rsidRPr="00945BFB">
        <w:rPr>
          <w:rFonts w:ascii="Arial" w:eastAsiaTheme="minorHAnsi" w:hAnsi="Arial"/>
          <w:bCs/>
        </w:rPr>
        <w:t xml:space="preserve">effects </w:t>
      </w:r>
      <w:r>
        <w:rPr>
          <w:rFonts w:ascii="Arial" w:eastAsiaTheme="minorHAnsi" w:hAnsi="Arial"/>
          <w:bCs/>
        </w:rPr>
        <w:t xml:space="preserve">of loading regimens </w:t>
      </w:r>
      <w:r w:rsidRPr="00945BFB">
        <w:rPr>
          <w:rFonts w:ascii="Arial" w:hAnsi="Arial"/>
          <w:bCs/>
        </w:rPr>
        <w:t xml:space="preserve">in young </w:t>
      </w:r>
      <w:r>
        <w:rPr>
          <w:rFonts w:ascii="Arial" w:hAnsi="Arial"/>
          <w:bCs/>
        </w:rPr>
        <w:t>male</w:t>
      </w:r>
      <w:r w:rsidRPr="00945BFB">
        <w:rPr>
          <w:rFonts w:ascii="Arial" w:hAnsi="Arial"/>
          <w:bCs/>
        </w:rPr>
        <w:t xml:space="preserve"> </w:t>
      </w:r>
      <w:r w:rsidRPr="00945BFB">
        <w:rPr>
          <w:rFonts w:ascii="Arial" w:hAnsi="Arial" w:cs="Arial"/>
        </w:rPr>
        <w:t>mice</w:t>
      </w:r>
      <w:r>
        <w:rPr>
          <w:rFonts w:ascii="Arial" w:eastAsiaTheme="minorHAnsi" w:hAnsi="Arial"/>
          <w:bCs/>
        </w:rPr>
        <w:t xml:space="preserve"> that were</w:t>
      </w:r>
      <w:r w:rsidRPr="00945BFB">
        <w:rPr>
          <w:rFonts w:ascii="Arial" w:eastAsiaTheme="minorHAnsi" w:hAnsi="Arial"/>
          <w:bCs/>
        </w:rPr>
        <w:t xml:space="preserve"> altered by the magnitude of peak strain induced, not the number of </w:t>
      </w:r>
      <w:r>
        <w:rPr>
          <w:rFonts w:ascii="Arial" w:eastAsiaTheme="minorHAnsi" w:hAnsi="Arial"/>
          <w:bCs/>
        </w:rPr>
        <w:t xml:space="preserve">loading </w:t>
      </w:r>
      <w:r w:rsidRPr="00945BFB">
        <w:rPr>
          <w:rFonts w:ascii="Arial" w:eastAsiaTheme="minorHAnsi" w:hAnsi="Arial"/>
          <w:bCs/>
        </w:rPr>
        <w:t>cycles</w:t>
      </w:r>
      <w:r>
        <w:rPr>
          <w:rFonts w:ascii="Arial" w:eastAsiaTheme="minorHAnsi" w:hAnsi="Arial"/>
          <w:bCs/>
        </w:rPr>
        <w:t>, which was covered in the Chapter 3</w:t>
      </w:r>
      <w:r>
        <w:rPr>
          <w:rFonts w:ascii="Arial" w:hAnsi="Arial" w:cs="Arial"/>
        </w:rPr>
        <w:t xml:space="preserve">. </w:t>
      </w:r>
      <w:r>
        <w:rPr>
          <w:rFonts w:ascii="Arial" w:hAnsi="Arial" w:cs="Arial"/>
          <w:noProof/>
          <w:color w:val="000000" w:themeColor="text1"/>
        </w:rPr>
        <w:t>We used sub-threshold mechanical loading regimen in order to determine whether food ingestion for 2 hours following overnight fast affected bone’s response to ineffective loading</w:t>
      </w:r>
      <w:r w:rsidR="00344AE6">
        <w:rPr>
          <w:rFonts w:ascii="Arial" w:hAnsi="Arial" w:cs="Arial"/>
          <w:noProof/>
          <w:color w:val="000000" w:themeColor="text1"/>
        </w:rPr>
        <w:t xml:space="preserve"> as it did with maximal loading</w:t>
      </w:r>
      <w:r>
        <w:rPr>
          <w:rFonts w:ascii="Arial" w:hAnsi="Arial" w:cs="Arial"/>
          <w:noProof/>
          <w:color w:val="000000" w:themeColor="text1"/>
        </w:rPr>
        <w:t>.</w:t>
      </w:r>
    </w:p>
    <w:p w14:paraId="5C335C01" w14:textId="77777777" w:rsidR="0022329B" w:rsidRDefault="0022329B" w:rsidP="0022329B">
      <w:pPr>
        <w:spacing w:line="480" w:lineRule="auto"/>
        <w:jc w:val="both"/>
        <w:rPr>
          <w:rFonts w:ascii="Arial" w:hAnsi="Arial" w:cs="Arial"/>
        </w:rPr>
      </w:pPr>
    </w:p>
    <w:p w14:paraId="395D79D7" w14:textId="77777777" w:rsidR="0022329B" w:rsidRPr="002A5707" w:rsidRDefault="0022329B" w:rsidP="0022329B">
      <w:pPr>
        <w:spacing w:line="480" w:lineRule="auto"/>
        <w:jc w:val="both"/>
        <w:rPr>
          <w:rFonts w:ascii="Arial" w:hAnsi="Arial" w:cs="Arial"/>
          <w:noProof/>
          <w:color w:val="000000" w:themeColor="text1"/>
        </w:rPr>
      </w:pPr>
      <w:r>
        <w:rPr>
          <w:rFonts w:ascii="Arial" w:hAnsi="Arial"/>
          <w:bCs/>
        </w:rPr>
        <w:t xml:space="preserve">Consistent with our main hypothesis food ingestion following overnight </w:t>
      </w:r>
      <w:r w:rsidR="00E33E40">
        <w:rPr>
          <w:rFonts w:ascii="Arial" w:hAnsi="Arial"/>
          <w:bCs/>
        </w:rPr>
        <w:t>(</w:t>
      </w:r>
      <w:r>
        <w:rPr>
          <w:rFonts w:ascii="Arial" w:hAnsi="Arial"/>
          <w:bCs/>
        </w:rPr>
        <w:t>16-hour</w:t>
      </w:r>
      <w:r w:rsidR="00E33E40">
        <w:rPr>
          <w:rFonts w:ascii="Arial" w:hAnsi="Arial"/>
          <w:bCs/>
        </w:rPr>
        <w:t>)</w:t>
      </w:r>
      <w:r>
        <w:rPr>
          <w:rFonts w:ascii="Arial" w:hAnsi="Arial"/>
          <w:bCs/>
        </w:rPr>
        <w:t xml:space="preserve"> fast enhanced bone’s adaptive response to sub-threshold mechanical loading in young 17-week-old male mice. The response of cortical bone to sub-threshold loading was in agreement with our </w:t>
      </w:r>
      <w:r w:rsidRPr="0006548E">
        <w:rPr>
          <w:rFonts w:ascii="Arial" w:hAnsi="Arial" w:cs="Arial"/>
          <w:noProof/>
          <w:color w:val="000000" w:themeColor="text1"/>
        </w:rPr>
        <w:t xml:space="preserve">findings </w:t>
      </w:r>
      <w:r>
        <w:rPr>
          <w:rFonts w:ascii="Arial" w:hAnsi="Arial" w:cs="Arial"/>
          <w:noProof/>
          <w:color w:val="000000" w:themeColor="text1"/>
        </w:rPr>
        <w:t xml:space="preserve">discussed </w:t>
      </w:r>
      <w:r w:rsidRPr="0006548E">
        <w:rPr>
          <w:rFonts w:ascii="Arial" w:hAnsi="Arial" w:cs="Arial"/>
          <w:noProof/>
          <w:color w:val="000000" w:themeColor="text1"/>
        </w:rPr>
        <w:t>in the previous chapter</w:t>
      </w:r>
      <w:r>
        <w:rPr>
          <w:rFonts w:ascii="Arial" w:hAnsi="Arial" w:cs="Arial"/>
          <w:noProof/>
          <w:color w:val="000000" w:themeColor="text1"/>
        </w:rPr>
        <w:t xml:space="preserve"> where we observed its potentiated response to maximal osteogenic loading regimen. Similarly, c</w:t>
      </w:r>
      <w:r w:rsidRPr="009D384E">
        <w:rPr>
          <w:rFonts w:ascii="Arial" w:hAnsi="Arial" w:cs="Arial"/>
          <w:noProof/>
          <w:color w:val="000000" w:themeColor="text1"/>
        </w:rPr>
        <w:t xml:space="preserve">ompared with the </w:t>
      </w:r>
      <w:r>
        <w:rPr>
          <w:rFonts w:ascii="Arial" w:hAnsi="Arial" w:cs="Arial"/>
          <w:noProof/>
          <w:color w:val="000000" w:themeColor="text1"/>
        </w:rPr>
        <w:t xml:space="preserve">cortical bone </w:t>
      </w:r>
      <w:r w:rsidRPr="009D384E">
        <w:rPr>
          <w:rFonts w:ascii="Arial" w:hAnsi="Arial" w:cs="Arial"/>
          <w:noProof/>
          <w:color w:val="000000" w:themeColor="text1"/>
        </w:rPr>
        <w:t>osteogenic response in</w:t>
      </w:r>
      <w:r>
        <w:rPr>
          <w:rFonts w:ascii="Arial" w:hAnsi="Arial" w:cs="Arial"/>
          <w:noProof/>
          <w:color w:val="000000" w:themeColor="text1"/>
        </w:rPr>
        <w:t xml:space="preserve"> ad-lib</w:t>
      </w:r>
      <w:r w:rsidRPr="009D384E">
        <w:rPr>
          <w:rFonts w:ascii="Arial" w:hAnsi="Arial" w:cs="Arial"/>
          <w:noProof/>
          <w:color w:val="000000" w:themeColor="text1"/>
        </w:rPr>
        <w:t xml:space="preserve"> fed mice</w:t>
      </w:r>
      <w:r>
        <w:rPr>
          <w:rFonts w:ascii="Arial" w:hAnsi="Arial" w:cs="Arial"/>
          <w:noProof/>
          <w:color w:val="000000" w:themeColor="text1"/>
        </w:rPr>
        <w:t>,</w:t>
      </w:r>
      <w:r w:rsidRPr="009D384E">
        <w:rPr>
          <w:rFonts w:ascii="Arial" w:hAnsi="Arial" w:cs="Arial"/>
          <w:noProof/>
          <w:color w:val="000000" w:themeColor="text1"/>
        </w:rPr>
        <w:t xml:space="preserve"> fa</w:t>
      </w:r>
      <w:r w:rsidR="00D51FEC">
        <w:rPr>
          <w:rFonts w:ascii="Arial" w:hAnsi="Arial" w:cs="Arial"/>
          <w:noProof/>
          <w:color w:val="000000" w:themeColor="text1"/>
        </w:rPr>
        <w:t>t</w:t>
      </w:r>
      <w:r w:rsidRPr="009D384E">
        <w:rPr>
          <w:rFonts w:ascii="Arial" w:hAnsi="Arial" w:cs="Arial"/>
          <w:noProof/>
          <w:color w:val="000000" w:themeColor="text1"/>
        </w:rPr>
        <w:t xml:space="preserve">sed </w:t>
      </w:r>
      <w:r>
        <w:rPr>
          <w:rFonts w:ascii="Arial" w:hAnsi="Arial" w:cs="Arial"/>
          <w:noProof/>
          <w:color w:val="000000" w:themeColor="text1"/>
        </w:rPr>
        <w:t xml:space="preserve">2-hour fed mice </w:t>
      </w:r>
      <w:r w:rsidRPr="009D384E">
        <w:rPr>
          <w:rFonts w:ascii="Arial" w:hAnsi="Arial" w:cs="Arial"/>
          <w:noProof/>
          <w:color w:val="000000" w:themeColor="text1"/>
        </w:rPr>
        <w:t xml:space="preserve">showed greater response </w:t>
      </w:r>
      <w:r>
        <w:rPr>
          <w:rFonts w:ascii="Arial" w:hAnsi="Arial" w:cs="Arial"/>
          <w:noProof/>
          <w:color w:val="000000" w:themeColor="text1"/>
        </w:rPr>
        <w:t xml:space="preserve">in cortical thickness. When assessed with the Student’s </w:t>
      </w:r>
      <w:r>
        <w:rPr>
          <w:rFonts w:ascii="Arial" w:hAnsi="Arial" w:cs="Arial"/>
          <w:i/>
          <w:noProof/>
          <w:color w:val="000000" w:themeColor="text1"/>
        </w:rPr>
        <w:t>t</w:t>
      </w:r>
      <w:r>
        <w:rPr>
          <w:rFonts w:ascii="Arial" w:hAnsi="Arial" w:cs="Arial"/>
          <w:noProof/>
          <w:color w:val="000000" w:themeColor="text1"/>
        </w:rPr>
        <w:t xml:space="preserve">-test separately, </w:t>
      </w:r>
      <w:r>
        <w:rPr>
          <w:rFonts w:ascii="Arial" w:hAnsi="Arial" w:cs="Arial"/>
          <w:noProof/>
          <w:color w:val="000000" w:themeColor="text1"/>
        </w:rPr>
        <w:lastRenderedPageBreak/>
        <w:t xml:space="preserve">the loaded tibiae of fasted fed mice had significant increase in Ct.Th compared with non-loaded left tibiae. </w:t>
      </w:r>
      <w:r w:rsidR="001708B6">
        <w:rPr>
          <w:rFonts w:ascii="Arial" w:hAnsi="Arial" w:cs="Arial"/>
          <w:noProof/>
          <w:color w:val="000000" w:themeColor="text1"/>
        </w:rPr>
        <w:t>D</w:t>
      </w:r>
      <w:r w:rsidR="001708B6" w:rsidRPr="00BF6C73">
        <w:rPr>
          <w:rFonts w:ascii="Arial" w:hAnsi="Arial" w:cs="Arial"/>
          <w:noProof/>
          <w:color w:val="000000" w:themeColor="text1"/>
        </w:rPr>
        <w:t>ue to increase</w:t>
      </w:r>
      <w:r w:rsidR="001708B6">
        <w:rPr>
          <w:rFonts w:ascii="Arial" w:hAnsi="Arial" w:cs="Arial"/>
          <w:noProof/>
          <w:color w:val="000000" w:themeColor="text1"/>
        </w:rPr>
        <w:t>d</w:t>
      </w:r>
      <w:r w:rsidR="001708B6" w:rsidRPr="00BF6C73">
        <w:rPr>
          <w:rFonts w:ascii="Arial" w:hAnsi="Arial" w:cs="Arial"/>
          <w:noProof/>
          <w:color w:val="000000" w:themeColor="text1"/>
        </w:rPr>
        <w:t xml:space="preserve"> </w:t>
      </w:r>
      <w:r w:rsidR="001708B6">
        <w:rPr>
          <w:rFonts w:ascii="Arial" w:hAnsi="Arial" w:cs="Arial"/>
          <w:noProof/>
          <w:color w:val="000000" w:themeColor="text1"/>
        </w:rPr>
        <w:t>Ct.Th</w:t>
      </w:r>
      <w:r w:rsidR="001708B6" w:rsidRPr="00BF6C73">
        <w:rPr>
          <w:rFonts w:ascii="Arial" w:hAnsi="Arial" w:cs="Arial"/>
          <w:noProof/>
          <w:color w:val="000000" w:themeColor="text1"/>
        </w:rPr>
        <w:t xml:space="preserve"> </w:t>
      </w:r>
      <w:r w:rsidR="001708B6">
        <w:rPr>
          <w:rFonts w:ascii="Arial" w:hAnsi="Arial" w:cs="Arial"/>
          <w:noProof/>
          <w:color w:val="000000" w:themeColor="text1"/>
        </w:rPr>
        <w:t>in the loaded tibiae, t</w:t>
      </w:r>
      <w:r>
        <w:rPr>
          <w:rFonts w:ascii="Arial" w:hAnsi="Arial" w:cs="Arial"/>
          <w:noProof/>
          <w:color w:val="000000" w:themeColor="text1"/>
        </w:rPr>
        <w:t xml:space="preserve">he </w:t>
      </w:r>
      <w:r w:rsidRPr="00BF6C73">
        <w:rPr>
          <w:rFonts w:ascii="Arial" w:hAnsi="Arial" w:cs="Arial"/>
          <w:noProof/>
          <w:color w:val="000000" w:themeColor="text1"/>
        </w:rPr>
        <w:t xml:space="preserve">marrow area </w:t>
      </w:r>
      <w:r>
        <w:rPr>
          <w:rFonts w:ascii="Arial" w:hAnsi="Arial" w:cs="Arial"/>
          <w:noProof/>
          <w:color w:val="000000" w:themeColor="text1"/>
        </w:rPr>
        <w:t>decreased but did not reach statistical significance in both fasted 2-hour fed and ad-lib fed mice</w:t>
      </w:r>
      <w:r w:rsidR="001708B6">
        <w:rPr>
          <w:rFonts w:ascii="Arial" w:hAnsi="Arial" w:cs="Arial"/>
          <w:noProof/>
          <w:color w:val="000000" w:themeColor="text1"/>
        </w:rPr>
        <w:t xml:space="preserve">. </w:t>
      </w:r>
      <w:r>
        <w:rPr>
          <w:rFonts w:ascii="Arial" w:hAnsi="Arial" w:cs="Arial"/>
          <w:noProof/>
          <w:color w:val="000000" w:themeColor="text1"/>
        </w:rPr>
        <w:t xml:space="preserve">There were no significant changes in other cortical bone parameters including Ct.Ar and Tt.Ar measured at the tibial mid-shaft by </w:t>
      </w:r>
      <w:r w:rsidRPr="000F0037">
        <w:rPr>
          <w:rFonts w:ascii="Arial" w:hAnsi="Arial" w:cs="Arial"/>
          <w:color w:val="000000" w:themeColor="text1"/>
        </w:rPr>
        <w:sym w:font="Symbol" w:char="F06D"/>
      </w:r>
      <w:r>
        <w:rPr>
          <w:rFonts w:ascii="Arial" w:hAnsi="Arial" w:cs="Arial"/>
          <w:noProof/>
          <w:color w:val="000000" w:themeColor="text1"/>
        </w:rPr>
        <w:t>CT within and between the experimental groups.</w:t>
      </w:r>
    </w:p>
    <w:p w14:paraId="52180106" w14:textId="77777777" w:rsidR="003036D1" w:rsidRPr="00FC5321" w:rsidRDefault="003036D1" w:rsidP="003036D1">
      <w:pPr>
        <w:spacing w:line="480" w:lineRule="auto"/>
        <w:jc w:val="both"/>
        <w:rPr>
          <w:rFonts w:ascii="Arial" w:hAnsi="Arial" w:cs="Arial"/>
        </w:rPr>
      </w:pPr>
      <w:r>
        <w:rPr>
          <w:rFonts w:ascii="Arial" w:hAnsi="Arial" w:cs="Arial"/>
        </w:rPr>
        <w:t xml:space="preserve">The altered concentrations of some key osteotropic hormones associated with the </w:t>
      </w:r>
      <w:r w:rsidRPr="00C71656">
        <w:rPr>
          <w:rFonts w:ascii="Arial" w:hAnsi="Arial" w:cs="Arial"/>
        </w:rPr>
        <w:t xml:space="preserve">timing of food ingestion </w:t>
      </w:r>
      <w:r>
        <w:rPr>
          <w:rFonts w:ascii="Arial" w:hAnsi="Arial" w:cs="Arial"/>
        </w:rPr>
        <w:t>and their regulatory effects on bone homeostasis, which may underlie the cortical bone potentiated response to loading we have observed in these studies, are discusse</w:t>
      </w:r>
      <w:r w:rsidR="003E002E">
        <w:rPr>
          <w:rFonts w:ascii="Arial" w:hAnsi="Arial" w:cs="Arial"/>
        </w:rPr>
        <w:t>d in details in</w:t>
      </w:r>
      <w:r w:rsidR="00E33E40">
        <w:rPr>
          <w:rFonts w:ascii="Arial" w:hAnsi="Arial" w:cs="Arial"/>
        </w:rPr>
        <w:t xml:space="preserve"> </w:t>
      </w:r>
      <w:r>
        <w:rPr>
          <w:rFonts w:ascii="Arial" w:hAnsi="Arial" w:cs="Calibri"/>
          <w:bCs/>
          <w:color w:val="000000"/>
        </w:rPr>
        <w:t xml:space="preserve">Chapter 7. </w:t>
      </w:r>
    </w:p>
    <w:p w14:paraId="7DEC2DCD" w14:textId="77777777" w:rsidR="0022329B" w:rsidRDefault="0022329B" w:rsidP="0022329B">
      <w:pPr>
        <w:spacing w:line="480" w:lineRule="auto"/>
        <w:jc w:val="both"/>
        <w:rPr>
          <w:rFonts w:ascii="Arial" w:hAnsi="Arial" w:cs="Arial"/>
          <w:noProof/>
          <w:color w:val="000000" w:themeColor="text1"/>
        </w:rPr>
      </w:pPr>
    </w:p>
    <w:p w14:paraId="68A5FD84" w14:textId="77777777" w:rsidR="003036D1" w:rsidRDefault="0022329B" w:rsidP="003036D1">
      <w:pPr>
        <w:spacing w:line="480" w:lineRule="auto"/>
        <w:jc w:val="both"/>
        <w:rPr>
          <w:rFonts w:ascii="Arial" w:hAnsi="Arial"/>
          <w:bCs/>
        </w:rPr>
      </w:pPr>
      <w:r>
        <w:rPr>
          <w:rFonts w:ascii="Arial" w:hAnsi="Arial" w:cs="Arial"/>
        </w:rPr>
        <w:t>Numerous</w:t>
      </w:r>
      <w:r w:rsidRPr="00FC5321">
        <w:rPr>
          <w:rFonts w:ascii="Arial" w:hAnsi="Arial" w:cs="Arial"/>
        </w:rPr>
        <w:t xml:space="preserve"> previous studies </w:t>
      </w:r>
      <w:r>
        <w:rPr>
          <w:rFonts w:ascii="Arial" w:hAnsi="Arial" w:cs="Arial"/>
        </w:rPr>
        <w:t>elucidated the synergistic</w:t>
      </w:r>
      <w:r w:rsidRPr="00FC5321">
        <w:rPr>
          <w:rFonts w:ascii="Arial" w:hAnsi="Arial" w:cs="Arial"/>
        </w:rPr>
        <w:t xml:space="preserve"> </w:t>
      </w:r>
      <w:r>
        <w:rPr>
          <w:rFonts w:ascii="Arial" w:hAnsi="Arial" w:cs="Arial"/>
        </w:rPr>
        <w:t>effects</w:t>
      </w:r>
      <w:r w:rsidRPr="00FC5321">
        <w:rPr>
          <w:rFonts w:ascii="Arial" w:hAnsi="Arial" w:cs="Arial"/>
        </w:rPr>
        <w:t xml:space="preserve"> bet</w:t>
      </w:r>
      <w:r>
        <w:rPr>
          <w:rFonts w:ascii="Arial" w:hAnsi="Arial" w:cs="Arial"/>
        </w:rPr>
        <w:t>w</w:t>
      </w:r>
      <w:r w:rsidRPr="00FC5321">
        <w:rPr>
          <w:rFonts w:ascii="Arial" w:hAnsi="Arial" w:cs="Arial"/>
        </w:rPr>
        <w:t>een</w:t>
      </w:r>
      <w:r>
        <w:t xml:space="preserve"> </w:t>
      </w:r>
      <w:r w:rsidRPr="00FC5321">
        <w:rPr>
          <w:rFonts w:ascii="Arial" w:hAnsi="Arial" w:cs="Arial"/>
        </w:rPr>
        <w:t xml:space="preserve">anabolic osteotropic </w:t>
      </w:r>
      <w:r>
        <w:rPr>
          <w:rFonts w:ascii="Arial" w:hAnsi="Arial" w:cs="Arial"/>
        </w:rPr>
        <w:t>factors</w:t>
      </w:r>
      <w:r w:rsidRPr="00FC5321">
        <w:rPr>
          <w:rFonts w:ascii="Arial" w:hAnsi="Arial" w:cs="Arial"/>
        </w:rPr>
        <w:t xml:space="preserve"> and loading</w:t>
      </w:r>
      <w:r w:rsidR="006325E1">
        <w:rPr>
          <w:rFonts w:ascii="Arial" w:hAnsi="Arial" w:cs="Arial"/>
        </w:rPr>
        <w:t xml:space="preserve"> </w:t>
      </w:r>
      <w:r w:rsidR="005D784A">
        <w:rPr>
          <w:rFonts w:ascii="Arial" w:hAnsi="Arial" w:cs="Arial"/>
        </w:rPr>
        <w:fldChar w:fldCharType="begin">
          <w:fldData xml:space="preserve">PEVuZE5vdGU+PENpdGU+PEF1dGhvcj5UYW5nPC9BdXRob3I+PFllYXI+MTk5NzwvWWVhcj48UmVj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PEVuZE5vdGU+PENpdGU+PEF1dGhvcj5UYW5nPC9BdXRob3I+PFllYXI+MTk5NzwvWWVhcj48UmVj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5D784A">
        <w:rPr>
          <w:rFonts w:ascii="Arial" w:hAnsi="Arial" w:cs="Arial"/>
        </w:rPr>
      </w:r>
      <w:r w:rsidR="005D784A">
        <w:rPr>
          <w:rFonts w:ascii="Arial" w:hAnsi="Arial" w:cs="Arial"/>
        </w:rPr>
        <w:fldChar w:fldCharType="separate"/>
      </w:r>
      <w:r w:rsidR="0000415D">
        <w:rPr>
          <w:rFonts w:ascii="Arial" w:hAnsi="Arial" w:cs="Arial"/>
          <w:noProof/>
        </w:rPr>
        <w:t>(Tang et al., 1997, Jacobs, 2000, Samuels et al., 2000, Kim et al., 2003)</w:t>
      </w:r>
      <w:r w:rsidR="005D784A">
        <w:rPr>
          <w:rFonts w:ascii="Arial" w:hAnsi="Arial" w:cs="Arial"/>
        </w:rPr>
        <w:fldChar w:fldCharType="end"/>
      </w:r>
      <w:r w:rsidR="000F53E2">
        <w:rPr>
          <w:rFonts w:ascii="Arial" w:hAnsi="Arial" w:cs="Arial"/>
        </w:rPr>
        <w:t xml:space="preserve">. </w:t>
      </w:r>
      <w:r w:rsidRPr="00993DE7">
        <w:rPr>
          <w:rFonts w:ascii="Arial" w:hAnsi="Arial" w:cs="Calibri"/>
          <w:bCs/>
          <w:color w:val="000000"/>
        </w:rPr>
        <w:t xml:space="preserve">In addition to the clinical studies discussed in the previous chapter, studies in model organisms including rats and </w:t>
      </w:r>
      <w:r>
        <w:rPr>
          <w:rFonts w:ascii="Arial" w:hAnsi="Arial" w:cs="Calibri"/>
          <w:bCs/>
          <w:color w:val="000000"/>
        </w:rPr>
        <w:t>mice provided</w:t>
      </w:r>
      <w:r w:rsidRPr="00993DE7">
        <w:rPr>
          <w:rFonts w:ascii="Arial" w:hAnsi="Arial" w:cs="Calibri"/>
          <w:bCs/>
          <w:color w:val="000000"/>
        </w:rPr>
        <w:t xml:space="preserve"> evidence of synergistic effects of iPTH and mechanical loading on both trabecular and cortical bones</w:t>
      </w:r>
      <w:r w:rsidR="00AA0D89">
        <w:rPr>
          <w:rFonts w:ascii="Arial" w:hAnsi="Arial" w:cs="Calibri"/>
          <w:bCs/>
          <w:color w:val="000000"/>
        </w:rPr>
        <w:t xml:space="preserve"> </w:t>
      </w:r>
      <w:r w:rsidR="005D784A">
        <w:rPr>
          <w:rFonts w:ascii="Arial" w:hAnsi="Arial" w:cs="Calibri"/>
          <w:bCs/>
          <w:color w:val="000000"/>
        </w:rPr>
        <w:fldChar w:fldCharType="begin">
          <w:fldData xml:space="preserve">PEVuZE5vdGU+PENpdGU+PEF1dGhvcj5NYTwvQXV0aG9yPjxZZWFyPjE5OTk8L1llYXI+PFJlY051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</w:fldData>
        </w:fldChar>
      </w:r>
      <w:r w:rsidR="005D784A">
        <w:rPr>
          <w:rFonts w:ascii="Arial" w:hAnsi="Arial" w:cs="Calibri"/>
          <w:bCs/>
          <w:color w:val="000000"/>
        </w:rPr>
        <w:instrText xml:space="preserve"> ADDIN EN.CITE </w:instrText>
      </w:r>
      <w:r w:rsidR="005D784A">
        <w:rPr>
          <w:rFonts w:ascii="Arial" w:hAnsi="Arial" w:cs="Calibri"/>
          <w:bCs/>
          <w:color w:val="000000"/>
        </w:rPr>
        <w:fldChar w:fldCharType="begin">
          <w:fldData xml:space="preserve">PEVuZE5vdGU+PENpdGU+PEF1dGhvcj5NYTwvQXV0aG9yPjxZZWFyPjE5OTk8L1llYXI+PFJlY051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</w:fldData>
        </w:fldChar>
      </w:r>
      <w:r w:rsidR="005D784A">
        <w:rPr>
          <w:rFonts w:ascii="Arial" w:hAnsi="Arial" w:cs="Calibri"/>
          <w:bCs/>
          <w:color w:val="000000"/>
        </w:rPr>
        <w:instrText xml:space="preserve"> ADDIN EN.CITE.DATA </w:instrText>
      </w:r>
      <w:r w:rsidR="005D784A">
        <w:rPr>
          <w:rFonts w:ascii="Arial" w:hAnsi="Arial" w:cs="Calibri"/>
          <w:bCs/>
          <w:color w:val="000000"/>
        </w:rPr>
      </w:r>
      <w:r w:rsidR="005D784A">
        <w:rPr>
          <w:rFonts w:ascii="Arial" w:hAnsi="Arial" w:cs="Calibri"/>
          <w:bCs/>
          <w:color w:val="000000"/>
        </w:rPr>
        <w:fldChar w:fldCharType="end"/>
      </w:r>
      <w:r w:rsidR="005D784A">
        <w:rPr>
          <w:rFonts w:ascii="Arial" w:hAnsi="Arial" w:cs="Calibri"/>
          <w:bCs/>
          <w:color w:val="000000"/>
        </w:rPr>
      </w:r>
      <w:r w:rsidR="005D784A">
        <w:rPr>
          <w:rFonts w:ascii="Arial" w:hAnsi="Arial" w:cs="Calibri"/>
          <w:bCs/>
          <w:color w:val="000000"/>
        </w:rPr>
        <w:fldChar w:fldCharType="separate"/>
      </w:r>
      <w:r w:rsidR="005D784A">
        <w:rPr>
          <w:rFonts w:ascii="Arial" w:hAnsi="Arial" w:cs="Calibri"/>
          <w:bCs/>
          <w:noProof/>
          <w:color w:val="000000"/>
        </w:rPr>
        <w:t>(Ma et al., 1999, Hagino et al., 2001, Li et al., 2003, Kim et al., 2003)</w:t>
      </w:r>
      <w:r w:rsidR="005D784A">
        <w:rPr>
          <w:rFonts w:ascii="Arial" w:hAnsi="Arial" w:cs="Calibri"/>
          <w:bCs/>
          <w:color w:val="000000"/>
        </w:rPr>
        <w:fldChar w:fldCharType="end"/>
      </w:r>
      <w:r w:rsidR="005D784A">
        <w:rPr>
          <w:rFonts w:ascii="Arial" w:hAnsi="Arial" w:cs="Calibri"/>
          <w:bCs/>
          <w:color w:val="000000"/>
        </w:rPr>
        <w:t xml:space="preserve">. </w:t>
      </w:r>
      <w:r w:rsidR="00AA0D89">
        <w:rPr>
          <w:rFonts w:ascii="Arial" w:hAnsi="Arial" w:cs="Calibri"/>
          <w:bCs/>
          <w:color w:val="000000"/>
        </w:rPr>
        <w:t xml:space="preserve">A study by Sugiyama et al. </w:t>
      </w:r>
      <w:r w:rsidRPr="00993DE7">
        <w:rPr>
          <w:rFonts w:ascii="Arial" w:hAnsi="Arial" w:cs="Calibri"/>
          <w:bCs/>
          <w:color w:val="000000"/>
        </w:rPr>
        <w:t xml:space="preserve">assessed separate and combined effects of iPTH (1-34) and mechanical loading and </w:t>
      </w:r>
      <w:r>
        <w:rPr>
          <w:rFonts w:ascii="Arial" w:hAnsi="Arial" w:cs="Calibri"/>
          <w:bCs/>
          <w:color w:val="000000"/>
        </w:rPr>
        <w:t>showed</w:t>
      </w:r>
      <w:r w:rsidRPr="00993DE7">
        <w:rPr>
          <w:rFonts w:ascii="Arial" w:hAnsi="Arial" w:cs="Calibri"/>
          <w:bCs/>
          <w:color w:val="000000"/>
        </w:rPr>
        <w:t xml:space="preserve"> that treatment with iPTH enhanced mechanical loading effects, particularly ineffective loading to induce osteogenic response in tibiae and ulnae of C57BL/6 female mice</w:t>
      </w:r>
      <w:r w:rsidR="00AA0D89">
        <w:rPr>
          <w:rFonts w:ascii="Arial" w:hAnsi="Arial" w:cs="Calibri"/>
          <w:bCs/>
          <w:color w:val="000000"/>
        </w:rPr>
        <w:t xml:space="preserve"> </w:t>
      </w:r>
      <w:r w:rsidR="005D784A">
        <w:rPr>
          <w:rFonts w:ascii="Arial" w:hAnsi="Arial" w:cs="Calibri"/>
          <w:bCs/>
          <w:color w:val="000000"/>
        </w:rPr>
        <w:fldChar w:fldCharType="begin"/>
      </w:r>
      <w:r w:rsidR="005D784A">
        <w:rPr>
          <w:rFonts w:ascii="Arial" w:hAnsi="Arial" w:cs="Calibri"/>
          <w:bCs/>
          <w:color w:val="000000"/>
        </w:rPr>
        <w:instrText xml:space="preserve"> ADDIN EN.CITE &lt;EndNote&gt;&lt;Cite&gt;&lt;Author&gt;Sugiyama&lt;/Author&gt;&lt;Year&gt;2008&lt;/Year&gt;&lt;RecNum&gt;9&lt;/RecNum&gt;&lt;DisplayText&gt;(Sugiyama et al., 2008)&lt;/DisplayText&gt;&lt;record&gt;&lt;rec-number&gt;9&lt;/rec-number&gt;&lt;foreign-keys&gt;&lt;key app="EN" db-id="ae9rewfrpdttrheppfxxv0p4950wpd25r09x" timestamp="1520657399"&gt;9&lt;/key&gt;&lt;key app="ENWeb" db-id=""&gt;0&lt;/key&gt;&lt;/foreign-keys&gt;&lt;ref-type name="Journal Article"&gt;17&lt;/ref-type&gt;&lt;contributors&gt;&lt;authors&gt;&lt;author&gt;Sugiyama, Toshihiro&lt;/author&gt;&lt;author&gt;Saxon, Leanne K.&lt;/author&gt;&lt;author&gt;Zaman, Gul&lt;/author&gt;&lt;author&gt;Moustafa, Alaa&lt;/author&gt;&lt;author&gt;Sunters, Andrew&lt;/author&gt;&lt;author&gt;Price, Joanna S.&lt;/author&gt;&lt;author&gt;Lanyon, Lance E.&lt;/author&gt;&lt;/authors&gt;&lt;/contributors&gt;&lt;titles&gt;&lt;title&gt;Mechanical loading enhances the anabolic effects of intermittent parathyroid hormone (1–34) on trabecular and cortical bone in mice&lt;/title&gt;&lt;secondary-title&gt;Bone&lt;/secondary-title&gt;&lt;/titles&gt;&lt;periodical&gt;&lt;full-title&gt;Bone&lt;/full-title&gt;&lt;/periodical&gt;&lt;pages&gt;238-248&lt;/pages&gt;&lt;volume&gt;43&lt;/volume&gt;&lt;number&gt;2&lt;/number&gt;&lt;keywords&gt;&lt;keyword&gt;Mechanical loading&lt;/keyword&gt;&lt;keyword&gt;Adaptation&lt;/keyword&gt;&lt;keyword&gt;Parathyroid hormone&lt;/keyword&gt;&lt;keyword&gt;Mouse&lt;/keyword&gt;&lt;keyword&gt;Micro-computed tomography&lt;/keyword&gt;&lt;/keywords&gt;&lt;dates&gt;&lt;year&gt;2008&lt;/year&gt;&lt;/dates&gt;&lt;isbn&gt;8756-3282&lt;/isbn&gt;&lt;urls&gt;&lt;/urls&gt;&lt;electronic-resource-num&gt;10.1016/j.bone.2008.04.012&lt;/electronic-resource-num&gt;&lt;/record&gt;&lt;/Cite&gt;&lt;/EndNote&gt;</w:instrText>
      </w:r>
      <w:r w:rsidR="005D784A">
        <w:rPr>
          <w:rFonts w:ascii="Arial" w:hAnsi="Arial" w:cs="Calibri"/>
          <w:bCs/>
          <w:color w:val="000000"/>
        </w:rPr>
        <w:fldChar w:fldCharType="separate"/>
      </w:r>
      <w:r w:rsidR="005D784A">
        <w:rPr>
          <w:rFonts w:ascii="Arial" w:hAnsi="Arial" w:cs="Calibri"/>
          <w:bCs/>
          <w:noProof/>
          <w:color w:val="000000"/>
        </w:rPr>
        <w:t>(Sugiyama et al., 2008)</w:t>
      </w:r>
      <w:r w:rsidR="005D784A">
        <w:rPr>
          <w:rFonts w:ascii="Arial" w:hAnsi="Arial" w:cs="Calibri"/>
          <w:bCs/>
          <w:color w:val="000000"/>
        </w:rPr>
        <w:fldChar w:fldCharType="end"/>
      </w:r>
      <w:r w:rsidRPr="00993DE7">
        <w:rPr>
          <w:rFonts w:ascii="Arial" w:hAnsi="Arial" w:cs="Calibri"/>
          <w:bCs/>
          <w:color w:val="000000"/>
        </w:rPr>
        <w:t>.</w:t>
      </w:r>
      <w:r>
        <w:rPr>
          <w:rFonts w:ascii="Arial" w:hAnsi="Arial" w:cs="Calibri"/>
          <w:bCs/>
          <w:color w:val="000000"/>
        </w:rPr>
        <w:t xml:space="preserve"> </w:t>
      </w:r>
      <w:r>
        <w:rPr>
          <w:rFonts w:ascii="Arial" w:hAnsi="Arial" w:cs="Arial"/>
        </w:rPr>
        <w:t>The</w:t>
      </w:r>
      <w:r w:rsidR="003036D1">
        <w:rPr>
          <w:rFonts w:ascii="Arial" w:hAnsi="Arial" w:cs="Arial"/>
        </w:rPr>
        <w:t>refore, u</w:t>
      </w:r>
      <w:r w:rsidR="003036D1">
        <w:rPr>
          <w:rFonts w:ascii="Arial" w:hAnsi="Arial" w:cs="Arial"/>
          <w:noProof/>
          <w:color w:val="000000" w:themeColor="text1"/>
        </w:rPr>
        <w:t xml:space="preserve">nderstanding multifaceted synergies between timing of feeding, </w:t>
      </w:r>
      <w:r w:rsidR="003036D1" w:rsidRPr="00945BFB">
        <w:rPr>
          <w:rFonts w:ascii="Arial" w:hAnsi="Arial"/>
          <w:bCs/>
        </w:rPr>
        <w:t xml:space="preserve">altered concentrations of metabolic hormones </w:t>
      </w:r>
      <w:r w:rsidR="003036D1">
        <w:rPr>
          <w:rFonts w:ascii="Arial" w:hAnsi="Arial"/>
          <w:bCs/>
        </w:rPr>
        <w:t>with potent regulatory effects on bone physiology during fasted or fed states and</w:t>
      </w:r>
      <w:r w:rsidR="003036D1" w:rsidRPr="00945BFB">
        <w:rPr>
          <w:rFonts w:ascii="Arial" w:hAnsi="Arial"/>
          <w:bCs/>
        </w:rPr>
        <w:t xml:space="preserve"> bone’s osteogenic adaptive response to mechanical loading</w:t>
      </w:r>
      <w:r w:rsidR="003036D1">
        <w:rPr>
          <w:rFonts w:ascii="Arial" w:hAnsi="Arial"/>
          <w:bCs/>
        </w:rPr>
        <w:t xml:space="preserve"> could provide benefits for people to build a healthy skele</w:t>
      </w:r>
      <w:r w:rsidR="002D0441">
        <w:rPr>
          <w:rFonts w:ascii="Arial" w:hAnsi="Arial"/>
          <w:bCs/>
        </w:rPr>
        <w:t>ton throughout life-</w:t>
      </w:r>
      <w:r w:rsidR="003036D1">
        <w:rPr>
          <w:rFonts w:ascii="Arial" w:hAnsi="Arial"/>
          <w:bCs/>
        </w:rPr>
        <w:t>course or more acutely in older age</w:t>
      </w:r>
      <w:r w:rsidR="003036D1" w:rsidRPr="00945BFB">
        <w:rPr>
          <w:rFonts w:ascii="Arial" w:hAnsi="Arial"/>
          <w:bCs/>
        </w:rPr>
        <w:t>.</w:t>
      </w:r>
    </w:p>
    <w:p w14:paraId="42FBAE75" w14:textId="77777777" w:rsidR="00761039" w:rsidRDefault="00761039" w:rsidP="003036D1">
      <w:pPr>
        <w:spacing w:line="480" w:lineRule="auto"/>
        <w:jc w:val="both"/>
        <w:rPr>
          <w:rFonts w:ascii="Arial" w:hAnsi="Arial"/>
          <w:bCs/>
        </w:rPr>
      </w:pPr>
    </w:p>
    <w:p w14:paraId="4C60A1DC" w14:textId="77777777" w:rsidR="00761039" w:rsidRDefault="00761039" w:rsidP="00761039">
      <w:pPr>
        <w:spacing w:line="480" w:lineRule="auto"/>
        <w:jc w:val="both"/>
        <w:rPr>
          <w:rFonts w:ascii="Arial" w:hAnsi="Arial" w:cs="Arial"/>
          <w:noProof/>
          <w:color w:val="000000" w:themeColor="text1"/>
        </w:rPr>
      </w:pPr>
      <w:r>
        <w:rPr>
          <w:rFonts w:ascii="Arial" w:hAnsi="Arial" w:cs="Arial"/>
          <w:noProof/>
          <w:color w:val="000000" w:themeColor="text1"/>
        </w:rPr>
        <w:lastRenderedPageBreak/>
        <w:t xml:space="preserve">Consistent with findings in </w:t>
      </w:r>
      <w:r w:rsidR="00794083">
        <w:rPr>
          <w:rFonts w:ascii="Arial" w:hAnsi="Arial" w:cs="Arial"/>
          <w:noProof/>
          <w:color w:val="000000" w:themeColor="text1"/>
        </w:rPr>
        <w:t>the previous study discussed in</w:t>
      </w:r>
      <w:r w:rsidR="002D0441">
        <w:rPr>
          <w:rFonts w:ascii="Arial" w:hAnsi="Arial" w:cs="Arial"/>
          <w:noProof/>
          <w:color w:val="000000" w:themeColor="text1"/>
        </w:rPr>
        <w:t xml:space="preserve"> </w:t>
      </w:r>
      <w:r>
        <w:rPr>
          <w:rFonts w:ascii="Arial" w:hAnsi="Arial" w:cs="Arial"/>
          <w:noProof/>
          <w:color w:val="000000" w:themeColor="text1"/>
        </w:rPr>
        <w:t>Chapter 4, f</w:t>
      </w:r>
      <w:r w:rsidRPr="0006548E">
        <w:rPr>
          <w:rFonts w:ascii="Arial" w:hAnsi="Arial" w:cs="Arial"/>
          <w:noProof/>
          <w:color w:val="000000" w:themeColor="text1"/>
        </w:rPr>
        <w:t xml:space="preserve">ood </w:t>
      </w:r>
      <w:r>
        <w:rPr>
          <w:rFonts w:ascii="Arial" w:hAnsi="Arial" w:cs="Arial"/>
          <w:noProof/>
          <w:color w:val="000000" w:themeColor="text1"/>
        </w:rPr>
        <w:t>ingestion</w:t>
      </w:r>
      <w:r w:rsidRPr="0006548E">
        <w:rPr>
          <w:rFonts w:ascii="Arial" w:hAnsi="Arial" w:cs="Arial"/>
          <w:noProof/>
          <w:color w:val="000000" w:themeColor="text1"/>
        </w:rPr>
        <w:t xml:space="preserve"> did not affect trabecular bone response to </w:t>
      </w:r>
      <w:r>
        <w:rPr>
          <w:rFonts w:ascii="Arial" w:hAnsi="Arial" w:cs="Arial"/>
          <w:noProof/>
          <w:color w:val="000000" w:themeColor="text1"/>
        </w:rPr>
        <w:t xml:space="preserve">sub-theshold </w:t>
      </w:r>
      <w:r w:rsidRPr="0006548E">
        <w:rPr>
          <w:rFonts w:ascii="Arial" w:hAnsi="Arial" w:cs="Arial"/>
          <w:noProof/>
          <w:color w:val="000000" w:themeColor="text1"/>
        </w:rPr>
        <w:t>loading</w:t>
      </w:r>
      <w:r>
        <w:rPr>
          <w:rFonts w:ascii="Arial" w:hAnsi="Arial" w:cs="Arial"/>
          <w:noProof/>
          <w:color w:val="000000" w:themeColor="text1"/>
        </w:rPr>
        <w:t xml:space="preserve"> in young male mice. It did not induce significant changes in trabecular bone architecture including four trabecular bone parameters measured at the tibial proximal site within and between the groups. </w:t>
      </w:r>
    </w:p>
    <w:p w14:paraId="322E4938" w14:textId="77777777" w:rsidR="0022329B" w:rsidRPr="00364E72" w:rsidRDefault="0022329B" w:rsidP="00364E72">
      <w:pPr>
        <w:pStyle w:val="Heading3"/>
        <w:spacing w:line="480" w:lineRule="auto"/>
        <w:jc w:val="both"/>
        <w:rPr>
          <w:rFonts w:ascii="Arial" w:hAnsi="Arial"/>
          <w:color w:val="auto"/>
        </w:rPr>
      </w:pPr>
      <w:bookmarkStart w:id="137" w:name="_Toc383723914"/>
      <w:r w:rsidRPr="00364E72">
        <w:rPr>
          <w:rFonts w:ascii="Arial" w:hAnsi="Arial"/>
          <w:color w:val="auto"/>
        </w:rPr>
        <w:t xml:space="preserve">5.3.2 </w:t>
      </w:r>
      <w:r w:rsidR="001433EE">
        <w:rPr>
          <w:rFonts w:ascii="Arial" w:hAnsi="Arial"/>
          <w:color w:val="auto"/>
        </w:rPr>
        <w:t>The effect of food ingestion for 2 hours following overnight fast on b</w:t>
      </w:r>
      <w:r w:rsidRPr="00364E72">
        <w:rPr>
          <w:rFonts w:ascii="Arial" w:hAnsi="Arial"/>
          <w:color w:val="auto"/>
        </w:rPr>
        <w:t>one’s response to submaximal mechanical loading in young male mice</w:t>
      </w:r>
      <w:bookmarkEnd w:id="137"/>
    </w:p>
    <w:p w14:paraId="34BBAA15" w14:textId="77777777" w:rsidR="0022329B" w:rsidRDefault="0022329B" w:rsidP="0022329B">
      <w:pPr>
        <w:spacing w:line="480" w:lineRule="auto"/>
        <w:jc w:val="both"/>
        <w:rPr>
          <w:rFonts w:ascii="Arial" w:hAnsi="Arial"/>
          <w:bCs/>
        </w:rPr>
      </w:pPr>
      <w:r>
        <w:rPr>
          <w:rFonts w:ascii="Arial" w:hAnsi="Arial" w:cs="Arial"/>
          <w:bCs/>
        </w:rPr>
        <w:t>In this experiment we used suboptimal dose of mechanical loading with 11</w:t>
      </w:r>
      <w:r w:rsidR="00977AEA">
        <w:rPr>
          <w:rFonts w:ascii="Arial" w:hAnsi="Arial" w:cs="Arial"/>
          <w:bCs/>
        </w:rPr>
        <w:t>N peak force in order to explore</w:t>
      </w:r>
      <w:r>
        <w:rPr>
          <w:rFonts w:ascii="Arial" w:hAnsi="Arial" w:cs="Arial"/>
          <w:bCs/>
        </w:rPr>
        <w:t xml:space="preserve"> whether timing of food ingestion and ultimately altered concentrations of metabolic hormones affect bone’s response to submaximal loading regimen in young 17-week-old male mice. Increasing the strain stimulus and level of the intensity of mechanical loading to submaximal, has led to significantly increased cortical bone adaptive response in both </w:t>
      </w:r>
      <w:r w:rsidR="003A5030">
        <w:rPr>
          <w:rFonts w:ascii="Arial" w:hAnsi="Arial" w:cs="Arial"/>
          <w:bCs/>
        </w:rPr>
        <w:t xml:space="preserve">ad-lib fed and </w:t>
      </w:r>
      <w:r>
        <w:rPr>
          <w:rFonts w:ascii="Arial" w:hAnsi="Arial" w:cs="Arial"/>
          <w:bCs/>
        </w:rPr>
        <w:t>fasted 2-ho</w:t>
      </w:r>
      <w:r w:rsidR="003A5030">
        <w:rPr>
          <w:rFonts w:ascii="Arial" w:hAnsi="Arial" w:cs="Arial"/>
          <w:bCs/>
        </w:rPr>
        <w:t xml:space="preserve">ur fed </w:t>
      </w:r>
      <w:r>
        <w:rPr>
          <w:rFonts w:ascii="Arial" w:hAnsi="Arial" w:cs="Arial"/>
          <w:bCs/>
        </w:rPr>
        <w:t xml:space="preserve">mice. However, the magnitude of the response of Ct.Th in the </w:t>
      </w:r>
      <w:r w:rsidR="00FD1190">
        <w:rPr>
          <w:rFonts w:ascii="Arial" w:hAnsi="Arial" w:cs="Arial"/>
          <w:bCs/>
        </w:rPr>
        <w:t>loaded right tibiae of fasted 2-hour</w:t>
      </w:r>
      <w:r>
        <w:rPr>
          <w:rFonts w:ascii="Arial" w:hAnsi="Arial" w:cs="Arial"/>
          <w:bCs/>
        </w:rPr>
        <w:t xml:space="preserve"> fed mice wa</w:t>
      </w:r>
      <w:r w:rsidR="00FD1190">
        <w:rPr>
          <w:rFonts w:ascii="Arial" w:hAnsi="Arial" w:cs="Arial"/>
          <w:bCs/>
        </w:rPr>
        <w:t>s considerably higher compared with</w:t>
      </w:r>
      <w:r>
        <w:rPr>
          <w:rFonts w:ascii="Arial" w:hAnsi="Arial" w:cs="Arial"/>
          <w:bCs/>
        </w:rPr>
        <w:t xml:space="preserve"> that of ad-lib fed mice. </w:t>
      </w:r>
      <w:r>
        <w:rPr>
          <w:rFonts w:ascii="Arial" w:hAnsi="Arial"/>
          <w:bCs/>
        </w:rPr>
        <w:t>We did not observe significant changes in other analysed cortical bone parameters including Ct.Ar, Tt.Ar and Ma.Ar at the mid-shaft of tibiae within and between fasted fed and ad-lib fed mice</w:t>
      </w:r>
      <w:r w:rsidR="00727385">
        <w:rPr>
          <w:rFonts w:ascii="Arial" w:hAnsi="Arial"/>
          <w:bCs/>
        </w:rPr>
        <w:t xml:space="preserve"> (Figure 42)</w:t>
      </w:r>
      <w:r>
        <w:rPr>
          <w:rFonts w:ascii="Arial" w:hAnsi="Arial"/>
          <w:bCs/>
        </w:rPr>
        <w:t xml:space="preserve">. </w:t>
      </w:r>
    </w:p>
    <w:p w14:paraId="1E78BF13" w14:textId="77777777" w:rsidR="0022329B" w:rsidRDefault="0022329B" w:rsidP="0022329B">
      <w:pPr>
        <w:rPr>
          <w:rFonts w:ascii="Arial" w:hAnsi="Arial"/>
          <w:bCs/>
        </w:rPr>
      </w:pPr>
    </w:p>
    <w:p w14:paraId="1946EE68" w14:textId="77777777" w:rsidR="0022329B" w:rsidRDefault="0022329B" w:rsidP="0022329B">
      <w:pPr>
        <w:spacing w:line="480" w:lineRule="auto"/>
        <w:jc w:val="both"/>
        <w:rPr>
          <w:rFonts w:ascii="Arial" w:hAnsi="Arial"/>
          <w:bCs/>
        </w:rPr>
      </w:pPr>
      <w:r>
        <w:rPr>
          <w:rFonts w:ascii="Arial" w:hAnsi="Arial"/>
          <w:bCs/>
        </w:rPr>
        <w:t xml:space="preserve">Trabecular BV/TV analysed by </w:t>
      </w:r>
      <w:r w:rsidRPr="000F0037">
        <w:rPr>
          <w:rFonts w:ascii="Arial" w:hAnsi="Arial" w:cs="Arial"/>
          <w:color w:val="000000" w:themeColor="text1"/>
        </w:rPr>
        <w:sym w:font="Symbol" w:char="F06D"/>
      </w:r>
      <w:r>
        <w:rPr>
          <w:rFonts w:ascii="Arial" w:hAnsi="Arial"/>
          <w:bCs/>
        </w:rPr>
        <w:t>CT at the proximal site of the tibiae significantly increased in both fasted 2-hour fed and ad-lib fed mice due to increase mainly in trabecular thickness and number in the loaded right tibiae compared to the left non-loaded tibiae, although increase in Tb.N did not reach significance. Tb.Pf significantly decreased in both fasted 2-hour fed and ad-lib fed mice, however, the change in trabecular bone architecture including increased connectivity between the trabeculae was grea</w:t>
      </w:r>
      <w:r w:rsidR="00DD153E">
        <w:rPr>
          <w:rFonts w:ascii="Arial" w:hAnsi="Arial"/>
          <w:bCs/>
        </w:rPr>
        <w:t>ter in fasted fed mice (Figure 43</w:t>
      </w:r>
      <w:r>
        <w:rPr>
          <w:rFonts w:ascii="Arial" w:hAnsi="Arial"/>
          <w:bCs/>
        </w:rPr>
        <w:t xml:space="preserve">). </w:t>
      </w:r>
      <w:r w:rsidR="00DA5756">
        <w:rPr>
          <w:rFonts w:ascii="Arial" w:hAnsi="Arial"/>
          <w:bCs/>
        </w:rPr>
        <w:t>Although there were</w:t>
      </w:r>
      <w:r>
        <w:rPr>
          <w:rFonts w:ascii="Arial" w:hAnsi="Arial"/>
          <w:bCs/>
        </w:rPr>
        <w:t xml:space="preserve"> increased load-related response</w:t>
      </w:r>
      <w:r w:rsidR="00DA5756">
        <w:rPr>
          <w:rFonts w:ascii="Arial" w:hAnsi="Arial"/>
          <w:bCs/>
        </w:rPr>
        <w:t>s</w:t>
      </w:r>
      <w:r>
        <w:rPr>
          <w:rFonts w:ascii="Arial" w:hAnsi="Arial"/>
          <w:bCs/>
        </w:rPr>
        <w:t xml:space="preserve"> of </w:t>
      </w:r>
      <w:r w:rsidR="00DA5756">
        <w:rPr>
          <w:rFonts w:ascii="Arial" w:hAnsi="Arial"/>
          <w:bCs/>
        </w:rPr>
        <w:t xml:space="preserve">some measured </w:t>
      </w:r>
      <w:r>
        <w:rPr>
          <w:rFonts w:ascii="Arial" w:hAnsi="Arial"/>
          <w:bCs/>
        </w:rPr>
        <w:t>tibial trabecular bone</w:t>
      </w:r>
      <w:r w:rsidR="00DA5756">
        <w:rPr>
          <w:rFonts w:ascii="Arial" w:hAnsi="Arial"/>
          <w:bCs/>
        </w:rPr>
        <w:t xml:space="preserve"> parameters</w:t>
      </w:r>
      <w:r>
        <w:rPr>
          <w:rFonts w:ascii="Arial" w:hAnsi="Arial"/>
          <w:bCs/>
        </w:rPr>
        <w:t xml:space="preserve"> in fasted 2-hour fed mice compared to that of the fed </w:t>
      </w:r>
      <w:r>
        <w:rPr>
          <w:rFonts w:ascii="Arial" w:hAnsi="Arial"/>
          <w:bCs/>
        </w:rPr>
        <w:lastRenderedPageBreak/>
        <w:t>mice, there were no significant differences in any trabecular bone parameters of loaded tibiae between the experimental groups.</w:t>
      </w:r>
    </w:p>
    <w:p w14:paraId="5134CF97" w14:textId="77777777" w:rsidR="00761039" w:rsidRPr="007642C7" w:rsidRDefault="00761039" w:rsidP="0022329B">
      <w:pPr>
        <w:spacing w:line="480" w:lineRule="auto"/>
        <w:jc w:val="both"/>
        <w:rPr>
          <w:rFonts w:ascii="Arial" w:hAnsi="Arial"/>
          <w:bCs/>
        </w:rPr>
      </w:pPr>
    </w:p>
    <w:p w14:paraId="720CBC74" w14:textId="77777777" w:rsidR="0022329B" w:rsidRPr="00AF5CB8" w:rsidRDefault="0022329B" w:rsidP="0022329B">
      <w:pPr>
        <w:spacing w:line="480" w:lineRule="auto"/>
        <w:jc w:val="both"/>
        <w:rPr>
          <w:rFonts w:ascii="Arial" w:hAnsi="Arial" w:cs="Arial"/>
          <w:noProof/>
          <w:color w:val="000000" w:themeColor="text1"/>
        </w:rPr>
      </w:pPr>
      <w:r>
        <w:rPr>
          <w:rFonts w:ascii="Arial" w:hAnsi="Arial"/>
          <w:bCs/>
        </w:rPr>
        <w:t xml:space="preserve">Food ingestion for 2 hours following overnight fast </w:t>
      </w:r>
      <w:r w:rsidRPr="00945BFB">
        <w:rPr>
          <w:rFonts w:ascii="Arial" w:hAnsi="Arial"/>
          <w:bCs/>
        </w:rPr>
        <w:t>potentiate</w:t>
      </w:r>
      <w:r>
        <w:rPr>
          <w:rFonts w:ascii="Arial" w:hAnsi="Arial"/>
          <w:bCs/>
        </w:rPr>
        <w:t>d</w:t>
      </w:r>
      <w:r w:rsidRPr="00945BFB">
        <w:rPr>
          <w:rFonts w:ascii="Arial" w:hAnsi="Arial"/>
          <w:bCs/>
        </w:rPr>
        <w:t xml:space="preserve"> </w:t>
      </w:r>
      <w:r>
        <w:rPr>
          <w:rFonts w:ascii="Arial" w:hAnsi="Arial"/>
          <w:bCs/>
        </w:rPr>
        <w:t>the response of bones to low intensity</w:t>
      </w:r>
      <w:r w:rsidRPr="00945BFB">
        <w:rPr>
          <w:rFonts w:ascii="Arial" w:hAnsi="Arial"/>
          <w:bCs/>
        </w:rPr>
        <w:t xml:space="preserve"> loading in </w:t>
      </w:r>
      <w:r>
        <w:rPr>
          <w:rFonts w:ascii="Arial" w:hAnsi="Arial"/>
          <w:bCs/>
        </w:rPr>
        <w:t>young male mice.</w:t>
      </w:r>
      <w:r w:rsidRPr="009E6FFF">
        <w:rPr>
          <w:rFonts w:ascii="Arial" w:hAnsi="Arial" w:cs="Arial"/>
          <w:noProof/>
          <w:color w:val="000000" w:themeColor="text1"/>
        </w:rPr>
        <w:t xml:space="preserve"> </w:t>
      </w:r>
      <w:r w:rsidRPr="005310D4">
        <w:rPr>
          <w:rFonts w:ascii="Arial" w:hAnsi="Arial" w:cs="Arial"/>
        </w:rPr>
        <w:t xml:space="preserve">Dynamic </w:t>
      </w:r>
      <w:r>
        <w:rPr>
          <w:rFonts w:ascii="Arial" w:hAnsi="Arial" w:cs="Arial"/>
        </w:rPr>
        <w:t xml:space="preserve">histomorphometric assessment in future will allow </w:t>
      </w:r>
      <w:proofErr w:type="gramStart"/>
      <w:r>
        <w:rPr>
          <w:rFonts w:ascii="Arial" w:hAnsi="Arial" w:cs="Arial"/>
        </w:rPr>
        <w:t>to confirm</w:t>
      </w:r>
      <w:proofErr w:type="gramEnd"/>
      <w:r>
        <w:rPr>
          <w:rFonts w:ascii="Arial" w:hAnsi="Arial" w:cs="Arial"/>
        </w:rPr>
        <w:t xml:space="preserve"> the responses of cortical and trabecular bone observed by </w:t>
      </w:r>
      <w:r w:rsidRPr="000F0037">
        <w:rPr>
          <w:rFonts w:ascii="Arial" w:hAnsi="Arial" w:cs="Arial"/>
          <w:color w:val="000000" w:themeColor="text1"/>
        </w:rPr>
        <w:sym w:font="Symbol" w:char="F06D"/>
      </w:r>
      <w:r>
        <w:rPr>
          <w:rFonts w:ascii="Arial" w:hAnsi="Arial"/>
          <w:bCs/>
        </w:rPr>
        <w:t>CT analysis.</w:t>
      </w:r>
      <w:r>
        <w:rPr>
          <w:rFonts w:ascii="Arial" w:hAnsi="Arial" w:cs="Arial"/>
        </w:rPr>
        <w:t xml:space="preserve"> </w:t>
      </w:r>
      <w:r>
        <w:rPr>
          <w:rFonts w:ascii="Arial" w:hAnsi="Arial" w:cs="Arial"/>
          <w:noProof/>
          <w:color w:val="000000" w:themeColor="text1"/>
        </w:rPr>
        <w:t xml:space="preserve">These studies were conducted exclusively in male mice, in future studies the effect of timing of feeding on bone’s adaptive response in female mice would also be determined, since as discussed in the previous chapter bone’s response to loading is gender specific. Additionally, in collaboration with </w:t>
      </w:r>
      <w:r w:rsidR="00D46B7A">
        <w:rPr>
          <w:rFonts w:ascii="Arial" w:hAnsi="Arial" w:cs="Arial"/>
          <w:noProof/>
          <w:color w:val="000000" w:themeColor="text1"/>
        </w:rPr>
        <w:t xml:space="preserve">the </w:t>
      </w:r>
      <w:r>
        <w:rPr>
          <w:rFonts w:ascii="Arial" w:hAnsi="Arial" w:cs="Arial"/>
          <w:noProof/>
          <w:color w:val="000000" w:themeColor="text1"/>
        </w:rPr>
        <w:t xml:space="preserve">INSIGNEO Institute for </w:t>
      </w:r>
      <w:r w:rsidRPr="004E1B11">
        <w:rPr>
          <w:rFonts w:ascii="Arial" w:hAnsi="Arial" w:cs="Arial"/>
          <w:i/>
          <w:noProof/>
          <w:color w:val="000000" w:themeColor="text1"/>
        </w:rPr>
        <w:t>in silico</w:t>
      </w:r>
      <w:r>
        <w:rPr>
          <w:rFonts w:ascii="Arial" w:hAnsi="Arial" w:cs="Arial"/>
          <w:noProof/>
          <w:color w:val="000000" w:themeColor="text1"/>
        </w:rPr>
        <w:t xml:space="preserve"> Medicin</w:t>
      </w:r>
      <w:r w:rsidR="00D46B7A">
        <w:rPr>
          <w:rFonts w:ascii="Arial" w:hAnsi="Arial" w:cs="Arial"/>
          <w:noProof/>
          <w:color w:val="000000" w:themeColor="text1"/>
        </w:rPr>
        <w:t>e, The University of Sheffield finite e</w:t>
      </w:r>
      <w:r>
        <w:rPr>
          <w:rFonts w:ascii="Arial" w:hAnsi="Arial" w:cs="Arial"/>
          <w:noProof/>
          <w:color w:val="000000" w:themeColor="text1"/>
        </w:rPr>
        <w:t xml:space="preserve">lement (FE) models and the stifness and strength of the whole bones, scanned at high resolution using </w:t>
      </w:r>
      <w:r w:rsidRPr="000F0037">
        <w:rPr>
          <w:rFonts w:ascii="Arial" w:hAnsi="Arial" w:cs="Arial"/>
          <w:color w:val="000000" w:themeColor="text1"/>
        </w:rPr>
        <w:sym w:font="Symbol" w:char="F06D"/>
      </w:r>
      <w:r>
        <w:rPr>
          <w:rFonts w:ascii="Arial" w:hAnsi="Arial" w:cs="Arial"/>
          <w:noProof/>
          <w:color w:val="000000" w:themeColor="text1"/>
        </w:rPr>
        <w:t xml:space="preserve">CT, will be estimated. In the next chapter we explored whether cortical </w:t>
      </w:r>
      <w:r w:rsidR="00D46B7A">
        <w:rPr>
          <w:rFonts w:ascii="Arial" w:hAnsi="Arial" w:cs="Arial"/>
          <w:noProof/>
          <w:color w:val="000000" w:themeColor="text1"/>
        </w:rPr>
        <w:t xml:space="preserve">and trabecular </w:t>
      </w:r>
      <w:r>
        <w:rPr>
          <w:rFonts w:ascii="Arial" w:hAnsi="Arial" w:cs="Arial"/>
          <w:noProof/>
          <w:color w:val="000000" w:themeColor="text1"/>
        </w:rPr>
        <w:t xml:space="preserve">bone responses were modified with ageing and how the timing of food ingestion affected bone’s osteogenic response to mechanical loading in aged mice.  </w:t>
      </w:r>
    </w:p>
    <w:p w14:paraId="6DA69DDB" w14:textId="77777777" w:rsidR="00761039" w:rsidRDefault="00761039" w:rsidP="00D40E59">
      <w:pPr>
        <w:pStyle w:val="Heading2"/>
      </w:pPr>
    </w:p>
    <w:p w14:paraId="2C02D42B" w14:textId="77777777" w:rsidR="00761039" w:rsidRDefault="00761039" w:rsidP="00D40E59">
      <w:pPr>
        <w:pStyle w:val="Heading2"/>
      </w:pPr>
    </w:p>
    <w:p w14:paraId="039247F9" w14:textId="77777777" w:rsidR="00761039" w:rsidRDefault="00761039" w:rsidP="00D40E59">
      <w:pPr>
        <w:pStyle w:val="Heading2"/>
      </w:pPr>
    </w:p>
    <w:p w14:paraId="1DDFC079" w14:textId="77777777" w:rsidR="00761039" w:rsidRDefault="00761039" w:rsidP="00D40E59">
      <w:pPr>
        <w:pStyle w:val="Heading2"/>
      </w:pPr>
    </w:p>
    <w:p w14:paraId="2BE7B175" w14:textId="77777777" w:rsidR="00761039" w:rsidRDefault="00761039" w:rsidP="00D40E59">
      <w:pPr>
        <w:pStyle w:val="Heading2"/>
      </w:pPr>
    </w:p>
    <w:p w14:paraId="728FA4A0" w14:textId="77777777" w:rsidR="00761039" w:rsidRDefault="00761039" w:rsidP="00761039"/>
    <w:p w14:paraId="0BAB8723" w14:textId="77777777" w:rsidR="00761039" w:rsidRDefault="00761039" w:rsidP="00761039"/>
    <w:p w14:paraId="4E6C0AAD" w14:textId="77777777" w:rsidR="00761039" w:rsidRDefault="00761039" w:rsidP="00761039"/>
    <w:p w14:paraId="21E27B32" w14:textId="77777777" w:rsidR="00761039" w:rsidRPr="00761039" w:rsidRDefault="00761039" w:rsidP="00761039"/>
    <w:p w14:paraId="089CF9AB" w14:textId="77777777" w:rsidR="0022329B" w:rsidRPr="009D5C1A" w:rsidRDefault="0022329B" w:rsidP="00D40E59">
      <w:pPr>
        <w:pStyle w:val="Heading2"/>
      </w:pPr>
      <w:bookmarkStart w:id="138" w:name="_Toc383723915"/>
      <w:r w:rsidRPr="00F57543">
        <w:lastRenderedPageBreak/>
        <w:t>5.4 Conclusions</w:t>
      </w:r>
      <w:bookmarkEnd w:id="138"/>
    </w:p>
    <w:p w14:paraId="0922DA0F" w14:textId="77777777" w:rsidR="0022329B" w:rsidRPr="009D5C1A" w:rsidRDefault="0022329B" w:rsidP="0022329B">
      <w:pPr>
        <w:spacing w:line="480" w:lineRule="auto"/>
        <w:jc w:val="both"/>
        <w:rPr>
          <w:rFonts w:ascii="Arial" w:hAnsi="Arial" w:cs="Arial"/>
          <w:bCs/>
        </w:rPr>
      </w:pPr>
      <w:r>
        <w:rPr>
          <w:rFonts w:ascii="Arial" w:hAnsi="Arial" w:cs="Arial"/>
          <w:bCs/>
        </w:rPr>
        <w:t>Food ingestion for 2 hours</w:t>
      </w:r>
      <w:r w:rsidRPr="00A27D68">
        <w:rPr>
          <w:rFonts w:ascii="Arial" w:hAnsi="Arial" w:cs="Arial"/>
          <w:bCs/>
        </w:rPr>
        <w:t xml:space="preserve"> </w:t>
      </w:r>
      <w:r>
        <w:rPr>
          <w:rFonts w:ascii="Arial" w:hAnsi="Arial" w:cs="Arial"/>
          <w:color w:val="1A1A1A"/>
        </w:rPr>
        <w:t>after overnight fast</w:t>
      </w:r>
      <w:r w:rsidRPr="00A27D68">
        <w:rPr>
          <w:rFonts w:ascii="Arial" w:hAnsi="Arial" w:cs="Arial"/>
          <w:color w:val="1A1A1A"/>
        </w:rPr>
        <w:t xml:space="preserve"> </w:t>
      </w:r>
      <w:r w:rsidRPr="00A27D68">
        <w:rPr>
          <w:rFonts w:ascii="Arial" w:hAnsi="Arial" w:cs="Arial"/>
          <w:bCs/>
        </w:rPr>
        <w:t>potentiate</w:t>
      </w:r>
      <w:r>
        <w:rPr>
          <w:rFonts w:ascii="Arial" w:hAnsi="Arial" w:cs="Arial"/>
          <w:bCs/>
        </w:rPr>
        <w:t xml:space="preserve">d bone’s response to </w:t>
      </w:r>
      <w:r w:rsidR="00C97282">
        <w:rPr>
          <w:rFonts w:ascii="Arial" w:hAnsi="Arial" w:cs="Arial"/>
          <w:bCs/>
        </w:rPr>
        <w:t xml:space="preserve">low intensity </w:t>
      </w:r>
      <w:r w:rsidRPr="00A27D68">
        <w:rPr>
          <w:rFonts w:ascii="Arial" w:hAnsi="Arial" w:cs="Arial"/>
          <w:bCs/>
        </w:rPr>
        <w:t xml:space="preserve">mechanical loading in </w:t>
      </w:r>
      <w:r>
        <w:rPr>
          <w:rFonts w:ascii="Arial" w:hAnsi="Arial" w:cs="Arial"/>
          <w:bCs/>
        </w:rPr>
        <w:t xml:space="preserve">young male </w:t>
      </w:r>
      <w:r w:rsidRPr="00A27D68">
        <w:rPr>
          <w:rFonts w:ascii="Arial" w:hAnsi="Arial" w:cs="Arial"/>
          <w:bCs/>
        </w:rPr>
        <w:t xml:space="preserve">mice, indicating </w:t>
      </w:r>
      <w:r w:rsidRPr="003E5862">
        <w:rPr>
          <w:rFonts w:ascii="Arial" w:hAnsi="Arial" w:cs="Arial"/>
          <w:bCs/>
        </w:rPr>
        <w:t xml:space="preserve">that changing timing of feeding can turn </w:t>
      </w:r>
      <w:r w:rsidR="00CB77FA">
        <w:rPr>
          <w:rFonts w:ascii="Arial" w:hAnsi="Arial" w:cs="Arial"/>
          <w:bCs/>
        </w:rPr>
        <w:t xml:space="preserve">an </w:t>
      </w:r>
      <w:r w:rsidRPr="003E5862">
        <w:rPr>
          <w:rFonts w:ascii="Arial" w:hAnsi="Arial" w:cs="Arial"/>
          <w:bCs/>
        </w:rPr>
        <w:t xml:space="preserve">ineffective loading stimulus that does not normally </w:t>
      </w:r>
      <w:r>
        <w:rPr>
          <w:rFonts w:ascii="Arial" w:hAnsi="Arial" w:cs="Arial"/>
          <w:bCs/>
        </w:rPr>
        <w:t>cause</w:t>
      </w:r>
      <w:r w:rsidRPr="003E5862">
        <w:rPr>
          <w:rFonts w:ascii="Arial" w:hAnsi="Arial" w:cs="Arial"/>
          <w:bCs/>
        </w:rPr>
        <w:t xml:space="preserve"> bone formation, into </w:t>
      </w:r>
      <w:r>
        <w:rPr>
          <w:rFonts w:ascii="Arial" w:hAnsi="Arial" w:cs="Arial"/>
          <w:bCs/>
        </w:rPr>
        <w:t xml:space="preserve">an </w:t>
      </w:r>
      <w:r w:rsidRPr="003E5862">
        <w:rPr>
          <w:rFonts w:ascii="Arial" w:hAnsi="Arial" w:cs="Arial"/>
          <w:bCs/>
        </w:rPr>
        <w:t>effective one</w:t>
      </w:r>
      <w:r>
        <w:rPr>
          <w:rFonts w:ascii="Arial" w:hAnsi="Arial" w:cs="Arial"/>
          <w:bCs/>
        </w:rPr>
        <w:t xml:space="preserve"> and enhance bone’s adaptive response to exercise</w:t>
      </w:r>
      <w:r w:rsidRPr="00A27D68">
        <w:rPr>
          <w:rFonts w:ascii="Arial" w:hAnsi="Arial" w:cs="Arial"/>
          <w:bCs/>
        </w:rPr>
        <w:t xml:space="preserve">. </w:t>
      </w:r>
      <w:r>
        <w:rPr>
          <w:rFonts w:ascii="Arial" w:eastAsiaTheme="minorHAnsi" w:hAnsi="Arial"/>
          <w:bCs/>
        </w:rPr>
        <w:t>Identification of</w:t>
      </w:r>
      <w:r w:rsidRPr="00945BFB">
        <w:rPr>
          <w:rFonts w:ascii="Arial" w:eastAsiaTheme="minorHAnsi" w:hAnsi="Arial"/>
          <w:bCs/>
        </w:rPr>
        <w:t xml:space="preserve"> feeding protocols and the </w:t>
      </w:r>
      <w:r>
        <w:rPr>
          <w:rFonts w:ascii="Arial" w:eastAsiaTheme="minorHAnsi" w:hAnsi="Arial"/>
          <w:bCs/>
        </w:rPr>
        <w:t xml:space="preserve">optimal </w:t>
      </w:r>
      <w:r w:rsidRPr="00945BFB">
        <w:rPr>
          <w:rFonts w:ascii="Arial" w:eastAsiaTheme="minorHAnsi" w:hAnsi="Arial"/>
          <w:bCs/>
        </w:rPr>
        <w:t xml:space="preserve">timing of food ingestion that affect the response of bone to load, </w:t>
      </w:r>
      <w:r>
        <w:rPr>
          <w:rFonts w:ascii="Arial" w:eastAsiaTheme="minorHAnsi" w:hAnsi="Arial"/>
          <w:bCs/>
        </w:rPr>
        <w:t xml:space="preserve">can </w:t>
      </w:r>
      <w:r w:rsidRPr="00945BFB">
        <w:rPr>
          <w:rFonts w:ascii="Arial" w:eastAsiaTheme="minorHAnsi" w:hAnsi="Arial"/>
          <w:bCs/>
        </w:rPr>
        <w:t>potential</w:t>
      </w:r>
      <w:r>
        <w:rPr>
          <w:rFonts w:ascii="Arial" w:eastAsiaTheme="minorHAnsi" w:hAnsi="Arial"/>
          <w:bCs/>
        </w:rPr>
        <w:t>ly</w:t>
      </w:r>
      <w:r w:rsidRPr="00945BFB">
        <w:rPr>
          <w:rFonts w:ascii="Arial" w:eastAsiaTheme="minorHAnsi" w:hAnsi="Arial"/>
          <w:bCs/>
        </w:rPr>
        <w:t xml:space="preserve"> translate into benefits for people</w:t>
      </w:r>
      <w:r>
        <w:rPr>
          <w:rFonts w:ascii="Arial" w:eastAsiaTheme="minorHAnsi" w:hAnsi="Arial"/>
          <w:bCs/>
        </w:rPr>
        <w:t>.</w:t>
      </w:r>
      <w:r w:rsidRPr="00945BFB">
        <w:rPr>
          <w:rFonts w:ascii="Arial" w:eastAsiaTheme="minorHAnsi" w:hAnsi="Arial"/>
          <w:bCs/>
        </w:rPr>
        <w:t xml:space="preserve"> </w:t>
      </w:r>
      <w:r>
        <w:rPr>
          <w:rFonts w:ascii="Arial" w:eastAsiaTheme="minorHAnsi" w:hAnsi="Arial"/>
          <w:bCs/>
        </w:rPr>
        <w:t>It</w:t>
      </w:r>
      <w:r w:rsidRPr="00945BFB">
        <w:rPr>
          <w:rFonts w:ascii="Arial" w:eastAsiaTheme="minorHAnsi" w:hAnsi="Arial"/>
          <w:bCs/>
        </w:rPr>
        <w:t xml:space="preserve"> </w:t>
      </w:r>
      <w:r>
        <w:rPr>
          <w:rFonts w:ascii="Arial" w:eastAsiaTheme="minorHAnsi" w:hAnsi="Arial"/>
          <w:bCs/>
        </w:rPr>
        <w:t>can provide lifestyle choices and</w:t>
      </w:r>
      <w:r w:rsidRPr="00945BFB">
        <w:rPr>
          <w:rFonts w:ascii="Arial" w:eastAsiaTheme="minorHAnsi" w:hAnsi="Arial"/>
          <w:bCs/>
        </w:rPr>
        <w:t xml:space="preserve"> information on when to exercise in relation to meals</w:t>
      </w:r>
      <w:r>
        <w:rPr>
          <w:rFonts w:ascii="Arial" w:eastAsiaTheme="minorHAnsi" w:hAnsi="Arial"/>
          <w:bCs/>
        </w:rPr>
        <w:t xml:space="preserve">, more importantly, for elderly adults and people suffering from various musculoskeletal disorders including osteoporosis.  </w:t>
      </w:r>
    </w:p>
    <w:p w14:paraId="19142920" w14:textId="77777777" w:rsidR="0022329B" w:rsidRDefault="0022329B" w:rsidP="0022329B">
      <w:pPr>
        <w:spacing w:line="480" w:lineRule="auto"/>
        <w:jc w:val="both"/>
        <w:rPr>
          <w:rFonts w:ascii="Arial" w:hAnsi="Arial" w:cs="Calibri"/>
          <w:bCs/>
          <w:color w:val="000000"/>
        </w:rPr>
      </w:pPr>
    </w:p>
    <w:p w14:paraId="357A6287" w14:textId="77777777" w:rsidR="00761039" w:rsidRDefault="00761039" w:rsidP="00DD4FB2">
      <w:pPr>
        <w:spacing w:line="360" w:lineRule="auto"/>
        <w:jc w:val="both"/>
        <w:rPr>
          <w:rFonts w:ascii="Arial" w:hAnsi="Arial" w:cs="Calibri"/>
          <w:bCs/>
          <w:i/>
          <w:color w:val="000000"/>
        </w:rPr>
      </w:pPr>
    </w:p>
    <w:p w14:paraId="3322ADD6" w14:textId="77777777" w:rsidR="00761039" w:rsidRDefault="00761039" w:rsidP="00DD4FB2">
      <w:pPr>
        <w:spacing w:line="360" w:lineRule="auto"/>
        <w:jc w:val="both"/>
        <w:rPr>
          <w:rFonts w:ascii="Arial" w:hAnsi="Arial" w:cs="Calibri"/>
          <w:bCs/>
          <w:i/>
          <w:color w:val="000000"/>
        </w:rPr>
      </w:pPr>
    </w:p>
    <w:p w14:paraId="5473A795" w14:textId="77777777" w:rsidR="00761039" w:rsidRDefault="00761039" w:rsidP="00DD4FB2">
      <w:pPr>
        <w:spacing w:line="360" w:lineRule="auto"/>
        <w:jc w:val="both"/>
        <w:rPr>
          <w:rFonts w:ascii="Arial" w:hAnsi="Arial" w:cs="Calibri"/>
          <w:bCs/>
          <w:i/>
          <w:color w:val="000000"/>
        </w:rPr>
      </w:pPr>
    </w:p>
    <w:p w14:paraId="73F0EBD9" w14:textId="77777777" w:rsidR="00761039" w:rsidRDefault="00761039" w:rsidP="00DD4FB2">
      <w:pPr>
        <w:spacing w:line="360" w:lineRule="auto"/>
        <w:jc w:val="both"/>
        <w:rPr>
          <w:rFonts w:ascii="Arial" w:hAnsi="Arial" w:cs="Calibri"/>
          <w:bCs/>
          <w:i/>
          <w:color w:val="000000"/>
        </w:rPr>
      </w:pPr>
    </w:p>
    <w:p w14:paraId="7C94D32C" w14:textId="77777777" w:rsidR="00761039" w:rsidRDefault="00761039" w:rsidP="00DD4FB2">
      <w:pPr>
        <w:spacing w:line="360" w:lineRule="auto"/>
        <w:jc w:val="both"/>
        <w:rPr>
          <w:rFonts w:ascii="Arial" w:hAnsi="Arial" w:cs="Calibri"/>
          <w:bCs/>
          <w:i/>
          <w:color w:val="000000"/>
        </w:rPr>
      </w:pPr>
    </w:p>
    <w:p w14:paraId="74763C30" w14:textId="77777777" w:rsidR="00761039" w:rsidRDefault="00761039" w:rsidP="00DD4FB2">
      <w:pPr>
        <w:spacing w:line="360" w:lineRule="auto"/>
        <w:jc w:val="both"/>
        <w:rPr>
          <w:rFonts w:ascii="Arial" w:hAnsi="Arial" w:cs="Calibri"/>
          <w:bCs/>
          <w:i/>
          <w:color w:val="000000"/>
        </w:rPr>
      </w:pPr>
    </w:p>
    <w:p w14:paraId="76EFEB5B" w14:textId="77777777" w:rsidR="00761039" w:rsidRDefault="00761039" w:rsidP="00DD4FB2">
      <w:pPr>
        <w:spacing w:line="360" w:lineRule="auto"/>
        <w:jc w:val="both"/>
        <w:rPr>
          <w:rFonts w:ascii="Arial" w:hAnsi="Arial" w:cs="Calibri"/>
          <w:bCs/>
          <w:i/>
          <w:color w:val="000000"/>
        </w:rPr>
      </w:pPr>
    </w:p>
    <w:p w14:paraId="6D24EDE1" w14:textId="77777777" w:rsidR="00761039" w:rsidRDefault="00761039" w:rsidP="00DD4FB2">
      <w:pPr>
        <w:spacing w:line="360" w:lineRule="auto"/>
        <w:jc w:val="both"/>
        <w:rPr>
          <w:rFonts w:ascii="Arial" w:hAnsi="Arial" w:cs="Calibri"/>
          <w:bCs/>
          <w:i/>
          <w:color w:val="000000"/>
        </w:rPr>
      </w:pPr>
    </w:p>
    <w:p w14:paraId="3CC6B944" w14:textId="77777777" w:rsidR="00761039" w:rsidRDefault="00761039" w:rsidP="00DD4FB2">
      <w:pPr>
        <w:spacing w:line="360" w:lineRule="auto"/>
        <w:jc w:val="both"/>
        <w:rPr>
          <w:rFonts w:ascii="Arial" w:hAnsi="Arial" w:cs="Calibri"/>
          <w:bCs/>
          <w:i/>
          <w:color w:val="000000"/>
        </w:rPr>
      </w:pPr>
    </w:p>
    <w:p w14:paraId="2EBE282A" w14:textId="77777777" w:rsidR="00761039" w:rsidRDefault="00761039" w:rsidP="00DD4FB2">
      <w:pPr>
        <w:spacing w:line="360" w:lineRule="auto"/>
        <w:jc w:val="both"/>
        <w:rPr>
          <w:rFonts w:ascii="Arial" w:hAnsi="Arial" w:cs="Calibri"/>
          <w:bCs/>
          <w:i/>
          <w:color w:val="000000"/>
        </w:rPr>
      </w:pPr>
    </w:p>
    <w:p w14:paraId="5017B184" w14:textId="77777777" w:rsidR="00761039" w:rsidRDefault="00761039" w:rsidP="00DD4FB2">
      <w:pPr>
        <w:spacing w:line="360" w:lineRule="auto"/>
        <w:jc w:val="both"/>
        <w:rPr>
          <w:rFonts w:ascii="Arial" w:hAnsi="Arial" w:cs="Calibri"/>
          <w:bCs/>
          <w:i/>
          <w:color w:val="000000"/>
        </w:rPr>
      </w:pPr>
    </w:p>
    <w:p w14:paraId="38020220" w14:textId="77777777" w:rsidR="00761039" w:rsidRDefault="00761039" w:rsidP="00DD4FB2">
      <w:pPr>
        <w:spacing w:line="360" w:lineRule="auto"/>
        <w:jc w:val="both"/>
        <w:rPr>
          <w:rFonts w:ascii="Arial" w:hAnsi="Arial" w:cs="Calibri"/>
          <w:bCs/>
          <w:i/>
          <w:color w:val="000000"/>
        </w:rPr>
      </w:pPr>
    </w:p>
    <w:p w14:paraId="4018520D" w14:textId="77777777" w:rsidR="00761039" w:rsidRDefault="00761039" w:rsidP="00DD4FB2">
      <w:pPr>
        <w:spacing w:line="360" w:lineRule="auto"/>
        <w:jc w:val="both"/>
        <w:rPr>
          <w:rFonts w:ascii="Arial" w:hAnsi="Arial" w:cs="Calibri"/>
          <w:bCs/>
          <w:i/>
          <w:color w:val="000000"/>
        </w:rPr>
      </w:pPr>
    </w:p>
    <w:p w14:paraId="0010A10E" w14:textId="77777777" w:rsidR="00761039" w:rsidRDefault="00761039" w:rsidP="00DD4FB2">
      <w:pPr>
        <w:spacing w:line="360" w:lineRule="auto"/>
        <w:jc w:val="both"/>
        <w:rPr>
          <w:rFonts w:ascii="Arial" w:hAnsi="Arial" w:cs="Calibri"/>
          <w:bCs/>
          <w:i/>
          <w:color w:val="000000"/>
        </w:rPr>
      </w:pPr>
    </w:p>
    <w:p w14:paraId="18FF51E2" w14:textId="77777777" w:rsidR="00761039" w:rsidRDefault="00761039" w:rsidP="00DD4FB2">
      <w:pPr>
        <w:spacing w:line="360" w:lineRule="auto"/>
        <w:jc w:val="both"/>
        <w:rPr>
          <w:rFonts w:ascii="Arial" w:hAnsi="Arial" w:cs="Calibri"/>
          <w:bCs/>
          <w:i/>
          <w:color w:val="000000"/>
        </w:rPr>
      </w:pPr>
    </w:p>
    <w:p w14:paraId="15F4FCA2" w14:textId="77777777" w:rsidR="00761039" w:rsidRDefault="00761039" w:rsidP="00DD4FB2">
      <w:pPr>
        <w:spacing w:line="360" w:lineRule="auto"/>
        <w:jc w:val="both"/>
        <w:rPr>
          <w:rFonts w:ascii="Arial" w:hAnsi="Arial" w:cs="Calibri"/>
          <w:bCs/>
          <w:i/>
          <w:color w:val="000000"/>
        </w:rPr>
      </w:pPr>
    </w:p>
    <w:p w14:paraId="728C9674" w14:textId="77777777" w:rsidR="00761039" w:rsidRDefault="00761039" w:rsidP="00DD4FB2">
      <w:pPr>
        <w:spacing w:line="360" w:lineRule="auto"/>
        <w:jc w:val="both"/>
        <w:rPr>
          <w:rFonts w:ascii="Arial" w:hAnsi="Arial" w:cs="Calibri"/>
          <w:bCs/>
          <w:i/>
          <w:color w:val="000000"/>
        </w:rPr>
      </w:pPr>
    </w:p>
    <w:p w14:paraId="1674D25A" w14:textId="77777777" w:rsidR="00761039" w:rsidRDefault="00761039" w:rsidP="00DD4FB2">
      <w:pPr>
        <w:spacing w:line="360" w:lineRule="auto"/>
        <w:jc w:val="both"/>
        <w:rPr>
          <w:rFonts w:ascii="Arial" w:hAnsi="Arial" w:cs="Calibri"/>
          <w:bCs/>
          <w:i/>
          <w:color w:val="000000"/>
        </w:rPr>
      </w:pPr>
    </w:p>
    <w:p w14:paraId="1AB691DA" w14:textId="77777777" w:rsidR="00761039" w:rsidRDefault="00761039" w:rsidP="00DD4FB2">
      <w:pPr>
        <w:spacing w:line="360" w:lineRule="auto"/>
        <w:jc w:val="both"/>
        <w:rPr>
          <w:rFonts w:ascii="Arial" w:hAnsi="Arial" w:cs="Calibri"/>
          <w:bCs/>
          <w:i/>
          <w:color w:val="000000"/>
        </w:rPr>
      </w:pPr>
    </w:p>
    <w:p w14:paraId="690612C9" w14:textId="77777777" w:rsidR="00761039" w:rsidRDefault="00761039" w:rsidP="00DD4FB2">
      <w:pPr>
        <w:spacing w:line="360" w:lineRule="auto"/>
        <w:jc w:val="both"/>
        <w:rPr>
          <w:rFonts w:ascii="Arial" w:hAnsi="Arial" w:cs="Calibri"/>
          <w:bCs/>
          <w:i/>
          <w:color w:val="000000"/>
        </w:rPr>
      </w:pPr>
    </w:p>
    <w:p w14:paraId="290BAADF" w14:textId="77777777" w:rsidR="0022329B" w:rsidRPr="00304AF3" w:rsidRDefault="0022329B" w:rsidP="00DD4FB2">
      <w:pPr>
        <w:spacing w:line="360" w:lineRule="auto"/>
        <w:jc w:val="both"/>
        <w:rPr>
          <w:rFonts w:ascii="Arial" w:hAnsi="Arial" w:cs="Calibri"/>
          <w:bCs/>
          <w:i/>
          <w:color w:val="000000"/>
        </w:rPr>
      </w:pPr>
      <w:r w:rsidRPr="003F068E">
        <w:rPr>
          <w:rFonts w:ascii="Arial" w:hAnsi="Arial" w:cs="Calibri"/>
          <w:bCs/>
          <w:i/>
          <w:color w:val="000000"/>
        </w:rPr>
        <w:t xml:space="preserve">This study was submitted as an abstract to the annual congress of the ECTS in Salzburg, Austria </w:t>
      </w:r>
      <w:r>
        <w:rPr>
          <w:rFonts w:ascii="Arial" w:hAnsi="Arial" w:cs="Calibri"/>
          <w:bCs/>
          <w:i/>
          <w:color w:val="000000"/>
        </w:rPr>
        <w:t>where it</w:t>
      </w:r>
      <w:r w:rsidRPr="003F068E">
        <w:rPr>
          <w:rFonts w:ascii="Arial" w:hAnsi="Arial" w:cs="Calibri"/>
          <w:bCs/>
          <w:i/>
          <w:color w:val="000000"/>
        </w:rPr>
        <w:t xml:space="preserve"> was presented both </w:t>
      </w:r>
      <w:r>
        <w:rPr>
          <w:rFonts w:ascii="Arial" w:hAnsi="Arial" w:cs="Calibri"/>
          <w:bCs/>
          <w:i/>
          <w:color w:val="000000"/>
        </w:rPr>
        <w:t>i</w:t>
      </w:r>
      <w:r w:rsidRPr="003F068E">
        <w:rPr>
          <w:rFonts w:ascii="Arial" w:hAnsi="Arial" w:cs="Calibri"/>
          <w:bCs/>
          <w:i/>
          <w:color w:val="000000"/>
        </w:rPr>
        <w:t xml:space="preserve">n oral </w:t>
      </w:r>
      <w:r w:rsidR="00BD085C">
        <w:rPr>
          <w:rFonts w:ascii="Arial" w:hAnsi="Arial" w:cs="Calibri"/>
          <w:bCs/>
          <w:i/>
          <w:color w:val="000000"/>
        </w:rPr>
        <w:t xml:space="preserve">and poster </w:t>
      </w:r>
      <w:r w:rsidRPr="003F068E">
        <w:rPr>
          <w:rFonts w:ascii="Arial" w:hAnsi="Arial" w:cs="Calibri"/>
          <w:bCs/>
          <w:i/>
          <w:color w:val="000000"/>
        </w:rPr>
        <w:t>format</w:t>
      </w:r>
      <w:r>
        <w:rPr>
          <w:rFonts w:ascii="Arial" w:hAnsi="Arial" w:cs="Calibri"/>
          <w:bCs/>
          <w:i/>
          <w:color w:val="000000"/>
        </w:rPr>
        <w:t>s</w:t>
      </w:r>
      <w:r w:rsidRPr="003F068E">
        <w:rPr>
          <w:rFonts w:ascii="Arial" w:hAnsi="Arial" w:cs="Calibri"/>
          <w:bCs/>
          <w:i/>
          <w:color w:val="000000"/>
        </w:rPr>
        <w:t xml:space="preserve">. </w:t>
      </w:r>
    </w:p>
    <w:p w14:paraId="3FA6FE89" w14:textId="77777777" w:rsidR="00B43858" w:rsidRDefault="00B43858" w:rsidP="007A1FC4"/>
    <w:p w14:paraId="047F993A" w14:textId="77777777" w:rsidR="00B176A2" w:rsidRDefault="00B176A2" w:rsidP="007A1FC4"/>
    <w:p w14:paraId="2E25F62D" w14:textId="77777777" w:rsidR="00B92F3E" w:rsidRDefault="00B92F3E" w:rsidP="00B92F3E">
      <w:pPr>
        <w:pStyle w:val="TOCHeading"/>
        <w:spacing w:line="360" w:lineRule="auto"/>
        <w:jc w:val="left"/>
        <w:rPr>
          <w:rFonts w:eastAsia="Times New Roman"/>
          <w:bCs w:val="0"/>
          <w:color w:val="1F497D" w:themeColor="text2"/>
          <w:sz w:val="24"/>
          <w:szCs w:val="24"/>
          <w:u w:val="double"/>
        </w:rPr>
      </w:pPr>
      <w:bookmarkStart w:id="139" w:name="_Toc383723916"/>
    </w:p>
    <w:p w14:paraId="0161E75B" w14:textId="77777777" w:rsidR="00B92F3E" w:rsidRDefault="00B92F3E" w:rsidP="00B92F3E"/>
    <w:p w14:paraId="23F53AB8" w14:textId="77777777" w:rsidR="00B92F3E" w:rsidRPr="00B92F3E" w:rsidRDefault="00B92F3E" w:rsidP="00B92F3E"/>
    <w:p w14:paraId="11DA6237" w14:textId="77777777" w:rsidR="00B92F3E" w:rsidRPr="009C3B17" w:rsidRDefault="00B92F3E" w:rsidP="00B92F3E">
      <w:pPr>
        <w:pStyle w:val="TOCHeading"/>
        <w:spacing w:line="360" w:lineRule="auto"/>
        <w:rPr>
          <w:rFonts w:eastAsia="Times New Roman"/>
          <w:bCs w:val="0"/>
          <w:color w:val="1F497D" w:themeColor="text2"/>
          <w:sz w:val="40"/>
          <w:szCs w:val="40"/>
          <w:u w:val="double"/>
        </w:rPr>
      </w:pPr>
      <w:r w:rsidRPr="009C3B17">
        <w:rPr>
          <w:rFonts w:eastAsia="Times New Roman"/>
          <w:bCs w:val="0"/>
          <w:color w:val="1F497D" w:themeColor="text2"/>
          <w:sz w:val="40"/>
          <w:szCs w:val="40"/>
          <w:u w:val="double"/>
        </w:rPr>
        <w:t>CHAPTER 6</w:t>
      </w:r>
    </w:p>
    <w:p w14:paraId="01F68DE5" w14:textId="77777777" w:rsidR="00814A1C" w:rsidRDefault="00814A1C" w:rsidP="00204988">
      <w:pPr>
        <w:pStyle w:val="Heading1"/>
        <w:rPr>
          <w:rFonts w:eastAsiaTheme="minorHAnsi"/>
        </w:rPr>
      </w:pPr>
      <w:r w:rsidRPr="00857958">
        <w:t xml:space="preserve">The effect of ageing on bone’s adaptation to mechanical loading </w:t>
      </w:r>
      <w:r>
        <w:t>in</w:t>
      </w:r>
      <w:r w:rsidRPr="00857958">
        <w:t xml:space="preserve"> </w:t>
      </w:r>
      <w:r w:rsidR="000F44C3">
        <w:t>fed or overnight fasted fed</w:t>
      </w:r>
      <w:r>
        <w:t xml:space="preserve"> mice</w:t>
      </w:r>
      <w:bookmarkEnd w:id="139"/>
      <w:r>
        <w:t xml:space="preserve"> </w:t>
      </w:r>
      <w:r>
        <w:rPr>
          <w:rFonts w:eastAsiaTheme="minorHAnsi"/>
        </w:rPr>
        <w:br/>
      </w:r>
    </w:p>
    <w:p w14:paraId="6AAE44F8" w14:textId="77777777" w:rsidR="00814A1C" w:rsidRDefault="00814A1C" w:rsidP="00814A1C">
      <w:pPr>
        <w:rPr>
          <w:rFonts w:ascii="Arial" w:eastAsiaTheme="minorHAnsi" w:hAnsi="Arial"/>
          <w:bCs/>
        </w:rPr>
      </w:pPr>
    </w:p>
    <w:p w14:paraId="3A98DE30" w14:textId="77777777" w:rsidR="00814A1C" w:rsidRDefault="00814A1C" w:rsidP="00814A1C">
      <w:pPr>
        <w:rPr>
          <w:rFonts w:ascii="Arial" w:eastAsiaTheme="minorHAnsi" w:hAnsi="Arial"/>
          <w:bCs/>
        </w:rPr>
      </w:pPr>
    </w:p>
    <w:p w14:paraId="1590A272" w14:textId="77777777" w:rsidR="00814A1C" w:rsidRDefault="00814A1C" w:rsidP="00814A1C">
      <w:pPr>
        <w:rPr>
          <w:rFonts w:ascii="Arial" w:eastAsiaTheme="minorHAnsi" w:hAnsi="Arial"/>
          <w:bCs/>
        </w:rPr>
      </w:pPr>
    </w:p>
    <w:p w14:paraId="68B49C12" w14:textId="77777777" w:rsidR="00814A1C" w:rsidRDefault="00814A1C" w:rsidP="00814A1C">
      <w:pPr>
        <w:rPr>
          <w:rFonts w:ascii="Arial" w:eastAsiaTheme="minorHAnsi" w:hAnsi="Arial"/>
          <w:bCs/>
        </w:rPr>
      </w:pPr>
    </w:p>
    <w:p w14:paraId="73D44244" w14:textId="77777777" w:rsidR="00814A1C" w:rsidRDefault="00814A1C" w:rsidP="00814A1C">
      <w:pPr>
        <w:rPr>
          <w:rFonts w:ascii="Arial" w:eastAsiaTheme="minorHAnsi" w:hAnsi="Arial"/>
          <w:bCs/>
        </w:rPr>
      </w:pPr>
    </w:p>
    <w:p w14:paraId="30FF21D7" w14:textId="77777777" w:rsidR="00814A1C" w:rsidRDefault="00814A1C" w:rsidP="00814A1C">
      <w:pPr>
        <w:rPr>
          <w:rFonts w:ascii="Arial" w:eastAsiaTheme="minorHAnsi" w:hAnsi="Arial"/>
          <w:bCs/>
        </w:rPr>
      </w:pPr>
    </w:p>
    <w:p w14:paraId="46C207C0" w14:textId="77777777" w:rsidR="00814A1C" w:rsidRDefault="00814A1C" w:rsidP="00814A1C">
      <w:pPr>
        <w:rPr>
          <w:rFonts w:ascii="Arial" w:eastAsiaTheme="minorHAnsi" w:hAnsi="Arial"/>
          <w:bCs/>
        </w:rPr>
      </w:pPr>
    </w:p>
    <w:p w14:paraId="1CB03801" w14:textId="77777777" w:rsidR="00814A1C" w:rsidRDefault="00814A1C" w:rsidP="00814A1C">
      <w:pPr>
        <w:rPr>
          <w:rFonts w:ascii="Arial" w:eastAsiaTheme="minorHAnsi" w:hAnsi="Arial"/>
          <w:bCs/>
        </w:rPr>
      </w:pPr>
    </w:p>
    <w:p w14:paraId="2F613D61" w14:textId="77777777" w:rsidR="00814A1C" w:rsidRDefault="00814A1C" w:rsidP="00814A1C">
      <w:pPr>
        <w:rPr>
          <w:rFonts w:ascii="Arial" w:eastAsiaTheme="minorHAnsi" w:hAnsi="Arial"/>
          <w:bCs/>
        </w:rPr>
      </w:pPr>
    </w:p>
    <w:p w14:paraId="407C82DD" w14:textId="77777777" w:rsidR="00814A1C" w:rsidRDefault="00814A1C" w:rsidP="00814A1C">
      <w:pPr>
        <w:rPr>
          <w:rFonts w:ascii="Arial" w:eastAsiaTheme="minorHAnsi" w:hAnsi="Arial"/>
          <w:bCs/>
        </w:rPr>
      </w:pPr>
    </w:p>
    <w:p w14:paraId="03B51CD9" w14:textId="77777777" w:rsidR="00814A1C" w:rsidRDefault="00814A1C" w:rsidP="00814A1C">
      <w:pPr>
        <w:rPr>
          <w:rFonts w:ascii="Arial" w:eastAsiaTheme="minorHAnsi" w:hAnsi="Arial"/>
          <w:bCs/>
        </w:rPr>
      </w:pPr>
    </w:p>
    <w:p w14:paraId="56206C06" w14:textId="77777777" w:rsidR="00814A1C" w:rsidRDefault="00814A1C" w:rsidP="00814A1C">
      <w:pPr>
        <w:rPr>
          <w:rFonts w:ascii="Arial" w:eastAsiaTheme="minorHAnsi" w:hAnsi="Arial"/>
          <w:bCs/>
        </w:rPr>
      </w:pPr>
    </w:p>
    <w:p w14:paraId="34DD0F0D" w14:textId="77777777" w:rsidR="00814A1C" w:rsidRDefault="00814A1C" w:rsidP="00814A1C">
      <w:pPr>
        <w:rPr>
          <w:rFonts w:ascii="Arial" w:eastAsiaTheme="minorHAnsi" w:hAnsi="Arial"/>
          <w:bCs/>
        </w:rPr>
      </w:pPr>
    </w:p>
    <w:p w14:paraId="1F973CA4" w14:textId="77777777" w:rsidR="00814A1C" w:rsidRDefault="00814A1C" w:rsidP="00814A1C">
      <w:pPr>
        <w:rPr>
          <w:rFonts w:ascii="Arial" w:eastAsiaTheme="minorHAnsi" w:hAnsi="Arial"/>
          <w:bCs/>
        </w:rPr>
      </w:pPr>
    </w:p>
    <w:p w14:paraId="07FE2E08" w14:textId="77777777" w:rsidR="00814A1C" w:rsidRDefault="00814A1C" w:rsidP="00814A1C">
      <w:pPr>
        <w:rPr>
          <w:rFonts w:ascii="Arial" w:eastAsiaTheme="minorHAnsi" w:hAnsi="Arial"/>
          <w:bCs/>
        </w:rPr>
      </w:pPr>
    </w:p>
    <w:p w14:paraId="3D38A333" w14:textId="77777777" w:rsidR="00814A1C" w:rsidRDefault="00814A1C" w:rsidP="00814A1C">
      <w:pPr>
        <w:rPr>
          <w:rFonts w:ascii="Arial" w:eastAsiaTheme="minorHAnsi" w:hAnsi="Arial"/>
          <w:bCs/>
        </w:rPr>
      </w:pPr>
    </w:p>
    <w:p w14:paraId="40D9C181" w14:textId="77777777" w:rsidR="00814A1C" w:rsidRDefault="00814A1C" w:rsidP="00814A1C">
      <w:pPr>
        <w:rPr>
          <w:rFonts w:ascii="Arial" w:eastAsiaTheme="minorHAnsi" w:hAnsi="Arial"/>
          <w:bCs/>
        </w:rPr>
      </w:pPr>
    </w:p>
    <w:p w14:paraId="7CE153DE" w14:textId="77777777" w:rsidR="00814A1C" w:rsidRDefault="00814A1C" w:rsidP="00814A1C">
      <w:pPr>
        <w:rPr>
          <w:rFonts w:ascii="Arial" w:eastAsiaTheme="minorHAnsi" w:hAnsi="Arial"/>
          <w:bCs/>
        </w:rPr>
      </w:pPr>
    </w:p>
    <w:p w14:paraId="6B5B5BF7" w14:textId="77777777" w:rsidR="00814A1C" w:rsidRDefault="00814A1C" w:rsidP="00814A1C">
      <w:pPr>
        <w:rPr>
          <w:rFonts w:ascii="Arial" w:eastAsiaTheme="minorHAnsi" w:hAnsi="Arial"/>
          <w:bCs/>
        </w:rPr>
      </w:pPr>
    </w:p>
    <w:p w14:paraId="2AE3F75C" w14:textId="77777777" w:rsidR="00814A1C" w:rsidRDefault="00814A1C" w:rsidP="00814A1C">
      <w:pPr>
        <w:rPr>
          <w:rFonts w:ascii="Arial" w:eastAsiaTheme="minorHAnsi" w:hAnsi="Arial"/>
          <w:bCs/>
        </w:rPr>
      </w:pPr>
    </w:p>
    <w:p w14:paraId="06955C2B" w14:textId="77777777" w:rsidR="00814A1C" w:rsidRDefault="00814A1C" w:rsidP="00814A1C">
      <w:pPr>
        <w:rPr>
          <w:rFonts w:ascii="Arial" w:eastAsiaTheme="minorHAnsi" w:hAnsi="Arial"/>
          <w:bCs/>
        </w:rPr>
      </w:pPr>
    </w:p>
    <w:p w14:paraId="2AFD85A2" w14:textId="77777777" w:rsidR="00814A1C" w:rsidRDefault="00814A1C" w:rsidP="00814A1C">
      <w:pPr>
        <w:rPr>
          <w:rFonts w:ascii="Arial" w:eastAsiaTheme="minorHAnsi" w:hAnsi="Arial"/>
          <w:bCs/>
        </w:rPr>
      </w:pPr>
    </w:p>
    <w:p w14:paraId="5AFC718A" w14:textId="77777777" w:rsidR="00814A1C" w:rsidRDefault="00814A1C" w:rsidP="00814A1C">
      <w:pPr>
        <w:rPr>
          <w:rFonts w:ascii="Arial" w:eastAsiaTheme="minorHAnsi" w:hAnsi="Arial"/>
          <w:bCs/>
        </w:rPr>
      </w:pPr>
    </w:p>
    <w:p w14:paraId="219CA53C" w14:textId="77777777" w:rsidR="00814A1C" w:rsidRDefault="00814A1C" w:rsidP="00814A1C">
      <w:pPr>
        <w:rPr>
          <w:rFonts w:ascii="Arial" w:eastAsiaTheme="minorHAnsi" w:hAnsi="Arial"/>
          <w:bCs/>
        </w:rPr>
      </w:pPr>
    </w:p>
    <w:p w14:paraId="117BAA11" w14:textId="77777777" w:rsidR="00814A1C" w:rsidRDefault="00814A1C" w:rsidP="00814A1C">
      <w:pPr>
        <w:rPr>
          <w:rFonts w:ascii="Arial" w:eastAsiaTheme="minorHAnsi" w:hAnsi="Arial"/>
          <w:bCs/>
        </w:rPr>
      </w:pPr>
    </w:p>
    <w:p w14:paraId="50381BA7" w14:textId="77777777" w:rsidR="00814A1C" w:rsidRDefault="00814A1C" w:rsidP="00814A1C">
      <w:pPr>
        <w:rPr>
          <w:rFonts w:ascii="Arial" w:eastAsiaTheme="minorHAnsi" w:hAnsi="Arial"/>
          <w:bCs/>
        </w:rPr>
      </w:pPr>
    </w:p>
    <w:p w14:paraId="1389A877" w14:textId="77777777" w:rsidR="00814A1C" w:rsidRDefault="00814A1C" w:rsidP="00814A1C">
      <w:pPr>
        <w:rPr>
          <w:rFonts w:ascii="Arial" w:eastAsiaTheme="minorHAnsi" w:hAnsi="Arial"/>
          <w:bCs/>
        </w:rPr>
      </w:pPr>
    </w:p>
    <w:p w14:paraId="2310AC0F" w14:textId="77777777" w:rsidR="00814A1C" w:rsidRDefault="00814A1C" w:rsidP="00814A1C">
      <w:pPr>
        <w:rPr>
          <w:rFonts w:ascii="Arial" w:eastAsiaTheme="minorHAnsi" w:hAnsi="Arial"/>
          <w:bCs/>
        </w:rPr>
      </w:pPr>
    </w:p>
    <w:p w14:paraId="51A57239" w14:textId="77777777" w:rsidR="00814A1C" w:rsidRDefault="00814A1C" w:rsidP="00814A1C">
      <w:pPr>
        <w:rPr>
          <w:rFonts w:ascii="Arial" w:eastAsiaTheme="minorHAnsi" w:hAnsi="Arial"/>
          <w:bCs/>
        </w:rPr>
      </w:pPr>
    </w:p>
    <w:p w14:paraId="531BC614" w14:textId="77777777" w:rsidR="00814A1C" w:rsidRDefault="00814A1C" w:rsidP="00814A1C">
      <w:pPr>
        <w:rPr>
          <w:rFonts w:ascii="Arial" w:eastAsiaTheme="minorHAnsi" w:hAnsi="Arial"/>
          <w:bCs/>
        </w:rPr>
      </w:pPr>
    </w:p>
    <w:p w14:paraId="6B8AD125" w14:textId="77777777" w:rsidR="00814A1C" w:rsidRDefault="00814A1C" w:rsidP="00814A1C">
      <w:pPr>
        <w:rPr>
          <w:rFonts w:ascii="Arial" w:eastAsiaTheme="minorHAnsi" w:hAnsi="Arial"/>
          <w:bCs/>
        </w:rPr>
      </w:pPr>
    </w:p>
    <w:p w14:paraId="47865727" w14:textId="77777777" w:rsidR="00814A1C" w:rsidRDefault="00814A1C" w:rsidP="00814A1C">
      <w:pPr>
        <w:rPr>
          <w:rFonts w:ascii="Arial" w:eastAsiaTheme="minorHAnsi" w:hAnsi="Arial"/>
          <w:bCs/>
        </w:rPr>
      </w:pPr>
    </w:p>
    <w:p w14:paraId="07CA3D6D" w14:textId="77777777" w:rsidR="00814A1C" w:rsidRDefault="00814A1C" w:rsidP="00D40E59">
      <w:pPr>
        <w:pStyle w:val="Heading2"/>
      </w:pPr>
      <w:bookmarkStart w:id="140" w:name="_Toc383723917"/>
      <w:r>
        <w:lastRenderedPageBreak/>
        <w:t>6.1 Introduction</w:t>
      </w:r>
      <w:bookmarkEnd w:id="140"/>
    </w:p>
    <w:p w14:paraId="74A3324C" w14:textId="77777777" w:rsidR="00814A1C" w:rsidRDefault="00814A1C" w:rsidP="00814A1C">
      <w:pPr>
        <w:widowControl w:val="0"/>
        <w:autoSpaceDE w:val="0"/>
        <w:autoSpaceDN w:val="0"/>
        <w:adjustRightInd w:val="0"/>
        <w:spacing w:after="240" w:line="480" w:lineRule="auto"/>
        <w:jc w:val="both"/>
        <w:rPr>
          <w:rFonts w:ascii="Arial" w:hAnsi="Arial" w:cs="Arial"/>
        </w:rPr>
      </w:pPr>
      <w:r>
        <w:rPr>
          <w:rFonts w:ascii="Arial" w:hAnsi="Arial" w:cs="Lucida Grande"/>
          <w:szCs w:val="26"/>
        </w:rPr>
        <w:t xml:space="preserve">Throughout evolution the </w:t>
      </w:r>
      <w:r>
        <w:rPr>
          <w:rFonts w:ascii="Arial" w:hAnsi="Arial" w:cs="Arial"/>
        </w:rPr>
        <w:t>bones have developed a mechanism called ‘functional adaptation’</w:t>
      </w:r>
      <w:r w:rsidRPr="00F769DC">
        <w:rPr>
          <w:rFonts w:ascii="Arial" w:hAnsi="Arial" w:cs="Arial"/>
        </w:rPr>
        <w:t xml:space="preserve"> </w:t>
      </w:r>
      <w:r>
        <w:rPr>
          <w:rFonts w:ascii="Arial" w:hAnsi="Arial" w:cs="Arial"/>
        </w:rPr>
        <w:t xml:space="preserve">by altering their architecture in response to the changes of loading-engendered strain environment. This means that individual bone mass and architecture </w:t>
      </w:r>
      <w:r w:rsidR="00595651">
        <w:rPr>
          <w:rFonts w:ascii="Arial" w:hAnsi="Arial" w:cs="Arial"/>
        </w:rPr>
        <w:t xml:space="preserve">is </w:t>
      </w:r>
      <w:r>
        <w:rPr>
          <w:rFonts w:ascii="Arial" w:hAnsi="Arial" w:cs="Arial"/>
        </w:rPr>
        <w:t xml:space="preserve">sufficiently robust to withstand habitual loads without fractures </w:t>
      </w:r>
      <w:r w:rsidR="00E85C4C">
        <w:rPr>
          <w:rFonts w:ascii="Arial" w:hAnsi="Arial" w:cs="Arial"/>
        </w:rPr>
        <w:t>or accumulating</w:t>
      </w:r>
      <w:r>
        <w:rPr>
          <w:rFonts w:ascii="Arial" w:hAnsi="Arial" w:cs="Arial"/>
        </w:rPr>
        <w:t xml:space="preserve"> </w:t>
      </w:r>
      <w:r w:rsidR="00E85C4C">
        <w:rPr>
          <w:rFonts w:ascii="Arial" w:hAnsi="Arial" w:cs="Arial"/>
        </w:rPr>
        <w:t xml:space="preserve">excessive </w:t>
      </w:r>
      <w:r>
        <w:rPr>
          <w:rFonts w:ascii="Arial" w:hAnsi="Arial" w:cs="Arial"/>
        </w:rPr>
        <w:t xml:space="preserve">microdamage </w:t>
      </w:r>
      <w:r w:rsidR="00751F63">
        <w:rPr>
          <w:rFonts w:ascii="Arial" w:hAnsi="Arial" w:cs="Arial"/>
        </w:rPr>
        <w:fldChar w:fldCharType="begin">
          <w:fldData xml:space="preserve">PEVuZE5vdGU+PENpdGU+PEF1dGhvcj5Gcm9zdDwvQXV0aG9yPjxZZWFyPjE5NjA8L1llYXI+PFJl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</w:fldData>
        </w:fldChar>
      </w:r>
      <w:r w:rsidR="00651EFF">
        <w:rPr>
          <w:rFonts w:ascii="Arial" w:hAnsi="Arial" w:cs="Arial"/>
        </w:rPr>
        <w:instrText xml:space="preserve"> ADDIN EN.CITE </w:instrText>
      </w:r>
      <w:r w:rsidR="00651EFF">
        <w:rPr>
          <w:rFonts w:ascii="Arial" w:hAnsi="Arial" w:cs="Arial"/>
        </w:rPr>
        <w:fldChar w:fldCharType="begin">
          <w:fldData xml:space="preserve">PEVuZE5vdGU+PENpdGU+PEF1dGhvcj5Gcm9zdDwvQXV0aG9yPjxZZWFyPjE5NjA8L1llYXI+PFJl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</w:fldData>
        </w:fldChar>
      </w:r>
      <w:r w:rsidR="00651EFF">
        <w:rPr>
          <w:rFonts w:ascii="Arial" w:hAnsi="Arial" w:cs="Arial"/>
        </w:rPr>
        <w:instrText xml:space="preserve"> ADDIN EN.CITE.DATA </w:instrText>
      </w:r>
      <w:r w:rsidR="00651EFF">
        <w:rPr>
          <w:rFonts w:ascii="Arial" w:hAnsi="Arial" w:cs="Arial"/>
        </w:rPr>
      </w:r>
      <w:r w:rsidR="00651EFF">
        <w:rPr>
          <w:rFonts w:ascii="Arial" w:hAnsi="Arial" w:cs="Arial"/>
        </w:rPr>
        <w:fldChar w:fldCharType="end"/>
      </w:r>
      <w:r w:rsidR="00751F63">
        <w:rPr>
          <w:rFonts w:ascii="Arial" w:hAnsi="Arial" w:cs="Arial"/>
        </w:rPr>
      </w:r>
      <w:r w:rsidR="00751F63">
        <w:rPr>
          <w:rFonts w:ascii="Arial" w:hAnsi="Arial" w:cs="Arial"/>
        </w:rPr>
        <w:fldChar w:fldCharType="separate"/>
      </w:r>
      <w:r w:rsidR="00751F63">
        <w:rPr>
          <w:rFonts w:ascii="Arial" w:hAnsi="Arial" w:cs="Arial"/>
          <w:noProof/>
        </w:rPr>
        <w:t>(Frost, 1960, Frost, 1987, Frost et al., 2003, Skerry, 2006b)</w:t>
      </w:r>
      <w:r w:rsidR="00751F63">
        <w:rPr>
          <w:rFonts w:ascii="Arial" w:hAnsi="Arial" w:cs="Arial"/>
        </w:rPr>
        <w:fldChar w:fldCharType="end"/>
      </w:r>
      <w:r w:rsidR="0066441C">
        <w:rPr>
          <w:rFonts w:ascii="Arial" w:hAnsi="Arial" w:cs="Arial"/>
        </w:rPr>
        <w:t xml:space="preserve">. </w:t>
      </w:r>
      <w:r>
        <w:rPr>
          <w:rFonts w:ascii="Arial" w:hAnsi="Arial" w:cs="Arial"/>
        </w:rPr>
        <w:t xml:space="preserve">However, the effectiveness of this mechanism </w:t>
      </w:r>
      <w:r w:rsidR="00595651">
        <w:rPr>
          <w:rFonts w:ascii="Arial" w:hAnsi="Arial" w:cs="Arial"/>
        </w:rPr>
        <w:t>declines</w:t>
      </w:r>
      <w:r>
        <w:rPr>
          <w:rFonts w:ascii="Arial" w:hAnsi="Arial" w:cs="Arial"/>
        </w:rPr>
        <w:t xml:space="preserve"> with age and injuries become more frequent. </w:t>
      </w:r>
    </w:p>
    <w:p w14:paraId="33CD7430" w14:textId="77777777" w:rsidR="00814A1C" w:rsidRDefault="00814A1C" w:rsidP="00814A1C">
      <w:pPr>
        <w:spacing w:line="480" w:lineRule="auto"/>
        <w:jc w:val="both"/>
        <w:rPr>
          <w:rFonts w:ascii="Arial" w:hAnsi="Arial" w:cs="Arial"/>
        </w:rPr>
      </w:pPr>
      <w:r>
        <w:rPr>
          <w:rFonts w:ascii="Arial" w:hAnsi="Arial" w:cs="Arial"/>
        </w:rPr>
        <w:t xml:space="preserve">With age in humans, bone mass and architecture deterioration makes bones sufficiently fragile that low-level traumas can cause fractures </w:t>
      </w:r>
      <w:r w:rsidR="00751F63">
        <w:rPr>
          <w:rFonts w:ascii="Arial" w:hAnsi="Arial" w:cs="Arial"/>
        </w:rPr>
        <w:fldChar w:fldCharType="begin"/>
      </w:r>
      <w:r w:rsidR="0000415D">
        <w:rPr>
          <w:rFonts w:ascii="Arial" w:hAnsi="Arial" w:cs="Arial"/>
        </w:rPr>
        <w:instrText xml:space="preserve"> ADDIN EN.CITE &lt;EndNote&gt;&lt;Cite&gt;&lt;Author&gt;van Staa&lt;/Author&gt;&lt;Year&gt;2001&lt;/Year&gt;&lt;RecNum&gt;524&lt;/RecNum&gt;&lt;DisplayText&gt;(Van Staa et al., 2001)&lt;/DisplayText&gt;&lt;record&gt;&lt;rec-number&gt;524&lt;/rec-number&gt;&lt;foreign-keys&gt;&lt;key app="EN" db-id="ae9rewfrpdttrheppfxxv0p4950wpd25r09x" timestamp="1520850796"&gt;524&lt;/key&gt;&lt;/foreign-keys&gt;&lt;ref-type name="Journal Article"&gt;17&lt;/ref-type&gt;&lt;contributors&gt;&lt;authors&gt;&lt;author&gt;Van Staa, T. P.&lt;/author&gt;&lt;author&gt;Dennison, E. M.&lt;/author&gt;&lt;author&gt;Leufkens, H. G. M.&lt;/author&gt;&lt;author&gt;Cooper, C.&lt;/author&gt;&lt;/authors&gt;&lt;/contributors&gt;&lt;titles&gt;&lt;title&gt;Epidemiology of fractures in England and Wales&lt;/title&gt;&lt;secondary-title&gt;Bone&lt;/secondary-title&gt;&lt;/titles&gt;&lt;periodical&gt;&lt;full-title&gt;Bone&lt;/full-title&gt;&lt;/periodical&gt;&lt;pages&gt;517-522&lt;/pages&gt;&lt;volume&gt;29&lt;/volume&gt;&lt;number&gt;6&lt;/number&gt;&lt;keywords&gt;&lt;keyword&gt;Osteoporosis&lt;/keyword&gt;&lt;keyword&gt;Epidemiology&lt;/keyword&gt;&lt;keyword&gt;Fracture&lt;/keyword&gt;&lt;keyword&gt;Incidence&lt;/keyword&gt;&lt;keyword&gt;Mortality&lt;/keyword&gt;&lt;keyword&gt;Risk&lt;/keyword&gt;&lt;/keywords&gt;&lt;dates&gt;&lt;year&gt;2001&lt;/year&gt;&lt;/dates&gt;&lt;isbn&gt;8756-3282&lt;/isbn&gt;&lt;urls&gt;&lt;/urls&gt;&lt;electronic-resource-num&gt;10.1016/S8756-3282(01)00614-7&lt;/electronic-resource-num&gt;&lt;/record&gt;&lt;/Cite&gt;&lt;/EndNote&gt;</w:instrText>
      </w:r>
      <w:r w:rsidR="00751F63">
        <w:rPr>
          <w:rFonts w:ascii="Arial" w:hAnsi="Arial" w:cs="Arial"/>
        </w:rPr>
        <w:fldChar w:fldCharType="separate"/>
      </w:r>
      <w:r w:rsidR="0000415D">
        <w:rPr>
          <w:rFonts w:ascii="Arial" w:hAnsi="Arial" w:cs="Arial"/>
          <w:noProof/>
        </w:rPr>
        <w:t>(Van Staa et al., 2001)</w:t>
      </w:r>
      <w:r w:rsidR="00751F63">
        <w:rPr>
          <w:rFonts w:ascii="Arial" w:hAnsi="Arial" w:cs="Arial"/>
        </w:rPr>
        <w:fldChar w:fldCharType="end"/>
      </w:r>
      <w:r>
        <w:rPr>
          <w:rFonts w:ascii="Arial" w:hAnsi="Arial" w:cs="Arial"/>
        </w:rPr>
        <w:t xml:space="preserve">. Age-related changes in bone structure, geometry and microarchitecture have been investigated in specific sites within the skeleton. Bone loss is associated with a thinning of the cortical bone shell, increased intracortical porosity, loss of the trabecular bone and its connectivity </w:t>
      </w:r>
      <w:r w:rsidR="00751F63">
        <w:rPr>
          <w:rFonts w:ascii="Arial" w:hAnsi="Arial" w:cs="Lucida Grande"/>
          <w:szCs w:val="26"/>
        </w:rPr>
        <w:fldChar w:fldCharType="begin">
          <w:fldData xml:space="preserve">PEVuZE5vdGU+PENpdGU+PEF1dGhvcj5QYXJmaXR0PC9BdXRob3I+PFllYXI+MTk4NDwvWWVhcj48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</w:fldData>
        </w:fldChar>
      </w:r>
      <w:r w:rsidR="0000415D">
        <w:rPr>
          <w:rFonts w:ascii="Arial" w:hAnsi="Arial" w:cs="Lucida Grande"/>
          <w:szCs w:val="26"/>
        </w:rPr>
        <w:instrText xml:space="preserve"> ADDIN EN.CITE </w:instrText>
      </w:r>
      <w:r w:rsidR="0000415D">
        <w:rPr>
          <w:rFonts w:ascii="Arial" w:hAnsi="Arial" w:cs="Lucida Grande"/>
          <w:szCs w:val="26"/>
        </w:rPr>
        <w:fldChar w:fldCharType="begin">
          <w:fldData xml:space="preserve">PEVuZE5vdGU+PENpdGU+PEF1dGhvcj5QYXJmaXR0PC9BdXRob3I+PFllYXI+MTk4NDwvWWVhcj48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</w:fldData>
        </w:fldChar>
      </w:r>
      <w:r w:rsidR="0000415D">
        <w:rPr>
          <w:rFonts w:ascii="Arial" w:hAnsi="Arial" w:cs="Lucida Grande"/>
          <w:szCs w:val="26"/>
        </w:rPr>
        <w:instrText xml:space="preserve"> ADDIN EN.CITE.DATA </w:instrText>
      </w:r>
      <w:r w:rsidR="0000415D">
        <w:rPr>
          <w:rFonts w:ascii="Arial" w:hAnsi="Arial" w:cs="Lucida Grande"/>
          <w:szCs w:val="26"/>
        </w:rPr>
      </w:r>
      <w:r w:rsidR="0000415D">
        <w:rPr>
          <w:rFonts w:ascii="Arial" w:hAnsi="Arial" w:cs="Lucida Grande"/>
          <w:szCs w:val="26"/>
        </w:rPr>
        <w:fldChar w:fldCharType="end"/>
      </w:r>
      <w:r w:rsidR="00751F63">
        <w:rPr>
          <w:rFonts w:ascii="Arial" w:hAnsi="Arial" w:cs="Lucida Grande"/>
          <w:szCs w:val="26"/>
        </w:rPr>
      </w:r>
      <w:r w:rsidR="00751F63">
        <w:rPr>
          <w:rFonts w:ascii="Arial" w:hAnsi="Arial" w:cs="Lucida Grande"/>
          <w:szCs w:val="26"/>
        </w:rPr>
        <w:fldChar w:fldCharType="separate"/>
      </w:r>
      <w:r w:rsidR="00751F63">
        <w:rPr>
          <w:rFonts w:ascii="Arial" w:hAnsi="Arial" w:cs="Lucida Grande"/>
          <w:noProof/>
          <w:szCs w:val="26"/>
        </w:rPr>
        <w:t>(Parfitt, 1984, Chavassieux and Meunier, 2001, Riggs et al., 2004)</w:t>
      </w:r>
      <w:r w:rsidR="00751F63">
        <w:rPr>
          <w:rFonts w:ascii="Arial" w:hAnsi="Arial" w:cs="Lucida Grande"/>
          <w:szCs w:val="26"/>
        </w:rPr>
        <w:fldChar w:fldCharType="end"/>
      </w:r>
      <w:r w:rsidR="00B35178">
        <w:rPr>
          <w:rFonts w:ascii="Arial" w:hAnsi="Arial" w:cs="Lucida Grande"/>
          <w:szCs w:val="26"/>
        </w:rPr>
        <w:t xml:space="preserve">. </w:t>
      </w:r>
      <w:r>
        <w:rPr>
          <w:rFonts w:ascii="Arial" w:hAnsi="Arial" w:cs="Arial"/>
        </w:rPr>
        <w:t>In a cross-se</w:t>
      </w:r>
      <w:r w:rsidR="003350B5">
        <w:rPr>
          <w:rFonts w:ascii="Arial" w:hAnsi="Arial" w:cs="Arial"/>
        </w:rPr>
        <w:t>ctional study Riggs et al.</w:t>
      </w:r>
      <w:r>
        <w:rPr>
          <w:rFonts w:ascii="Arial" w:hAnsi="Arial" w:cs="Arial"/>
        </w:rPr>
        <w:t xml:space="preserve"> found that cortical bone mass decrease either commences or accelerates in mid-life both in men and women and continues to decrease with ageing. Loss in cortical bone mass appears to be higher in women than men later in life </w:t>
      </w:r>
      <w:r w:rsidR="003350B5">
        <w:rPr>
          <w:rFonts w:ascii="Arial" w:hAnsi="Arial" w:cs="Arial"/>
        </w:rPr>
        <w:t>mainly</w:t>
      </w:r>
      <w:r>
        <w:rPr>
          <w:rFonts w:ascii="Arial" w:hAnsi="Arial" w:cs="Arial"/>
        </w:rPr>
        <w:t xml:space="preserve"> due to increase in bone turnover induced by oestrogen deficiency </w:t>
      </w:r>
      <w:r w:rsidR="00751F63">
        <w:rPr>
          <w:rFonts w:ascii="Arial" w:hAnsi="Arial" w:cs="Arial"/>
        </w:rPr>
        <w:fldChar w:fldCharType="begin">
          <w:fldData xml:space="preserve">PEVuZE5vdGU+PENpdGU+PEF1dGhvcj5SaWdnczwvQXV0aG9yPjxZZWFyPjIwMDQ8L1llYXI+PFJl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PEVuZE5vdGU+PENpdGU+PEF1dGhvcj5SaWdnczwvQXV0aG9yPjxZZWFyPjIwMDQ8L1llYXI+PFJl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751F63">
        <w:rPr>
          <w:rFonts w:ascii="Arial" w:hAnsi="Arial" w:cs="Arial"/>
        </w:rPr>
      </w:r>
      <w:r w:rsidR="00751F63">
        <w:rPr>
          <w:rFonts w:ascii="Arial" w:hAnsi="Arial" w:cs="Arial"/>
        </w:rPr>
        <w:fldChar w:fldCharType="separate"/>
      </w:r>
      <w:r w:rsidR="00751F63">
        <w:rPr>
          <w:rFonts w:ascii="Arial" w:hAnsi="Arial" w:cs="Arial"/>
          <w:noProof/>
        </w:rPr>
        <w:t>(Riggs et al., 2004, Riggs et al., 2008)</w:t>
      </w:r>
      <w:r w:rsidR="00751F63">
        <w:rPr>
          <w:rFonts w:ascii="Arial" w:hAnsi="Arial" w:cs="Arial"/>
        </w:rPr>
        <w:fldChar w:fldCharType="end"/>
      </w:r>
      <w:r w:rsidR="00A47B19">
        <w:rPr>
          <w:rFonts w:ascii="Arial" w:hAnsi="Arial" w:cs="Arial"/>
        </w:rPr>
        <w:t>.</w:t>
      </w:r>
      <w:r>
        <w:rPr>
          <w:rFonts w:ascii="Arial" w:hAnsi="Arial" w:cs="Arial"/>
        </w:rPr>
        <w:t xml:space="preserve"> It has been shown that thinning of the cortex occurs mainly due to endocortical resorption by the osteoclasts. Concurrent age-related site-specific periosteal bone apposition increases bone cross-sectional area making it biomechanically farther resistant to axial compression and partly offsetting the structural and material strength loss </w:t>
      </w:r>
      <w:r w:rsidR="00751F63">
        <w:rPr>
          <w:rFonts w:ascii="Arial" w:hAnsi="Arial" w:cs="Arial"/>
        </w:rPr>
        <w:fldChar w:fldCharType="begin">
          <w:fldData xml:space="preserve">PEVuZE5vdGU+PENpdGU+PEF1dGhvcj5TZWVtYW48L0F1dGhvcj48WWVhcj4yMDAzPC9ZZWFyPjxS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PEVuZE5vdGU+PENpdGU+PEF1dGhvcj5TZWVtYW48L0F1dGhvcj48WWVhcj4yMDAzPC9ZZWFyPjxS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751F63">
        <w:rPr>
          <w:rFonts w:ascii="Arial" w:hAnsi="Arial" w:cs="Arial"/>
        </w:rPr>
      </w:r>
      <w:r w:rsidR="00751F63">
        <w:rPr>
          <w:rFonts w:ascii="Arial" w:hAnsi="Arial" w:cs="Arial"/>
        </w:rPr>
        <w:fldChar w:fldCharType="separate"/>
      </w:r>
      <w:r w:rsidR="00751F63">
        <w:rPr>
          <w:rFonts w:ascii="Arial" w:hAnsi="Arial" w:cs="Arial"/>
          <w:noProof/>
        </w:rPr>
        <w:t>(Seeman, 2003, Riggs et al., 2004)</w:t>
      </w:r>
      <w:r w:rsidR="00751F63">
        <w:rPr>
          <w:rFonts w:ascii="Arial" w:hAnsi="Arial" w:cs="Arial"/>
        </w:rPr>
        <w:fldChar w:fldCharType="end"/>
      </w:r>
      <w:r>
        <w:rPr>
          <w:rFonts w:ascii="Arial" w:hAnsi="Arial" w:cs="Arial"/>
        </w:rPr>
        <w:t xml:space="preserve">. The process is known as a ‘cortical drift’ resulting in weaker bones with thinner cortices and wider diameters </w:t>
      </w:r>
      <w:r w:rsidR="00751F63">
        <w:rPr>
          <w:rFonts w:ascii="Arial" w:hAnsi="Arial" w:cs="Arial"/>
        </w:rPr>
        <w:fldChar w:fldCharType="begin"/>
      </w:r>
      <w:r w:rsidR="00751F63">
        <w:rPr>
          <w:rFonts w:ascii="Arial" w:hAnsi="Arial" w:cs="Arial"/>
        </w:rPr>
        <w:instrText xml:space="preserve"> ADDIN EN.CITE &lt;EndNote&gt;&lt;Cite&gt;&lt;Author&gt;Goldman&lt;/Author&gt;&lt;Year&gt;2009&lt;/Year&gt;&lt;RecNum&gt;526&lt;/RecNum&gt;&lt;DisplayText&gt;(Goldman et al., 2009)&lt;/DisplayText&gt;&lt;record&gt;&lt;rec-number&gt;526&lt;/rec-number&gt;&lt;foreign-keys&gt;&lt;key app="EN" db-id="ae9rewfrpdttrheppfxxv0p4950wpd25r09x" timestamp="1520876934"&gt;526&lt;/key&gt;&lt;/foreign-keys&gt;&lt;ref-type name="Journal Article"&gt;17&lt;/ref-type&gt;&lt;contributors&gt;&lt;authors&gt;&lt;author&gt;Goldman, H. M.&lt;/author&gt;&lt;author&gt;McFarlin, S. C.&lt;/author&gt;&lt;author&gt;Cooper, D. M. L.&lt;/author&gt;&lt;author&gt;Thomas, C. D. L.&lt;/author&gt;&lt;author&gt;Clement, J. G.&lt;/author&gt;&lt;/authors&gt;&lt;/contributors&gt;&lt;titles&gt;&lt;title&gt;Ontogenetic Patterning of Cortical Bone Microstructure and Geometry at the Human Mid</w:instrText>
      </w:r>
      <w:r w:rsidR="00751F63">
        <w:rPr>
          <w:rFonts w:ascii="American Typewriter" w:hAnsi="American Typewriter" w:cs="American Typewriter"/>
        </w:rPr>
        <w:instrText>‐</w:instrText>
      </w:r>
      <w:r w:rsidR="00751F63">
        <w:rPr>
          <w:rFonts w:ascii="Arial" w:hAnsi="Arial" w:cs="Arial"/>
        </w:rPr>
        <w:instrText>Shaft Femur&lt;/title&gt;&lt;secondary-title&gt;Anatomical Record: Advances in Integrative Anatomy and Evolutionary Biology&lt;/secondary-title&gt;&lt;/titles&gt;&lt;periodical&gt;&lt;full-title&gt;Anatomical Record: Advances in Integrative Anatomy and Evolutionary Biology&lt;/full-title&gt;&lt;/periodical&gt;&lt;pages&gt;48-64&lt;/pages&gt;&lt;volume&gt;292&lt;/volume&gt;&lt;number&gt;1&lt;/number&gt;&lt;keywords&gt;&lt;keyword&gt;Cortical Bone&lt;/keyword&gt;&lt;keyword&gt;Growth&lt;/keyword&gt;&lt;keyword&gt;Microstructure&lt;/keyword&gt;&lt;keyword&gt;Femur&lt;/keyword&gt;&lt;/keywords&gt;&lt;dates&gt;&lt;year&gt;2009&lt;/year&gt;&lt;/dates&gt;&lt;pub-location&gt;Hoboken&lt;/pub-location&gt;&lt;isbn&gt;1932-8486&lt;/isbn&gt;&lt;urls&gt;&lt;/urls&gt;&lt;electronic-resource-num&gt;10.1002/ar.20778&lt;/electronic-resource-num&gt;&lt;/record&gt;&lt;/Cite&gt;&lt;/EndNote&gt;</w:instrText>
      </w:r>
      <w:r w:rsidR="00751F63">
        <w:rPr>
          <w:rFonts w:ascii="Arial" w:hAnsi="Arial" w:cs="Arial"/>
        </w:rPr>
        <w:fldChar w:fldCharType="separate"/>
      </w:r>
      <w:r w:rsidR="00751F63">
        <w:rPr>
          <w:rFonts w:ascii="Arial" w:hAnsi="Arial" w:cs="Arial"/>
          <w:noProof/>
        </w:rPr>
        <w:t>(Goldman et al., 2009)</w:t>
      </w:r>
      <w:r w:rsidR="00751F63">
        <w:rPr>
          <w:rFonts w:ascii="Arial" w:hAnsi="Arial" w:cs="Arial"/>
        </w:rPr>
        <w:fldChar w:fldCharType="end"/>
      </w:r>
      <w:r w:rsidR="004E48D0">
        <w:rPr>
          <w:rFonts w:ascii="Arial" w:hAnsi="Arial" w:cs="Arial"/>
        </w:rPr>
        <w:t>.</w:t>
      </w:r>
    </w:p>
    <w:p w14:paraId="6BEF2289" w14:textId="77777777" w:rsidR="00A54A0B" w:rsidRDefault="00A54A0B" w:rsidP="00814A1C">
      <w:pPr>
        <w:spacing w:line="480" w:lineRule="auto"/>
        <w:jc w:val="both"/>
        <w:rPr>
          <w:rFonts w:ascii="Arial" w:hAnsi="Arial" w:cs="Arial"/>
        </w:rPr>
      </w:pPr>
    </w:p>
    <w:p w14:paraId="500CDE73" w14:textId="77777777" w:rsidR="00A54A0B" w:rsidRDefault="00814A1C" w:rsidP="00814A1C">
      <w:pPr>
        <w:spacing w:line="480" w:lineRule="auto"/>
        <w:jc w:val="both"/>
        <w:rPr>
          <w:rFonts w:ascii="Arial" w:hAnsi="Arial" w:cs="Arial"/>
        </w:rPr>
      </w:pPr>
      <w:r>
        <w:rPr>
          <w:rFonts w:ascii="Arial" w:hAnsi="Arial" w:cs="Arial"/>
        </w:rPr>
        <w:t xml:space="preserve">Age-related trabecular bone loss occurs earlier than cortical bone loss in young adulthood </w:t>
      </w:r>
    </w:p>
    <w:p w14:paraId="18BEC536" w14:textId="77777777" w:rsidR="00814A1C" w:rsidRDefault="00814A1C" w:rsidP="00814A1C">
      <w:pPr>
        <w:spacing w:line="480" w:lineRule="auto"/>
        <w:jc w:val="both"/>
        <w:rPr>
          <w:rFonts w:ascii="Arial" w:hAnsi="Arial" w:cs="Arial"/>
        </w:rPr>
      </w:pPr>
      <w:proofErr w:type="gramStart"/>
      <w:r>
        <w:rPr>
          <w:rFonts w:ascii="Arial" w:hAnsi="Arial" w:cs="Arial"/>
        </w:rPr>
        <w:lastRenderedPageBreak/>
        <w:t>and</w:t>
      </w:r>
      <w:proofErr w:type="gramEnd"/>
      <w:r>
        <w:rPr>
          <w:rFonts w:ascii="Arial" w:hAnsi="Arial" w:cs="Arial"/>
        </w:rPr>
        <w:t xml:space="preserve"> continues throughout the life</w:t>
      </w:r>
      <w:r w:rsidR="00F574EA">
        <w:rPr>
          <w:rFonts w:ascii="Arial" w:hAnsi="Arial" w:cs="Arial"/>
        </w:rPr>
        <w:t>-</w:t>
      </w:r>
      <w:r>
        <w:rPr>
          <w:rFonts w:ascii="Arial" w:hAnsi="Arial" w:cs="Arial"/>
        </w:rPr>
        <w:t xml:space="preserve">course both in men and women </w:t>
      </w:r>
      <w:r w:rsidR="00751F63">
        <w:rPr>
          <w:rFonts w:ascii="Arial" w:hAnsi="Arial" w:cs="Arial"/>
        </w:rPr>
        <w:fldChar w:fldCharType="begin">
          <w:fldData xml:space="preserve">PEVuZE5vdGU+PENpdGU+PEF1dGhvcj5SaWdnczwvQXV0aG9yPjxZZWFyPjIwMDQ8L1llYXI+PFJl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PEVuZE5vdGU+PENpdGU+PEF1dGhvcj5SaWdnczwvQXV0aG9yPjxZZWFyPjIwMDQ8L1llYXI+PFJl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751F63">
        <w:rPr>
          <w:rFonts w:ascii="Arial" w:hAnsi="Arial" w:cs="Arial"/>
        </w:rPr>
      </w:r>
      <w:r w:rsidR="00751F63">
        <w:rPr>
          <w:rFonts w:ascii="Arial" w:hAnsi="Arial" w:cs="Arial"/>
        </w:rPr>
        <w:fldChar w:fldCharType="separate"/>
      </w:r>
      <w:r w:rsidR="00751F63">
        <w:rPr>
          <w:rFonts w:ascii="Arial" w:hAnsi="Arial" w:cs="Arial"/>
          <w:noProof/>
        </w:rPr>
        <w:t>(Riggs et al., 2004, Khosla et al., 2006)</w:t>
      </w:r>
      <w:r w:rsidR="00751F63">
        <w:rPr>
          <w:rFonts w:ascii="Arial" w:hAnsi="Arial" w:cs="Arial"/>
        </w:rPr>
        <w:fldChar w:fldCharType="end"/>
      </w:r>
      <w:r w:rsidR="00634D4A">
        <w:rPr>
          <w:rFonts w:ascii="Arial" w:hAnsi="Arial" w:cs="Arial"/>
        </w:rPr>
        <w:t>.</w:t>
      </w:r>
      <w:r>
        <w:rPr>
          <w:rFonts w:ascii="Arial" w:hAnsi="Arial" w:cs="Arial"/>
        </w:rPr>
        <w:t xml:space="preserve"> The trabecular bone loss is associated with thinning of the trabeculae in men and microstructural deterioration, loss of trabecular number and consequent increase in trabecular separation particularly in early menopausal women </w:t>
      </w:r>
      <w:r w:rsidR="00751F63">
        <w:rPr>
          <w:rFonts w:ascii="Arial" w:hAnsi="Arial" w:cs="Arial"/>
        </w:rPr>
        <w:fldChar w:fldCharType="begin">
          <w:fldData xml:space="preserve">PEVuZE5vdGU+PENpdGU+PEF1dGhvcj5QYXJmaXR0PC9BdXRob3I+PFllYXI+MTk4NDwvWWVhcj48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PEVuZE5vdGU+PENpdGU+PEF1dGhvcj5QYXJmaXR0PC9BdXRob3I+PFllYXI+MTk4NDwvWWVhcj48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751F63">
        <w:rPr>
          <w:rFonts w:ascii="Arial" w:hAnsi="Arial" w:cs="Arial"/>
        </w:rPr>
      </w:r>
      <w:r w:rsidR="00751F63">
        <w:rPr>
          <w:rFonts w:ascii="Arial" w:hAnsi="Arial" w:cs="Arial"/>
        </w:rPr>
        <w:fldChar w:fldCharType="separate"/>
      </w:r>
      <w:r w:rsidR="00751F63">
        <w:rPr>
          <w:rFonts w:ascii="Arial" w:hAnsi="Arial" w:cs="Arial"/>
          <w:noProof/>
        </w:rPr>
        <w:t>(Parfitt, 1984, Dempster et al., 1995)</w:t>
      </w:r>
      <w:r w:rsidR="00751F63">
        <w:rPr>
          <w:rFonts w:ascii="Arial" w:hAnsi="Arial" w:cs="Arial"/>
        </w:rPr>
        <w:fldChar w:fldCharType="end"/>
      </w:r>
      <w:r w:rsidR="002B617F">
        <w:rPr>
          <w:rFonts w:ascii="Arial" w:hAnsi="Arial" w:cs="Arial"/>
        </w:rPr>
        <w:t>.</w:t>
      </w:r>
      <w:r w:rsidR="003C5DFD">
        <w:rPr>
          <w:rFonts w:ascii="Arial" w:hAnsi="Arial" w:cs="Arial"/>
        </w:rPr>
        <w:t xml:space="preserve"> Women lo</w:t>
      </w:r>
      <w:r>
        <w:rPr>
          <w:rFonts w:ascii="Arial" w:hAnsi="Arial" w:cs="Arial"/>
        </w:rPr>
        <w:t xml:space="preserve">se 37% and men 42% of their total lifetime trabecular bone mass before the age of 50 compared with 6% and 15% loss of the cortical bone respectively. The early-onset of the trabecular bone loss in both genders may be partially due to the reduced mechanosensitivity </w:t>
      </w:r>
      <w:r w:rsidR="00751F63">
        <w:rPr>
          <w:rFonts w:ascii="Arial" w:hAnsi="Arial" w:cs="Arial"/>
        </w:rPr>
        <w:fldChar w:fldCharType="begin"/>
      </w:r>
      <w:r w:rsidR="0000415D">
        <w:rPr>
          <w:rFonts w:ascii="Arial" w:hAnsi="Arial" w:cs="Arial"/>
        </w:rPr>
        <w:instrText xml:space="preserve"> ADDIN EN.CITE &lt;EndNote&gt;&lt;Cite&gt;&lt;Author&gt;Riggs&lt;/Author&gt;&lt;Year&gt;2008&lt;/Year&gt;&lt;RecNum&gt;525&lt;/RecNum&gt;&lt;DisplayText&gt;(Riggs et al., 2008)&lt;/DisplayText&gt;&lt;record&gt;&lt;rec-number&gt;525&lt;/rec-number&gt;&lt;foreign-keys&gt;&lt;key app="EN" db-id="ae9rewfrpdttrheppfxxv0p4950wpd25r09x" timestamp="1520851333"&gt;525&lt;/key&gt;&lt;/foreign-keys&gt;&lt;ref-type name="Journal Article"&gt;17&lt;/ref-type&gt;&lt;contributors&gt;&lt;authors&gt;&lt;author&gt;Riggs, Bl&lt;/author&gt;&lt;author&gt;Melton, Lj&lt;/author&gt;&lt;author&gt;Robb, Ra&lt;/author&gt;&lt;author&gt;Camp, Jj&lt;/author&gt;&lt;author&gt;Atkinson, Ej&lt;/author&gt;&lt;author&gt;McDaniel, L.&lt;/author&gt;&lt;author&gt;Amin, S.&lt;/author&gt;&lt;author&gt;Rouleau, P. A.&lt;/author&gt;&lt;author&gt;Khosla, S.&lt;/author&gt;&lt;/authors&gt;&lt;/contributors&gt;&lt;titles&gt;&lt;title&gt;A population-based assessment of rates of bone loss at multiple skeletal sites: Evidence for substantial trabecular bone loss in young adult women and men&lt;/title&gt;&lt;secondary-title&gt;Journal of  Bone and Mineral Research&lt;/secondary-title&gt;&lt;/titles&gt;&lt;periodical&gt;&lt;full-title&gt;Journal of  Bone and Mineral Research&lt;/full-title&gt;&lt;/periodical&gt;&lt;pages&gt;205-214&lt;/pages&gt;&lt;volume&gt;23&lt;/volume&gt;&lt;number&gt;2&lt;/number&gt;&lt;dates&gt;&lt;year&gt;2008&lt;/year&gt;&lt;/dates&gt;&lt;isbn&gt;0884-0431&lt;/isbn&gt;&lt;urls&gt;&lt;/urls&gt;&lt;electronic-resource-num&gt;10.1359/JBMR.071020&lt;/electronic-resource-num&gt;&lt;/record&gt;&lt;/Cite&gt;&lt;/EndNote&gt;</w:instrText>
      </w:r>
      <w:r w:rsidR="00751F63">
        <w:rPr>
          <w:rFonts w:ascii="Arial" w:hAnsi="Arial" w:cs="Arial"/>
        </w:rPr>
        <w:fldChar w:fldCharType="separate"/>
      </w:r>
      <w:r w:rsidR="00751F63">
        <w:rPr>
          <w:rFonts w:ascii="Arial" w:hAnsi="Arial" w:cs="Arial"/>
          <w:noProof/>
        </w:rPr>
        <w:t>(Riggs et al., 2008)</w:t>
      </w:r>
      <w:r w:rsidR="00751F63">
        <w:rPr>
          <w:rFonts w:ascii="Arial" w:hAnsi="Arial" w:cs="Arial"/>
        </w:rPr>
        <w:fldChar w:fldCharType="end"/>
      </w:r>
      <w:r w:rsidR="0007344A">
        <w:rPr>
          <w:rFonts w:ascii="Arial" w:hAnsi="Arial" w:cs="Arial"/>
        </w:rPr>
        <w:t>.</w:t>
      </w:r>
    </w:p>
    <w:p w14:paraId="69A05D84" w14:textId="77777777" w:rsidR="00814A1C" w:rsidRDefault="00814A1C" w:rsidP="00814A1C">
      <w:pPr>
        <w:spacing w:line="480" w:lineRule="auto"/>
        <w:jc w:val="both"/>
        <w:rPr>
          <w:rFonts w:ascii="Arial" w:hAnsi="Arial" w:cs="Arial"/>
        </w:rPr>
      </w:pPr>
    </w:p>
    <w:p w14:paraId="483073EF" w14:textId="77777777" w:rsidR="00814A1C" w:rsidRDefault="00814A1C" w:rsidP="00814A1C">
      <w:pPr>
        <w:spacing w:line="480" w:lineRule="auto"/>
        <w:jc w:val="both"/>
        <w:rPr>
          <w:rFonts w:ascii="Arial" w:hAnsi="Arial"/>
          <w:color w:val="000000"/>
        </w:rPr>
      </w:pPr>
      <w:r>
        <w:rPr>
          <w:rFonts w:ascii="Arial" w:hAnsi="Arial"/>
          <w:color w:val="000000"/>
        </w:rPr>
        <w:t xml:space="preserve">Age-related changes in bone mass and architecture identified in both male and female C57BL/6 mice appear to mimic many of those observed in humans </w:t>
      </w:r>
      <w:r w:rsidR="00751F63">
        <w:rPr>
          <w:rFonts w:ascii="Arial" w:hAnsi="Arial"/>
          <w:color w:val="000000"/>
        </w:rPr>
        <w:fldChar w:fldCharType="begin">
          <w:fldData xml:space="preserve">PEVuZE5vdGU+PENpdGU+PEF1dGhvcj5GZXJndXNvbjwvQXV0aG9yPjxZZWFyPjIwMDM8L1llYXI+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</w:fldData>
        </w:fldChar>
      </w:r>
      <w:r w:rsidR="00751F63">
        <w:rPr>
          <w:rFonts w:ascii="Arial" w:hAnsi="Arial"/>
          <w:color w:val="000000"/>
        </w:rPr>
        <w:instrText xml:space="preserve"> ADDIN EN.CITE </w:instrText>
      </w:r>
      <w:r w:rsidR="00751F63">
        <w:rPr>
          <w:rFonts w:ascii="Arial" w:hAnsi="Arial"/>
          <w:color w:val="000000"/>
        </w:rPr>
        <w:fldChar w:fldCharType="begin">
          <w:fldData xml:space="preserve">PEVuZE5vdGU+PENpdGU+PEF1dGhvcj5GZXJndXNvbjwvQXV0aG9yPjxZZWFyPjIwMDM8L1llYXI+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</w:fldData>
        </w:fldChar>
      </w:r>
      <w:r w:rsidR="00751F63">
        <w:rPr>
          <w:rFonts w:ascii="Arial" w:hAnsi="Arial"/>
          <w:color w:val="000000"/>
        </w:rPr>
        <w:instrText xml:space="preserve"> ADDIN EN.CITE.DATA </w:instrText>
      </w:r>
      <w:r w:rsidR="00751F63">
        <w:rPr>
          <w:rFonts w:ascii="Arial" w:hAnsi="Arial"/>
          <w:color w:val="000000"/>
        </w:rPr>
      </w:r>
      <w:r w:rsidR="00751F63">
        <w:rPr>
          <w:rFonts w:ascii="Arial" w:hAnsi="Arial"/>
          <w:color w:val="000000"/>
        </w:rPr>
        <w:fldChar w:fldCharType="end"/>
      </w:r>
      <w:r w:rsidR="00751F63">
        <w:rPr>
          <w:rFonts w:ascii="Arial" w:hAnsi="Arial"/>
          <w:color w:val="000000"/>
        </w:rPr>
      </w:r>
      <w:r w:rsidR="00751F63">
        <w:rPr>
          <w:rFonts w:ascii="Arial" w:hAnsi="Arial"/>
          <w:color w:val="000000"/>
        </w:rPr>
        <w:fldChar w:fldCharType="separate"/>
      </w:r>
      <w:r w:rsidR="00751F63">
        <w:rPr>
          <w:rFonts w:ascii="Arial" w:hAnsi="Arial"/>
          <w:noProof/>
          <w:color w:val="000000"/>
        </w:rPr>
        <w:t>(Ferguson et al., 2003, Almeida et al., 2007b, Willinghamm et al., 2010)</w:t>
      </w:r>
      <w:r w:rsidR="00751F63">
        <w:rPr>
          <w:rFonts w:ascii="Arial" w:hAnsi="Arial"/>
          <w:color w:val="000000"/>
        </w:rPr>
        <w:fldChar w:fldCharType="end"/>
      </w:r>
      <w:r w:rsidR="00E57A75">
        <w:rPr>
          <w:rFonts w:ascii="Arial" w:hAnsi="Arial"/>
          <w:color w:val="000000"/>
        </w:rPr>
        <w:t xml:space="preserve">. </w:t>
      </w:r>
      <w:r w:rsidR="00C619E4">
        <w:rPr>
          <w:rFonts w:ascii="Arial" w:hAnsi="Arial"/>
          <w:color w:val="000000"/>
        </w:rPr>
        <w:t>T</w:t>
      </w:r>
      <w:r>
        <w:rPr>
          <w:rFonts w:ascii="Arial" w:hAnsi="Arial"/>
          <w:color w:val="000000"/>
        </w:rPr>
        <w:t xml:space="preserve">he age of mice at which skeletal changes are observed </w:t>
      </w:r>
      <w:r w:rsidR="00C619E4">
        <w:rPr>
          <w:rFonts w:ascii="Arial" w:hAnsi="Arial"/>
          <w:color w:val="000000"/>
        </w:rPr>
        <w:t xml:space="preserve">including dramatic </w:t>
      </w:r>
      <w:r w:rsidR="00C619E4">
        <w:rPr>
          <w:rFonts w:ascii="Arial" w:hAnsi="Arial" w:cs="Arial"/>
        </w:rPr>
        <w:t>loss of the trabecular bone mass and moderate loss of the cortical bone mass</w:t>
      </w:r>
      <w:r w:rsidR="00C619E4">
        <w:rPr>
          <w:rFonts w:ascii="Arial" w:hAnsi="Arial"/>
          <w:color w:val="000000"/>
        </w:rPr>
        <w:t xml:space="preserve"> </w:t>
      </w:r>
      <w:r>
        <w:rPr>
          <w:rFonts w:ascii="Arial" w:hAnsi="Arial" w:cs="Arial"/>
        </w:rPr>
        <w:t xml:space="preserve">reinforces the suitability of the </w:t>
      </w:r>
      <w:r>
        <w:rPr>
          <w:rFonts w:ascii="Arial" w:hAnsi="Arial"/>
          <w:color w:val="000000"/>
        </w:rPr>
        <w:t xml:space="preserve">C57BL/6 mouse models for the human skeletal ageing studies </w:t>
      </w:r>
      <w:r w:rsidR="00751F63">
        <w:rPr>
          <w:rFonts w:ascii="Arial" w:hAnsi="Arial"/>
          <w:color w:val="000000"/>
        </w:rPr>
        <w:fldChar w:fldCharType="begin"/>
      </w:r>
      <w:r w:rsidR="00751F63">
        <w:rPr>
          <w:rFonts w:ascii="Arial" w:hAnsi="Arial"/>
          <w:color w:val="000000"/>
        </w:rPr>
        <w:instrText xml:space="preserve"> ADDIN EN.CITE &lt;EndNote&gt;&lt;Cite&gt;&lt;Author&gt;Glatt&lt;/Author&gt;&lt;Year&gt;2007&lt;/Year&gt;&lt;RecNum&gt;528&lt;/RecNum&gt;&lt;DisplayText&gt;(Glatt et al., 2007, Willie et al., 2013)&lt;/DisplayText&gt;&lt;record&gt;&lt;rec-number&gt;528&lt;/rec-number&gt;&lt;foreign-keys&gt;&lt;key app="EN" db-id="ae9rewfrpdttrheppfxxv0p4950wpd25r09x" timestamp="1520883280"&gt;528&lt;/key&gt;&lt;/foreign-keys&gt;&lt;ref-type name="Journal Article"&gt;17&lt;/ref-type&gt;&lt;contributors&gt;&lt;authors&gt;&lt;author&gt;Glatt, V.&lt;/author&gt;&lt;author&gt;Shult, Kl&lt;/author&gt;&lt;author&gt;Beamer, Wg&lt;/author&gt;&lt;author&gt;Rosen, C. J.&lt;/author&gt;&lt;author&gt;Bouxsein, Ml&lt;/author&gt;&lt;/authors&gt;&lt;/contributors&gt;&lt;titles&gt;&lt;title&gt;Age-related changes in bone architecture vary among inbred strains of mice&lt;/title&gt;&lt;secondary-title&gt;Bone&lt;/secondary-title&gt;&lt;/titles&gt;&lt;periodical&gt;&lt;full-title&gt;Bone&lt;/full-title&gt;&lt;/periodical&gt;&lt;pages&gt;S194-S194&lt;/pages&gt;&lt;volume&gt;40&lt;/volume&gt;&lt;number&gt;6&lt;/number&gt;&lt;dates&gt;&lt;year&gt;2007&lt;/year&gt;&lt;/dates&gt;&lt;isbn&gt;8756-3282&lt;/isbn&gt;&lt;urls&gt;&lt;/urls&gt;&lt;/record&gt;&lt;/Cite&gt;&lt;Cite&gt;&lt;Author&gt;Willie&lt;/Author&gt;&lt;Year&gt;2013&lt;/Year&gt;&lt;RecNum&gt;274&lt;/RecNum&gt;&lt;record&gt;&lt;rec-number&gt;274&lt;/rec-number&gt;&lt;foreign-keys&gt;&lt;key app="EN" db-id="ae9rewfrpdttrheppfxxv0p4950wpd25r09x" timestamp="1520658250"&gt;274&lt;/key&gt;&lt;key app="ENWeb" db-id=""&gt;0&lt;/key&gt;&lt;/foreign-keys&gt;&lt;ref-type name="Journal Article"&gt;17&lt;/ref-type&gt;&lt;contributors&gt;&lt;authors&gt;&lt;author&gt;Willie, B. M.&lt;/author&gt;&lt;author&gt;Birkhold, A. I.&lt;/author&gt;&lt;author&gt;Razi, H.&lt;/author&gt;&lt;author&gt;Thiele, T.&lt;/author&gt;&lt;author&gt;Aido, M.&lt;/author&gt;&lt;author&gt;Kruck, B.&lt;/author&gt;&lt;author&gt;Schill, A.&lt;/author&gt;&lt;author&gt;Checa, S.&lt;/author&gt;&lt;author&gt;Main, Rp&lt;/author&gt;&lt;author&gt;Duda, Gn&lt;/author&gt;&lt;/authors&gt;&lt;/contributors&gt;&lt;titles&gt;&lt;title&gt;Diminished response to in vivo mechanical loading in trabecular and not cortical bone in adulthood of female C57Bl/6 mice coincides with a reduction in deformation to load&lt;/title&gt;&lt;secondary-title&gt;Bone&lt;/secondary-title&gt;&lt;/titles&gt;&lt;periodical&gt;&lt;full-title&gt;Bone&lt;/full-title&gt;&lt;/periodical&gt;&lt;pages&gt;335-346&lt;/pages&gt;&lt;volume&gt;55&lt;/volume&gt;&lt;number&gt;2&lt;/number&gt;&lt;dates&gt;&lt;year&gt;2013&lt;/year&gt;&lt;/dates&gt;&lt;isbn&gt;8756-3282&lt;/isbn&gt;&lt;urls&gt;&lt;/urls&gt;&lt;electronic-resource-num&gt;10.1016/j.bone.2013.04.023&lt;/electronic-resource-num&gt;&lt;/record&gt;&lt;/Cite&gt;&lt;/EndNote&gt;</w:instrText>
      </w:r>
      <w:r w:rsidR="00751F63">
        <w:rPr>
          <w:rFonts w:ascii="Arial" w:hAnsi="Arial"/>
          <w:color w:val="000000"/>
        </w:rPr>
        <w:fldChar w:fldCharType="separate"/>
      </w:r>
      <w:r w:rsidR="00751F63">
        <w:rPr>
          <w:rFonts w:ascii="Arial" w:hAnsi="Arial"/>
          <w:noProof/>
          <w:color w:val="000000"/>
        </w:rPr>
        <w:t>(Glatt et al., 2007, Willie et al., 2013)</w:t>
      </w:r>
      <w:r w:rsidR="00751F63">
        <w:rPr>
          <w:rFonts w:ascii="Arial" w:hAnsi="Arial"/>
          <w:color w:val="000000"/>
        </w:rPr>
        <w:fldChar w:fldCharType="end"/>
      </w:r>
      <w:r w:rsidR="008074FD">
        <w:rPr>
          <w:rFonts w:ascii="Arial" w:hAnsi="Arial"/>
          <w:color w:val="000000"/>
        </w:rPr>
        <w:t xml:space="preserve">. </w:t>
      </w:r>
      <w:r>
        <w:rPr>
          <w:rFonts w:ascii="Arial" w:hAnsi="Arial"/>
          <w:color w:val="000000"/>
        </w:rPr>
        <w:t xml:space="preserve">Albeit the loss of the trabecular bone is evident by 26 weeks </w:t>
      </w:r>
      <w:r w:rsidR="00751F63">
        <w:rPr>
          <w:rFonts w:ascii="Arial" w:hAnsi="Arial"/>
          <w:color w:val="000000"/>
        </w:rPr>
        <w:fldChar w:fldCharType="begin"/>
      </w:r>
      <w:r w:rsidR="00751F63">
        <w:rPr>
          <w:rFonts w:ascii="Arial" w:hAnsi="Arial"/>
          <w:color w:val="000000"/>
        </w:rPr>
        <w:instrText xml:space="preserve"> ADDIN EN.CITE &lt;EndNote&gt;&lt;Cite&gt;&lt;Author&gt;Willinghamm&lt;/Author&gt;&lt;Year&gt;2010&lt;/Year&gt;&lt;RecNum&gt;328&lt;/RecNum&gt;&lt;DisplayText&gt;(Willinghamm et al., 2010)&lt;/DisplayText&gt;&lt;record&gt;&lt;rec-number&gt;328&lt;/rec-number&gt;&lt;foreign-keys&gt;&lt;key app="EN" db-id="ae9rewfrpdttrheppfxxv0p4950wpd25r09x" timestamp="1520658297"&gt;328&lt;/key&gt;&lt;/foreign-keys&gt;&lt;ref-type name="Journal Article"&gt;17&lt;/ref-type&gt;&lt;contributors&gt;&lt;authors&gt;&lt;author&gt;Willinghamm, Mark&lt;/author&gt;&lt;author&gt;Brodt, Michael&lt;/author&gt;&lt;author&gt;Lee, Kristen&lt;/author&gt;&lt;author&gt;Stephens, Abby&lt;/author&gt;&lt;author&gt;Ye, Jiaxin&lt;/author&gt;&lt;author&gt;Silva, Matthew&lt;/author&gt;&lt;/authors&gt;&lt;/contributors&gt;&lt;titles&gt;&lt;title&gt;Age- Related Changes in Bone Structure and Strength in Female and Male BALB/ c Mice&lt;/title&gt;&lt;secondary-title&gt;Calcified Tissue International&lt;/secondary-title&gt;&lt;/titles&gt;&lt;periodical&gt;&lt;full-title&gt;Calcified Tissue International&lt;/full-title&gt;&lt;/periodical&gt;&lt;pages&gt;470-483&lt;/pages&gt;&lt;volume&gt;86&lt;/volume&gt;&lt;number&gt;6&lt;/number&gt;&lt;keywords&gt;&lt;keyword&gt;Bone structure&lt;/keyword&gt;&lt;keyword&gt;Bone strength&lt;/keyword&gt;&lt;keyword&gt;Bone mineralization&lt;/keyword&gt;&lt;keyword&gt;Aging&lt;/keyword&gt;&lt;keyword&gt;Mouse model&lt;/keyword&gt;&lt;/keywords&gt;&lt;dates&gt;&lt;year&gt;2010&lt;/year&gt;&lt;/dates&gt;&lt;pub-location&gt;New York&lt;/pub-location&gt;&lt;isbn&gt;0171-967X&lt;/isbn&gt;&lt;urls&gt;&lt;/urls&gt;&lt;electronic-resource-num&gt;10.1007/s00223-010-9359-y&lt;/electronic-resource-num&gt;&lt;/record&gt;&lt;/Cite&gt;&lt;/EndNote&gt;</w:instrText>
      </w:r>
      <w:r w:rsidR="00751F63">
        <w:rPr>
          <w:rFonts w:ascii="Arial" w:hAnsi="Arial"/>
          <w:color w:val="000000"/>
        </w:rPr>
        <w:fldChar w:fldCharType="separate"/>
      </w:r>
      <w:r w:rsidR="00751F63">
        <w:rPr>
          <w:rFonts w:ascii="Arial" w:hAnsi="Arial"/>
          <w:noProof/>
          <w:color w:val="000000"/>
        </w:rPr>
        <w:t>(Willinghamm et al., 2010)</w:t>
      </w:r>
      <w:r w:rsidR="00751F63">
        <w:rPr>
          <w:rFonts w:ascii="Arial" w:hAnsi="Arial"/>
          <w:color w:val="000000"/>
        </w:rPr>
        <w:fldChar w:fldCharType="end"/>
      </w:r>
      <w:r w:rsidR="008074FD">
        <w:rPr>
          <w:rFonts w:ascii="Arial" w:hAnsi="Arial"/>
          <w:color w:val="000000"/>
        </w:rPr>
        <w:t xml:space="preserve">, </w:t>
      </w:r>
      <w:r>
        <w:rPr>
          <w:rFonts w:ascii="Arial" w:hAnsi="Arial"/>
          <w:color w:val="000000"/>
        </w:rPr>
        <w:t xml:space="preserve">age-related loss of the cortical bone in mouse long bones occurs at around 16 months of age </w:t>
      </w:r>
      <w:r w:rsidR="00751F63">
        <w:rPr>
          <w:rFonts w:ascii="Arial" w:hAnsi="Arial"/>
          <w:color w:val="000000"/>
        </w:rPr>
        <w:fldChar w:fldCharType="begin">
          <w:fldData xml:space="preserve">PEVuZE5vdGU+PENpdGU+PEF1dGhvcj5BbG1laWRhPC9BdXRob3I+PFllYXI+MjAwNzwvWWVhcj48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</w:fldData>
        </w:fldChar>
      </w:r>
      <w:r w:rsidR="00751F63">
        <w:rPr>
          <w:rFonts w:ascii="Arial" w:hAnsi="Arial"/>
          <w:color w:val="000000"/>
        </w:rPr>
        <w:instrText xml:space="preserve"> ADDIN EN.CITE </w:instrText>
      </w:r>
      <w:r w:rsidR="00751F63">
        <w:rPr>
          <w:rFonts w:ascii="Arial" w:hAnsi="Arial"/>
          <w:color w:val="000000"/>
        </w:rPr>
        <w:fldChar w:fldCharType="begin">
          <w:fldData xml:space="preserve">PEVuZE5vdGU+PENpdGU+PEF1dGhvcj5BbG1laWRhPC9BdXRob3I+PFllYXI+MjAwNzwvWWVhcj48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</w:fldData>
        </w:fldChar>
      </w:r>
      <w:r w:rsidR="00751F63">
        <w:rPr>
          <w:rFonts w:ascii="Arial" w:hAnsi="Arial"/>
          <w:color w:val="000000"/>
        </w:rPr>
        <w:instrText xml:space="preserve"> ADDIN EN.CITE.DATA </w:instrText>
      </w:r>
      <w:r w:rsidR="00751F63">
        <w:rPr>
          <w:rFonts w:ascii="Arial" w:hAnsi="Arial"/>
          <w:color w:val="000000"/>
        </w:rPr>
      </w:r>
      <w:r w:rsidR="00751F63">
        <w:rPr>
          <w:rFonts w:ascii="Arial" w:hAnsi="Arial"/>
          <w:color w:val="000000"/>
        </w:rPr>
        <w:fldChar w:fldCharType="end"/>
      </w:r>
      <w:r w:rsidR="00751F63">
        <w:rPr>
          <w:rFonts w:ascii="Arial" w:hAnsi="Arial"/>
          <w:color w:val="000000"/>
        </w:rPr>
      </w:r>
      <w:r w:rsidR="00751F63">
        <w:rPr>
          <w:rFonts w:ascii="Arial" w:hAnsi="Arial"/>
          <w:color w:val="000000"/>
        </w:rPr>
        <w:fldChar w:fldCharType="separate"/>
      </w:r>
      <w:r w:rsidR="00751F63">
        <w:rPr>
          <w:rFonts w:ascii="Arial" w:hAnsi="Arial"/>
          <w:noProof/>
          <w:color w:val="000000"/>
        </w:rPr>
        <w:t>(Almeida et al., 2007b)</w:t>
      </w:r>
      <w:r w:rsidR="00751F63">
        <w:rPr>
          <w:rFonts w:ascii="Arial" w:hAnsi="Arial"/>
          <w:color w:val="000000"/>
        </w:rPr>
        <w:fldChar w:fldCharType="end"/>
      </w:r>
      <w:r w:rsidR="004334BA">
        <w:rPr>
          <w:rFonts w:ascii="Arial" w:hAnsi="Arial"/>
          <w:color w:val="000000"/>
        </w:rPr>
        <w:t xml:space="preserve">. </w:t>
      </w:r>
      <w:r>
        <w:rPr>
          <w:rFonts w:ascii="Arial" w:hAnsi="Arial"/>
          <w:color w:val="000000"/>
        </w:rPr>
        <w:t xml:space="preserve">For all the experiments presented within this chapter we have used well-established non-invasive axial tibial loading model of aged 20-month-old C57BL/6 male mice.  </w:t>
      </w:r>
    </w:p>
    <w:p w14:paraId="05DC6FA5" w14:textId="77777777" w:rsidR="00814A1C" w:rsidRDefault="00814A1C" w:rsidP="00814A1C">
      <w:pPr>
        <w:spacing w:line="480" w:lineRule="auto"/>
        <w:jc w:val="both"/>
        <w:rPr>
          <w:rFonts w:ascii="Arial" w:hAnsi="Arial"/>
          <w:color w:val="000000"/>
        </w:rPr>
      </w:pPr>
    </w:p>
    <w:p w14:paraId="74B3BBEB" w14:textId="77777777" w:rsidR="00814A1C" w:rsidRPr="00C36162" w:rsidRDefault="00814A1C" w:rsidP="00814A1C">
      <w:pPr>
        <w:spacing w:line="480" w:lineRule="auto"/>
        <w:jc w:val="both"/>
        <w:rPr>
          <w:rFonts w:ascii="Arial" w:hAnsi="Arial" w:cs="Arial"/>
          <w:i/>
        </w:rPr>
      </w:pPr>
      <w:r>
        <w:rPr>
          <w:rFonts w:ascii="Arial" w:hAnsi="Arial" w:cs="Arial"/>
        </w:rPr>
        <w:t xml:space="preserve">Several previous studies indicated that bone’s adaptation to loading is impaired with age both in humans and animals </w:t>
      </w:r>
      <w:r w:rsidR="00751F63">
        <w:rPr>
          <w:rFonts w:ascii="Arial" w:hAnsi="Arial" w:cs="Arial"/>
        </w:rPr>
        <w:fldChar w:fldCharType="begin">
          <w:fldData xml:space="preserve">PEVuZE5vdGU+PENpdGU+PEF1dGhvcj5SdWJpbjwvQXV0aG9yPjxZZWFyPjE5OTI8L1llYXI+PFJl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PEVuZE5vdGU+PENpdGU+PEF1dGhvcj5SdWJpbjwvQXV0aG9yPjxZZWFyPjE5OTI8L1llYXI+PFJl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751F63">
        <w:rPr>
          <w:rFonts w:ascii="Arial" w:hAnsi="Arial" w:cs="Arial"/>
        </w:rPr>
      </w:r>
      <w:r w:rsidR="00751F63">
        <w:rPr>
          <w:rFonts w:ascii="Arial" w:hAnsi="Arial" w:cs="Arial"/>
        </w:rPr>
        <w:fldChar w:fldCharType="separate"/>
      </w:r>
      <w:r w:rsidR="00751F63">
        <w:rPr>
          <w:rFonts w:ascii="Arial" w:hAnsi="Arial" w:cs="Arial"/>
          <w:noProof/>
        </w:rPr>
        <w:t>(Rubin et al., 1992, Turner et al., 1995, Srinivasan et al., 2003)</w:t>
      </w:r>
      <w:r w:rsidR="00751F63">
        <w:rPr>
          <w:rFonts w:ascii="Arial" w:hAnsi="Arial" w:cs="Arial"/>
        </w:rPr>
        <w:fldChar w:fldCharType="end"/>
      </w:r>
      <w:r w:rsidR="00B246AD">
        <w:rPr>
          <w:rFonts w:ascii="Arial" w:hAnsi="Arial" w:cs="Arial"/>
        </w:rPr>
        <w:t xml:space="preserve">. </w:t>
      </w:r>
      <w:r w:rsidR="00702A72">
        <w:rPr>
          <w:rFonts w:ascii="Arial" w:hAnsi="Arial" w:cs="Arial"/>
        </w:rPr>
        <w:t xml:space="preserve">In model organisms, ageing is associated with a decreased function of mechanostat and decline of the skeletal robustness </w:t>
      </w:r>
      <w:r w:rsidR="00751F63">
        <w:rPr>
          <w:rFonts w:ascii="Arial" w:hAnsi="Arial" w:cs="Arial"/>
        </w:rPr>
        <w:fldChar w:fldCharType="begin">
          <w:fldData xml:space="preserve">PEVuZE5vdGU+PENpdGU+PEF1dGhvcj5TaWxiZXJtYW5uPC9BdXRob3I+PFllYXI+MTk5MDwvWWVh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PEVuZE5vdGU+PENpdGU+PEF1dGhvcj5TaWxiZXJtYW5uPC9BdXRob3I+PFllYXI+MTk5MDwvWWVh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751F63">
        <w:rPr>
          <w:rFonts w:ascii="Arial" w:hAnsi="Arial" w:cs="Arial"/>
        </w:rPr>
      </w:r>
      <w:r w:rsidR="00751F63">
        <w:rPr>
          <w:rFonts w:ascii="Arial" w:hAnsi="Arial" w:cs="Arial"/>
        </w:rPr>
        <w:fldChar w:fldCharType="separate"/>
      </w:r>
      <w:r w:rsidR="00751F63">
        <w:rPr>
          <w:rFonts w:ascii="Arial" w:hAnsi="Arial" w:cs="Arial"/>
          <w:noProof/>
        </w:rPr>
        <w:t>(Silbermann et al., 1990, Rubin et al., 1992, Hoshi et al., 1998, Meakin et al., 2014)</w:t>
      </w:r>
      <w:r w:rsidR="00751F63">
        <w:rPr>
          <w:rFonts w:ascii="Arial" w:hAnsi="Arial" w:cs="Arial"/>
        </w:rPr>
        <w:fldChar w:fldCharType="end"/>
      </w:r>
      <w:r w:rsidR="00EB5953">
        <w:rPr>
          <w:rFonts w:ascii="Arial" w:hAnsi="Arial" w:cs="Arial"/>
        </w:rPr>
        <w:t xml:space="preserve">. </w:t>
      </w:r>
      <w:r>
        <w:rPr>
          <w:rFonts w:ascii="Arial" w:hAnsi="Arial" w:cs="Arial"/>
        </w:rPr>
        <w:t xml:space="preserve">Due to age-related alterations in bone mass </w:t>
      </w:r>
      <w:r>
        <w:rPr>
          <w:rFonts w:ascii="Arial" w:hAnsi="Arial" w:cs="Arial"/>
        </w:rPr>
        <w:lastRenderedPageBreak/>
        <w:t>and architecture, the load-strain relations</w:t>
      </w:r>
      <w:r w:rsidR="005370FF">
        <w:rPr>
          <w:rFonts w:ascii="Arial" w:hAnsi="Arial" w:cs="Arial"/>
        </w:rPr>
        <w:t>hips also change. Finite element</w:t>
      </w:r>
      <w:r>
        <w:rPr>
          <w:rFonts w:ascii="Arial" w:hAnsi="Arial" w:cs="Arial"/>
        </w:rPr>
        <w:t xml:space="preserve"> analysis and </w:t>
      </w:r>
      <w:r>
        <w:rPr>
          <w:rFonts w:ascii="Arial" w:hAnsi="Arial" w:cs="Arial"/>
          <w:i/>
        </w:rPr>
        <w:t>e</w:t>
      </w:r>
      <w:r w:rsidRPr="00C11711">
        <w:rPr>
          <w:rFonts w:ascii="Arial" w:hAnsi="Arial" w:cs="Arial"/>
          <w:i/>
        </w:rPr>
        <w:t>x vivo</w:t>
      </w:r>
      <w:r>
        <w:rPr>
          <w:rFonts w:ascii="Arial" w:hAnsi="Arial" w:cs="Arial"/>
        </w:rPr>
        <w:t xml:space="preserve"> strain gage measurements indicate that bone stiffness declines with age in both male and female mice, which reflects age-related loss of the cortical bone </w:t>
      </w:r>
      <w:r w:rsidR="00597643">
        <w:rPr>
          <w:rFonts w:ascii="Arial" w:hAnsi="Arial" w:cs="Arial"/>
        </w:rPr>
        <w:t>and reduced mechanical</w:t>
      </w:r>
      <w:r>
        <w:rPr>
          <w:rFonts w:ascii="Arial" w:hAnsi="Arial" w:cs="Arial"/>
        </w:rPr>
        <w:t xml:space="preserve"> properties </w:t>
      </w:r>
      <w:r w:rsidR="009478F1">
        <w:rPr>
          <w:rFonts w:ascii="Arial" w:hAnsi="Arial" w:cs="Arial"/>
        </w:rPr>
        <w:t>of the bone material despite</w:t>
      </w:r>
      <w:r>
        <w:rPr>
          <w:rFonts w:ascii="Arial" w:hAnsi="Arial" w:cs="Arial"/>
        </w:rPr>
        <w:t xml:space="preserve"> </w:t>
      </w:r>
      <w:r w:rsidR="00F574EA">
        <w:rPr>
          <w:rFonts w:ascii="Arial" w:hAnsi="Arial" w:cs="Arial"/>
        </w:rPr>
        <w:t>relatively</w:t>
      </w:r>
      <w:r>
        <w:rPr>
          <w:rFonts w:ascii="Arial" w:hAnsi="Arial" w:cs="Arial"/>
        </w:rPr>
        <w:t xml:space="preserve"> increased cross-sectional geometry</w:t>
      </w:r>
      <w:r w:rsidR="009478F1">
        <w:rPr>
          <w:rFonts w:ascii="Arial" w:hAnsi="Arial" w:cs="Arial"/>
        </w:rPr>
        <w:t xml:space="preserve"> of whole bones </w:t>
      </w:r>
      <w:r w:rsidR="00751F63">
        <w:rPr>
          <w:rFonts w:ascii="Arial" w:hAnsi="Arial" w:cs="Arial"/>
        </w:rPr>
        <w:fldChar w:fldCharType="begin">
          <w:fldData xml:space="preserve">PEVuZE5vdGU+PENpdGU+PEF1dGhvcj5GZXJndXNvbjwvQXV0aG9yPjxZZWFyPjIwMDM8L1llYXI+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PEVuZE5vdGU+PENpdGU+PEF1dGhvcj5GZXJndXNvbjwvQXV0aG9yPjxZZWFyPjIwMDM8L1llYXI+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751F63">
        <w:rPr>
          <w:rFonts w:ascii="Arial" w:hAnsi="Arial" w:cs="Arial"/>
        </w:rPr>
      </w:r>
      <w:r w:rsidR="00751F63">
        <w:rPr>
          <w:rFonts w:ascii="Arial" w:hAnsi="Arial" w:cs="Arial"/>
        </w:rPr>
        <w:fldChar w:fldCharType="separate"/>
      </w:r>
      <w:r w:rsidR="00751F63">
        <w:rPr>
          <w:rFonts w:ascii="Arial" w:hAnsi="Arial" w:cs="Arial"/>
          <w:noProof/>
        </w:rPr>
        <w:t>(Ferguson et al., 2003, Willinghamm et al., 2010, Willie et al., 2013, Main et al., 2014)</w:t>
      </w:r>
      <w:r w:rsidR="00751F63">
        <w:rPr>
          <w:rFonts w:ascii="Arial" w:hAnsi="Arial" w:cs="Arial"/>
        </w:rPr>
        <w:fldChar w:fldCharType="end"/>
      </w:r>
      <w:r w:rsidR="000174E0">
        <w:rPr>
          <w:rFonts w:ascii="Arial" w:hAnsi="Arial" w:cs="Arial"/>
        </w:rPr>
        <w:t>.</w:t>
      </w:r>
      <w:r>
        <w:rPr>
          <w:rFonts w:ascii="Arial" w:hAnsi="Arial"/>
          <w:color w:val="000000"/>
        </w:rPr>
        <w:t xml:space="preserve"> A reduction in bone stiffness results in higher strains being induced in cortical and trabecular regions from the same loads. Studies in aged C57BL/6 mice showed </w:t>
      </w:r>
      <w:r>
        <w:rPr>
          <w:rFonts w:ascii="Arial" w:hAnsi="Arial" w:cs="Arial"/>
        </w:rPr>
        <w:t xml:space="preserve">that load-engendered strain increased with age compared to that in young </w:t>
      </w:r>
      <w:r>
        <w:rPr>
          <w:rFonts w:ascii="Arial" w:hAnsi="Arial"/>
          <w:color w:val="000000"/>
        </w:rPr>
        <w:t xml:space="preserve">C57BL/6 </w:t>
      </w:r>
      <w:r>
        <w:rPr>
          <w:rFonts w:ascii="Arial" w:hAnsi="Arial" w:cs="Arial"/>
        </w:rPr>
        <w:t xml:space="preserve">mice, however, the strain distributions were similar across the ages </w:t>
      </w:r>
      <w:r w:rsidR="00751F63">
        <w:rPr>
          <w:rFonts w:ascii="Arial" w:hAnsi="Arial" w:cs="Arial"/>
        </w:rPr>
        <w:fldChar w:fldCharType="begin">
          <w:fldData xml:space="preserve">PEVuZE5vdGU+PENpdGU+PEF1dGhvcj5NZWFraW48L0F1dGhvcj48WWVhcj4yMDE0PC9ZZWFyPjxS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PEVuZE5vdGU+PENpdGU+PEF1dGhvcj5NZWFraW48L0F1dGhvcj48WWVhcj4yMDE0PC9ZZWFyPjxS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751F63">
        <w:rPr>
          <w:rFonts w:ascii="Arial" w:hAnsi="Arial" w:cs="Arial"/>
        </w:rPr>
      </w:r>
      <w:r w:rsidR="00751F63">
        <w:rPr>
          <w:rFonts w:ascii="Arial" w:hAnsi="Arial" w:cs="Arial"/>
        </w:rPr>
        <w:fldChar w:fldCharType="separate"/>
      </w:r>
      <w:r w:rsidR="00751F63">
        <w:rPr>
          <w:rFonts w:ascii="Arial" w:hAnsi="Arial" w:cs="Arial"/>
          <w:noProof/>
        </w:rPr>
        <w:t>(Meakin et al., 2014, Patel et al., 2014)</w:t>
      </w:r>
      <w:r w:rsidR="00751F63">
        <w:rPr>
          <w:rFonts w:ascii="Arial" w:hAnsi="Arial" w:cs="Arial"/>
        </w:rPr>
        <w:fldChar w:fldCharType="end"/>
      </w:r>
      <w:r w:rsidR="00BC3FBA">
        <w:rPr>
          <w:rFonts w:ascii="Arial" w:hAnsi="Arial" w:cs="Arial"/>
        </w:rPr>
        <w:t xml:space="preserve">. </w:t>
      </w:r>
    </w:p>
    <w:p w14:paraId="2E3D224E" w14:textId="77777777" w:rsidR="00814A1C" w:rsidRDefault="00814A1C" w:rsidP="00814A1C">
      <w:pPr>
        <w:spacing w:line="480" w:lineRule="auto"/>
        <w:jc w:val="both"/>
        <w:rPr>
          <w:rFonts w:ascii="Arial" w:hAnsi="Arial"/>
          <w:color w:val="000000"/>
        </w:rPr>
      </w:pPr>
    </w:p>
    <w:p w14:paraId="7A59CE98" w14:textId="77777777" w:rsidR="00814A1C" w:rsidRPr="00E418C8" w:rsidRDefault="00814A1C" w:rsidP="00814A1C">
      <w:pPr>
        <w:spacing w:line="480" w:lineRule="auto"/>
        <w:jc w:val="both"/>
        <w:rPr>
          <w:rFonts w:ascii="Arial" w:hAnsi="Arial"/>
          <w:color w:val="000000"/>
        </w:rPr>
      </w:pPr>
      <w:r>
        <w:rPr>
          <w:rFonts w:ascii="Arial" w:hAnsi="Arial"/>
          <w:color w:val="000000"/>
        </w:rPr>
        <w:t xml:space="preserve">While it has been established that </w:t>
      </w:r>
      <w:r w:rsidRPr="004102FD">
        <w:rPr>
          <w:rFonts w:ascii="Arial" w:hAnsi="Arial" w:cs="Arial"/>
        </w:rPr>
        <w:t>bone’s adaptation to loading is impaired with age</w:t>
      </w:r>
      <w:r>
        <w:rPr>
          <w:rFonts w:ascii="Arial" w:hAnsi="Arial" w:cs="Arial"/>
        </w:rPr>
        <w:t xml:space="preserve"> in animal models </w:t>
      </w:r>
      <w:r w:rsidR="00751F63">
        <w:rPr>
          <w:rFonts w:ascii="Arial" w:hAnsi="Arial" w:cs="Arial"/>
        </w:rPr>
        <w:fldChar w:fldCharType="begin">
          <w:fldData xml:space="preserve">PEVuZE5vdGU+PENpdGU+PEF1dGhvcj5SdWJpbjwvQXV0aG9yPjxZZWFyPjE5OTI8L1llYXI+PFJl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PEVuZE5vdGU+PENpdGU+PEF1dGhvcj5SdWJpbjwvQXV0aG9yPjxZZWFyPjE5OTI8L1llYXI+PFJl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751F63">
        <w:rPr>
          <w:rFonts w:ascii="Arial" w:hAnsi="Arial" w:cs="Arial"/>
        </w:rPr>
      </w:r>
      <w:r w:rsidR="00751F63">
        <w:rPr>
          <w:rFonts w:ascii="Arial" w:hAnsi="Arial" w:cs="Arial"/>
        </w:rPr>
        <w:fldChar w:fldCharType="separate"/>
      </w:r>
      <w:r w:rsidR="00751F63">
        <w:rPr>
          <w:rFonts w:ascii="Arial" w:hAnsi="Arial" w:cs="Arial"/>
          <w:noProof/>
        </w:rPr>
        <w:t>(Rubin et al., 1992, Turner et al., 1995, Hoshi et al., 1998, Lynch et al., 2011)</w:t>
      </w:r>
      <w:r w:rsidR="00751F63">
        <w:rPr>
          <w:rFonts w:ascii="Arial" w:hAnsi="Arial" w:cs="Arial"/>
        </w:rPr>
        <w:fldChar w:fldCharType="end"/>
      </w:r>
      <w:r>
        <w:rPr>
          <w:rFonts w:ascii="Arial" w:hAnsi="Arial" w:cs="Arial"/>
        </w:rPr>
        <w:t>,</w:t>
      </w:r>
      <w:r w:rsidRPr="008B1AEE">
        <w:rPr>
          <w:rFonts w:ascii="Arial" w:hAnsi="Arial" w:cs="Arial"/>
          <w:i/>
        </w:rPr>
        <w:t xml:space="preserve"> </w:t>
      </w:r>
      <w:r>
        <w:rPr>
          <w:rFonts w:ascii="Arial" w:hAnsi="Arial"/>
          <w:color w:val="000000"/>
        </w:rPr>
        <w:t xml:space="preserve">it remains unclear whether </w:t>
      </w:r>
      <w:r w:rsidRPr="00DC09AB">
        <w:rPr>
          <w:rFonts w:ascii="Arial" w:hAnsi="Arial"/>
          <w:bCs/>
        </w:rPr>
        <w:t xml:space="preserve">modulating effects of food ingestion on bone’s </w:t>
      </w:r>
      <w:r>
        <w:rPr>
          <w:rFonts w:ascii="Arial" w:hAnsi="Arial"/>
          <w:bCs/>
        </w:rPr>
        <w:t xml:space="preserve">osteogenic </w:t>
      </w:r>
      <w:r w:rsidRPr="00DC09AB">
        <w:rPr>
          <w:rFonts w:ascii="Arial" w:hAnsi="Arial"/>
          <w:bCs/>
        </w:rPr>
        <w:t>response to mechanical loading</w:t>
      </w:r>
      <w:r>
        <w:rPr>
          <w:rFonts w:ascii="Arial" w:hAnsi="Arial"/>
          <w:bCs/>
        </w:rPr>
        <w:t xml:space="preserve"> is age-dependent</w:t>
      </w:r>
      <w:r w:rsidR="004D62D8">
        <w:rPr>
          <w:rFonts w:ascii="Arial" w:hAnsi="Arial"/>
          <w:bCs/>
        </w:rPr>
        <w:t xml:space="preserve"> as our studies are the only ones we can find on the subject</w:t>
      </w:r>
      <w:r>
        <w:rPr>
          <w:rFonts w:ascii="Arial" w:hAnsi="Arial"/>
          <w:bCs/>
        </w:rPr>
        <w:t>.</w:t>
      </w:r>
      <w:r w:rsidR="009562B9">
        <w:rPr>
          <w:rFonts w:ascii="Arial" w:hAnsi="Arial"/>
          <w:color w:val="000000"/>
        </w:rPr>
        <w:t xml:space="preserve"> </w:t>
      </w:r>
      <w:r w:rsidR="0091318E">
        <w:rPr>
          <w:rFonts w:ascii="Arial" w:hAnsi="Arial"/>
          <w:color w:val="000000"/>
        </w:rPr>
        <w:t>Studies in the previous chapters showed</w:t>
      </w:r>
      <w:r>
        <w:rPr>
          <w:rFonts w:ascii="Arial" w:hAnsi="Arial"/>
          <w:color w:val="000000"/>
        </w:rPr>
        <w:t xml:space="preserve"> that food ingestion for 2 hours following overnight </w:t>
      </w:r>
      <w:proofErr w:type="gramStart"/>
      <w:r>
        <w:rPr>
          <w:rFonts w:ascii="Arial" w:hAnsi="Arial"/>
          <w:color w:val="000000"/>
        </w:rPr>
        <w:t>fast potentiated</w:t>
      </w:r>
      <w:proofErr w:type="gramEnd"/>
      <w:r>
        <w:rPr>
          <w:rFonts w:ascii="Arial" w:hAnsi="Arial"/>
          <w:color w:val="000000"/>
        </w:rPr>
        <w:t xml:space="preserve"> bone response to mechanical loading in yo</w:t>
      </w:r>
      <w:r w:rsidR="00D74F08">
        <w:rPr>
          <w:rFonts w:ascii="Arial" w:hAnsi="Arial"/>
          <w:color w:val="000000"/>
        </w:rPr>
        <w:t>ung male C57BL/6 mice. The overall</w:t>
      </w:r>
      <w:r w:rsidRPr="00DC09AB">
        <w:rPr>
          <w:rFonts w:ascii="Arial" w:hAnsi="Arial"/>
          <w:color w:val="000000"/>
        </w:rPr>
        <w:t xml:space="preserve"> aim </w:t>
      </w:r>
      <w:r w:rsidR="00D74F08">
        <w:rPr>
          <w:rFonts w:ascii="Arial" w:hAnsi="Arial"/>
          <w:color w:val="000000"/>
        </w:rPr>
        <w:t>of the experiments in</w:t>
      </w:r>
      <w:r>
        <w:rPr>
          <w:rFonts w:ascii="Arial" w:hAnsi="Arial"/>
          <w:color w:val="000000"/>
        </w:rPr>
        <w:t xml:space="preserve"> this chapter was to </w:t>
      </w:r>
      <w:r w:rsidR="00902CD9">
        <w:rPr>
          <w:rFonts w:ascii="Arial" w:hAnsi="Arial"/>
          <w:color w:val="000000"/>
        </w:rPr>
        <w:t>determine</w:t>
      </w:r>
      <w:r w:rsidRPr="00DC09AB">
        <w:rPr>
          <w:rFonts w:ascii="Arial" w:hAnsi="Arial"/>
          <w:color w:val="000000"/>
        </w:rPr>
        <w:t xml:space="preserve"> </w:t>
      </w:r>
      <w:r w:rsidR="00902CD9">
        <w:rPr>
          <w:rFonts w:ascii="Arial" w:hAnsi="Arial"/>
          <w:color w:val="000000"/>
        </w:rPr>
        <w:t xml:space="preserve">whether </w:t>
      </w:r>
      <w:r w:rsidRPr="00DC09AB">
        <w:rPr>
          <w:rFonts w:ascii="Arial" w:hAnsi="Arial"/>
          <w:color w:val="000000"/>
        </w:rPr>
        <w:t xml:space="preserve">the </w:t>
      </w:r>
      <w:r w:rsidR="00902CD9">
        <w:rPr>
          <w:rFonts w:ascii="Arial" w:hAnsi="Arial"/>
          <w:color w:val="000000"/>
        </w:rPr>
        <w:t>same potentiation occurred in older mice.</w:t>
      </w:r>
      <w:r w:rsidR="00E418C8">
        <w:rPr>
          <w:rFonts w:ascii="Arial" w:hAnsi="Arial"/>
          <w:color w:val="000000"/>
        </w:rPr>
        <w:t xml:space="preserve"> Consequently, the first objective of the studies described here was to establish the </w:t>
      </w:r>
      <w:r w:rsidRPr="00DC09AB">
        <w:rPr>
          <w:rFonts w:ascii="Arial" w:hAnsi="Arial"/>
          <w:color w:val="000000"/>
        </w:rPr>
        <w:t xml:space="preserve">effect of ageing on feeding </w:t>
      </w:r>
      <w:r w:rsidR="00E418C8">
        <w:rPr>
          <w:rFonts w:ascii="Arial" w:hAnsi="Arial"/>
          <w:color w:val="000000"/>
        </w:rPr>
        <w:t>behaviour</w:t>
      </w:r>
      <w:r>
        <w:rPr>
          <w:rFonts w:ascii="Arial" w:hAnsi="Arial"/>
          <w:color w:val="000000"/>
        </w:rPr>
        <w:t xml:space="preserve"> of overnight fasted aged </w:t>
      </w:r>
      <w:r w:rsidR="00E418C8">
        <w:rPr>
          <w:rFonts w:ascii="Arial" w:hAnsi="Arial"/>
          <w:color w:val="000000"/>
        </w:rPr>
        <w:t xml:space="preserve">20-month-old </w:t>
      </w:r>
      <w:r>
        <w:rPr>
          <w:rFonts w:ascii="Arial" w:hAnsi="Arial"/>
          <w:color w:val="000000"/>
        </w:rPr>
        <w:t xml:space="preserve">male C57BL/6 mice. </w:t>
      </w:r>
      <w:r w:rsidRPr="00DC09AB">
        <w:rPr>
          <w:rFonts w:ascii="Arial" w:hAnsi="Arial"/>
          <w:color w:val="000000"/>
        </w:rPr>
        <w:t xml:space="preserve"> </w:t>
      </w:r>
      <w:r w:rsidR="00E418C8">
        <w:rPr>
          <w:rFonts w:ascii="Arial" w:hAnsi="Arial"/>
          <w:color w:val="000000"/>
        </w:rPr>
        <w:t>The second objective</w:t>
      </w:r>
      <w:r>
        <w:rPr>
          <w:rFonts w:ascii="Arial" w:hAnsi="Arial"/>
          <w:color w:val="000000"/>
        </w:rPr>
        <w:t xml:space="preserve"> was to determine </w:t>
      </w:r>
      <w:r w:rsidRPr="00DC09AB">
        <w:rPr>
          <w:rFonts w:ascii="Arial" w:hAnsi="Arial"/>
          <w:color w:val="000000"/>
        </w:rPr>
        <w:t>bone</w:t>
      </w:r>
      <w:r>
        <w:rPr>
          <w:rFonts w:ascii="Arial" w:hAnsi="Arial"/>
          <w:color w:val="000000"/>
        </w:rPr>
        <w:t>s’</w:t>
      </w:r>
      <w:r w:rsidRPr="00DC09AB">
        <w:rPr>
          <w:rFonts w:ascii="Arial" w:hAnsi="Arial"/>
          <w:color w:val="000000"/>
        </w:rPr>
        <w:t xml:space="preserve"> responses to maximal mechanical loading of fed or overnight fasted fed aged male mice</w:t>
      </w:r>
      <w:r>
        <w:rPr>
          <w:rFonts w:ascii="Arial" w:hAnsi="Arial"/>
          <w:color w:val="000000"/>
        </w:rPr>
        <w:t xml:space="preserve"> in order</w:t>
      </w:r>
      <w:r w:rsidRPr="00DC09AB">
        <w:rPr>
          <w:rFonts w:ascii="Arial" w:hAnsi="Arial"/>
          <w:bCs/>
        </w:rPr>
        <w:t xml:space="preserve"> </w:t>
      </w:r>
      <w:r>
        <w:rPr>
          <w:rFonts w:ascii="Arial" w:hAnsi="Arial"/>
          <w:bCs/>
        </w:rPr>
        <w:t xml:space="preserve">to </w:t>
      </w:r>
      <w:r w:rsidRPr="00DC09AB">
        <w:rPr>
          <w:rFonts w:ascii="Arial" w:hAnsi="Arial"/>
          <w:bCs/>
        </w:rPr>
        <w:t>investi</w:t>
      </w:r>
      <w:r>
        <w:rPr>
          <w:rFonts w:ascii="Arial" w:hAnsi="Arial"/>
          <w:bCs/>
        </w:rPr>
        <w:t>gate the effect of ageing on</w:t>
      </w:r>
      <w:r w:rsidRPr="00DC09AB">
        <w:rPr>
          <w:rFonts w:ascii="Arial" w:hAnsi="Arial"/>
          <w:bCs/>
        </w:rPr>
        <w:t xml:space="preserve"> interactions between energy metabolism and bone’s ability to adapt to mechanical loading in </w:t>
      </w:r>
      <w:r>
        <w:rPr>
          <w:rFonts w:ascii="Arial" w:hAnsi="Arial"/>
          <w:color w:val="000000"/>
        </w:rPr>
        <w:t xml:space="preserve">20-month-old C57BL/6 male mice. </w:t>
      </w:r>
    </w:p>
    <w:p w14:paraId="62578943" w14:textId="77777777" w:rsidR="0071226A" w:rsidRDefault="00814A1C" w:rsidP="00D40E59">
      <w:pPr>
        <w:pStyle w:val="Heading2"/>
      </w:pPr>
      <w:bookmarkStart w:id="141" w:name="_Toc383723918"/>
      <w:r>
        <w:lastRenderedPageBreak/>
        <w:t>6.2 Results</w:t>
      </w:r>
      <w:bookmarkEnd w:id="141"/>
    </w:p>
    <w:p w14:paraId="5339CCD8" w14:textId="77777777" w:rsidR="00814A1C" w:rsidRPr="0071226A" w:rsidRDefault="00814A1C" w:rsidP="0071226A">
      <w:pPr>
        <w:pStyle w:val="Heading3"/>
        <w:spacing w:line="480" w:lineRule="auto"/>
        <w:jc w:val="both"/>
        <w:rPr>
          <w:rFonts w:ascii="Arial" w:hAnsi="Arial"/>
          <w:color w:val="auto"/>
        </w:rPr>
      </w:pPr>
      <w:bookmarkStart w:id="142" w:name="_Toc383723919"/>
      <w:r w:rsidRPr="0071226A">
        <w:rPr>
          <w:rFonts w:ascii="Arial" w:hAnsi="Arial"/>
          <w:color w:val="auto"/>
        </w:rPr>
        <w:t xml:space="preserve">6.2.1 </w:t>
      </w:r>
      <w:proofErr w:type="gramStart"/>
      <w:r w:rsidRPr="0071226A">
        <w:rPr>
          <w:rFonts w:ascii="Arial" w:hAnsi="Arial"/>
          <w:color w:val="auto"/>
        </w:rPr>
        <w:t>The</w:t>
      </w:r>
      <w:proofErr w:type="gramEnd"/>
      <w:r w:rsidRPr="0071226A">
        <w:rPr>
          <w:rFonts w:ascii="Arial" w:hAnsi="Arial"/>
          <w:color w:val="auto"/>
        </w:rPr>
        <w:t xml:space="preserve"> effect of overnight fast on feeding behaviour of aged male C57BL/6 mice</w:t>
      </w:r>
      <w:bookmarkEnd w:id="142"/>
    </w:p>
    <w:p w14:paraId="6B745DD2" w14:textId="77777777" w:rsidR="00814A1C" w:rsidRDefault="00972D90" w:rsidP="00814A1C">
      <w:pPr>
        <w:spacing w:line="480" w:lineRule="auto"/>
        <w:jc w:val="both"/>
        <w:rPr>
          <w:rFonts w:ascii="Arial" w:hAnsi="Arial" w:cs="Arial"/>
        </w:rPr>
      </w:pPr>
      <w:r w:rsidRPr="00972D90">
        <w:rPr>
          <w:rFonts w:ascii="Arial" w:hAnsi="Arial" w:cs="Arial"/>
          <w:b/>
          <w:i/>
        </w:rPr>
        <w:t>Experimental details:</w:t>
      </w:r>
      <w:r>
        <w:rPr>
          <w:rFonts w:ascii="Arial" w:hAnsi="Arial" w:cs="Arial"/>
        </w:rPr>
        <w:t xml:space="preserve"> </w:t>
      </w:r>
      <w:r w:rsidR="00814A1C">
        <w:rPr>
          <w:rFonts w:ascii="Arial" w:hAnsi="Arial" w:cs="Arial"/>
        </w:rPr>
        <w:t xml:space="preserve">As discussed in </w:t>
      </w:r>
      <w:r w:rsidR="0020206F">
        <w:rPr>
          <w:rFonts w:ascii="Arial" w:hAnsi="Arial" w:cs="Arial"/>
        </w:rPr>
        <w:t xml:space="preserve">the </w:t>
      </w:r>
      <w:r w:rsidR="00814A1C">
        <w:rPr>
          <w:rFonts w:ascii="Arial" w:hAnsi="Arial" w:cs="Arial"/>
        </w:rPr>
        <w:t xml:space="preserve">Chapter 3 we observed significantly increased food intake for 2 hours in young male mice following overnight </w:t>
      </w:r>
      <w:r w:rsidR="0020206F">
        <w:rPr>
          <w:rFonts w:ascii="Arial" w:hAnsi="Arial" w:cs="Arial"/>
        </w:rPr>
        <w:t>(</w:t>
      </w:r>
      <w:r w:rsidR="00814A1C">
        <w:rPr>
          <w:rFonts w:ascii="Arial" w:hAnsi="Arial" w:cs="Arial"/>
        </w:rPr>
        <w:t>16-hour</w:t>
      </w:r>
      <w:r w:rsidR="0020206F">
        <w:rPr>
          <w:rFonts w:ascii="Arial" w:hAnsi="Arial" w:cs="Arial"/>
        </w:rPr>
        <w:t>)</w:t>
      </w:r>
      <w:r w:rsidR="00814A1C">
        <w:rPr>
          <w:rFonts w:ascii="Arial" w:hAnsi="Arial" w:cs="Arial"/>
        </w:rPr>
        <w:t xml:space="preserve"> fast compared with the control </w:t>
      </w:r>
      <w:r w:rsidR="0020206F">
        <w:rPr>
          <w:rFonts w:ascii="Arial" w:hAnsi="Arial" w:cs="Arial"/>
        </w:rPr>
        <w:t xml:space="preserve">ad-lib </w:t>
      </w:r>
      <w:r w:rsidR="00814A1C">
        <w:rPr>
          <w:rFonts w:ascii="Arial" w:hAnsi="Arial" w:cs="Arial"/>
        </w:rPr>
        <w:t xml:space="preserve">fed group. To establish </w:t>
      </w:r>
      <w:r w:rsidR="00C07F42">
        <w:rPr>
          <w:rFonts w:ascii="Arial" w:hAnsi="Arial" w:cs="Arial"/>
        </w:rPr>
        <w:t xml:space="preserve">a </w:t>
      </w:r>
      <w:r w:rsidR="00814A1C">
        <w:rPr>
          <w:rFonts w:ascii="Arial" w:hAnsi="Arial" w:cs="Arial"/>
        </w:rPr>
        <w:t>robust model to study the effect of timing of food ingestion on bone’s response to loading in aged mice, t</w:t>
      </w:r>
      <w:r w:rsidR="00814A1C" w:rsidRPr="008A11BE">
        <w:rPr>
          <w:rFonts w:ascii="Arial" w:hAnsi="Arial" w:cs="Arial"/>
        </w:rPr>
        <w:t xml:space="preserve">he effect of </w:t>
      </w:r>
      <w:r w:rsidR="00814A1C">
        <w:rPr>
          <w:rFonts w:ascii="Arial" w:hAnsi="Arial" w:cs="Arial"/>
        </w:rPr>
        <w:t xml:space="preserve">overnight 16-hour </w:t>
      </w:r>
      <w:r w:rsidR="00814A1C" w:rsidRPr="008A11BE">
        <w:rPr>
          <w:rFonts w:ascii="Arial" w:hAnsi="Arial" w:cs="Arial"/>
        </w:rPr>
        <w:t xml:space="preserve">food restriction on feeding behaviour </w:t>
      </w:r>
      <w:r w:rsidR="008914A5">
        <w:rPr>
          <w:rFonts w:ascii="Arial" w:hAnsi="Arial" w:cs="Arial"/>
        </w:rPr>
        <w:t xml:space="preserve">was </w:t>
      </w:r>
      <w:r w:rsidR="0020206F">
        <w:rPr>
          <w:rFonts w:ascii="Arial" w:hAnsi="Arial" w:cs="Arial"/>
        </w:rPr>
        <w:t>assessed</w:t>
      </w:r>
      <w:r w:rsidR="008914A5">
        <w:rPr>
          <w:rFonts w:ascii="Arial" w:hAnsi="Arial" w:cs="Arial"/>
        </w:rPr>
        <w:t xml:space="preserve"> in</w:t>
      </w:r>
      <w:r w:rsidR="00814A1C">
        <w:rPr>
          <w:rFonts w:ascii="Arial" w:hAnsi="Arial" w:cs="Arial"/>
        </w:rPr>
        <w:t xml:space="preserve"> 20-month</w:t>
      </w:r>
      <w:r w:rsidR="00814A1C" w:rsidRPr="008A11BE">
        <w:rPr>
          <w:rFonts w:ascii="Arial" w:hAnsi="Arial" w:cs="Arial"/>
        </w:rPr>
        <w:t xml:space="preserve">-old </w:t>
      </w:r>
      <w:r w:rsidR="00814A1C">
        <w:rPr>
          <w:rFonts w:ascii="Arial" w:hAnsi="Arial" w:cs="Arial"/>
        </w:rPr>
        <w:t xml:space="preserve">male </w:t>
      </w:r>
      <w:r w:rsidR="00814A1C">
        <w:rPr>
          <w:rFonts w:ascii="Arial" w:hAnsi="Arial" w:cs="Arial"/>
          <w:noProof/>
          <w:color w:val="000000" w:themeColor="text1"/>
        </w:rPr>
        <w:t>C57BL/6</w:t>
      </w:r>
      <w:r w:rsidR="008914A5">
        <w:rPr>
          <w:rFonts w:ascii="Arial" w:hAnsi="Arial" w:cs="Arial"/>
        </w:rPr>
        <w:t xml:space="preserve"> mice</w:t>
      </w:r>
      <w:r w:rsidR="00814A1C">
        <w:rPr>
          <w:rFonts w:ascii="Arial" w:hAnsi="Arial" w:cs="Arial"/>
        </w:rPr>
        <w:t xml:space="preserve">. </w:t>
      </w:r>
      <w:r w:rsidR="00814A1C" w:rsidRPr="001F1F43">
        <w:rPr>
          <w:rFonts w:ascii="Arial" w:hAnsi="Arial" w:cs="Arial"/>
        </w:rPr>
        <w:t xml:space="preserve">Food intake was measured by monitoring </w:t>
      </w:r>
      <w:r w:rsidR="00814A1C">
        <w:rPr>
          <w:rFonts w:ascii="Arial" w:hAnsi="Arial" w:cs="Arial"/>
        </w:rPr>
        <w:t xml:space="preserve">the </w:t>
      </w:r>
      <w:r w:rsidR="00814A1C" w:rsidRPr="001F1F43">
        <w:rPr>
          <w:rFonts w:ascii="Arial" w:hAnsi="Arial" w:cs="Arial"/>
        </w:rPr>
        <w:t xml:space="preserve">body weights of </w:t>
      </w:r>
      <w:r w:rsidR="00814A1C">
        <w:rPr>
          <w:rFonts w:ascii="Arial" w:hAnsi="Arial" w:cs="Arial"/>
        </w:rPr>
        <w:t xml:space="preserve">individually housed ad-lib </w:t>
      </w:r>
      <w:r w:rsidR="00814A1C" w:rsidRPr="001F1F43">
        <w:rPr>
          <w:rFonts w:ascii="Arial" w:hAnsi="Arial" w:cs="Arial"/>
        </w:rPr>
        <w:t xml:space="preserve">fed </w:t>
      </w:r>
      <w:r w:rsidR="00814A1C">
        <w:rPr>
          <w:rFonts w:ascii="Arial" w:hAnsi="Arial" w:cs="Arial"/>
        </w:rPr>
        <w:t>(n=8</w:t>
      </w:r>
      <w:r w:rsidR="00814A1C" w:rsidRPr="00953BF8">
        <w:rPr>
          <w:rFonts w:ascii="Arial" w:hAnsi="Arial" w:cs="Arial"/>
        </w:rPr>
        <w:t xml:space="preserve">) </w:t>
      </w:r>
      <w:r w:rsidR="00814A1C" w:rsidRPr="001F1F43">
        <w:rPr>
          <w:rFonts w:ascii="Arial" w:hAnsi="Arial" w:cs="Arial"/>
        </w:rPr>
        <w:t xml:space="preserve">or </w:t>
      </w:r>
      <w:r w:rsidR="00814A1C">
        <w:rPr>
          <w:rFonts w:ascii="Arial" w:hAnsi="Arial" w:cs="Arial"/>
        </w:rPr>
        <w:t xml:space="preserve">overnight </w:t>
      </w:r>
      <w:r w:rsidR="00814A1C" w:rsidRPr="001F1F43">
        <w:rPr>
          <w:rFonts w:ascii="Arial" w:hAnsi="Arial" w:cs="Arial"/>
        </w:rPr>
        <w:t xml:space="preserve">fasted </w:t>
      </w:r>
      <w:r w:rsidR="00814A1C">
        <w:rPr>
          <w:rFonts w:ascii="Arial" w:hAnsi="Arial" w:cs="Arial"/>
        </w:rPr>
        <w:t>mice (n=8</w:t>
      </w:r>
      <w:r w:rsidR="00814A1C" w:rsidRPr="00953BF8">
        <w:rPr>
          <w:rFonts w:ascii="Arial" w:hAnsi="Arial" w:cs="Arial"/>
        </w:rPr>
        <w:t xml:space="preserve">) </w:t>
      </w:r>
      <w:r w:rsidR="00814A1C">
        <w:rPr>
          <w:rFonts w:ascii="Arial" w:hAnsi="Arial" w:cs="Arial"/>
        </w:rPr>
        <w:t>every 30 minutes for the first 3 hours and every hour for another 4 hours twice weekly for a week. T</w:t>
      </w:r>
      <w:r w:rsidR="00814A1C" w:rsidRPr="000D22C6">
        <w:rPr>
          <w:rFonts w:ascii="Arial" w:hAnsi="Arial" w:cs="Arial"/>
        </w:rPr>
        <w:t>he nesting material, wood shavings and bedding were removed from the cages prior the experiment</w:t>
      </w:r>
      <w:r w:rsidR="00814A1C">
        <w:rPr>
          <w:rFonts w:ascii="Arial" w:hAnsi="Arial" w:cs="Arial"/>
        </w:rPr>
        <w:t xml:space="preserve"> to ensure </w:t>
      </w:r>
      <w:r w:rsidR="009869A7">
        <w:rPr>
          <w:rFonts w:ascii="Arial" w:hAnsi="Arial" w:cs="Arial"/>
        </w:rPr>
        <w:t xml:space="preserve">that the hungry mice </w:t>
      </w:r>
      <w:r w:rsidR="0020206F">
        <w:rPr>
          <w:rFonts w:ascii="Arial" w:hAnsi="Arial" w:cs="Arial"/>
        </w:rPr>
        <w:t>did</w:t>
      </w:r>
      <w:r w:rsidR="00814A1C">
        <w:rPr>
          <w:rFonts w:ascii="Arial" w:hAnsi="Arial" w:cs="Arial"/>
        </w:rPr>
        <w:t xml:space="preserve"> not consume non-food materials. During fasting all the mice had access to water ad libitum. The procedur</w:t>
      </w:r>
      <w:r w:rsidR="009869A7">
        <w:rPr>
          <w:rFonts w:ascii="Arial" w:hAnsi="Arial" w:cs="Arial"/>
        </w:rPr>
        <w:t>e was performed under the authority of the Home Office</w:t>
      </w:r>
      <w:r w:rsidR="00814A1C">
        <w:rPr>
          <w:rFonts w:ascii="Arial" w:hAnsi="Arial" w:cs="Arial"/>
        </w:rPr>
        <w:t xml:space="preserve"> project licence. </w:t>
      </w:r>
    </w:p>
    <w:p w14:paraId="6A403BF2" w14:textId="77777777" w:rsidR="00814A1C" w:rsidRDefault="00814A1C" w:rsidP="00814A1C">
      <w:pPr>
        <w:spacing w:line="480" w:lineRule="auto"/>
        <w:jc w:val="both"/>
        <w:rPr>
          <w:rFonts w:ascii="Arial" w:hAnsi="Arial" w:cs="Arial"/>
        </w:rPr>
      </w:pPr>
    </w:p>
    <w:p w14:paraId="3D489A17" w14:textId="77777777" w:rsidR="00AC6F0D" w:rsidRPr="00AC6F0D" w:rsidRDefault="00814A1C" w:rsidP="00972D90">
      <w:pPr>
        <w:spacing w:line="480" w:lineRule="auto"/>
        <w:jc w:val="both"/>
        <w:rPr>
          <w:rFonts w:ascii="Arial" w:hAnsi="Arial" w:cs="Arial"/>
        </w:rPr>
      </w:pPr>
      <w:r w:rsidRPr="00FA4267">
        <w:rPr>
          <w:rFonts w:ascii="Arial" w:hAnsi="Arial" w:cs="Arial"/>
        </w:rPr>
        <w:t xml:space="preserve">Following </w:t>
      </w:r>
      <w:r w:rsidR="00B93AC6">
        <w:rPr>
          <w:rFonts w:ascii="Arial" w:hAnsi="Arial" w:cs="Arial"/>
        </w:rPr>
        <w:t>food restriction overnight (16 hours)</w:t>
      </w:r>
      <w:r>
        <w:rPr>
          <w:rFonts w:ascii="Arial" w:hAnsi="Arial" w:cs="Arial"/>
        </w:rPr>
        <w:t>, fasted mice weighed 7.3±0.7</w:t>
      </w:r>
      <w:r w:rsidRPr="00FA4267">
        <w:rPr>
          <w:rFonts w:ascii="Arial" w:hAnsi="Arial" w:cs="Arial"/>
        </w:rPr>
        <w:t>% less compared with their pre</w:t>
      </w:r>
      <w:r>
        <w:rPr>
          <w:rFonts w:ascii="Arial" w:hAnsi="Arial" w:cs="Arial"/>
        </w:rPr>
        <w:t>-fasted body w</w:t>
      </w:r>
      <w:r w:rsidR="00DE26AD">
        <w:rPr>
          <w:rFonts w:ascii="Arial" w:hAnsi="Arial" w:cs="Arial"/>
        </w:rPr>
        <w:t xml:space="preserve">eights (p&lt;0.0001), whereas the </w:t>
      </w:r>
      <w:r>
        <w:rPr>
          <w:rFonts w:ascii="Arial" w:hAnsi="Arial" w:cs="Arial"/>
        </w:rPr>
        <w:t>body weights of mice</w:t>
      </w:r>
      <w:r w:rsidR="00DE26AD">
        <w:rPr>
          <w:rFonts w:ascii="Arial" w:hAnsi="Arial" w:cs="Arial"/>
        </w:rPr>
        <w:t xml:space="preserve"> did not change</w:t>
      </w:r>
      <w:r>
        <w:rPr>
          <w:rFonts w:ascii="Arial" w:hAnsi="Arial" w:cs="Arial"/>
        </w:rPr>
        <w:t xml:space="preserve"> that had free acc</w:t>
      </w:r>
      <w:r w:rsidR="00DE26AD">
        <w:rPr>
          <w:rFonts w:ascii="Arial" w:hAnsi="Arial" w:cs="Arial"/>
        </w:rPr>
        <w:t>ess to food ad libitum</w:t>
      </w:r>
      <w:r>
        <w:rPr>
          <w:rFonts w:ascii="Arial" w:hAnsi="Arial" w:cs="Arial"/>
        </w:rPr>
        <w:t xml:space="preserve"> </w:t>
      </w:r>
      <w:r w:rsidR="00DE26AD">
        <w:rPr>
          <w:rFonts w:ascii="Arial" w:hAnsi="Arial" w:cs="Arial"/>
        </w:rPr>
        <w:t xml:space="preserve">overnight </w:t>
      </w:r>
      <w:r>
        <w:rPr>
          <w:rFonts w:ascii="Arial" w:hAnsi="Arial" w:cs="Arial"/>
        </w:rPr>
        <w:t>(p&gt;0.05</w:t>
      </w:r>
      <w:r w:rsidRPr="00FA4267">
        <w:rPr>
          <w:rFonts w:ascii="Arial" w:hAnsi="Arial" w:cs="Arial"/>
        </w:rPr>
        <w:t xml:space="preserve">). After introduction </w:t>
      </w:r>
      <w:r>
        <w:rPr>
          <w:rFonts w:ascii="Arial" w:hAnsi="Arial" w:cs="Arial"/>
        </w:rPr>
        <w:t>of food</w:t>
      </w:r>
      <w:r w:rsidR="00202478">
        <w:rPr>
          <w:rFonts w:ascii="Arial" w:hAnsi="Arial" w:cs="Arial"/>
        </w:rPr>
        <w:t xml:space="preserve"> to the starved animals, as we observed in</w:t>
      </w:r>
      <w:r>
        <w:rPr>
          <w:rFonts w:ascii="Arial" w:hAnsi="Arial" w:cs="Arial"/>
        </w:rPr>
        <w:t xml:space="preserve"> the young mice,</w:t>
      </w:r>
      <w:r w:rsidR="00C35961">
        <w:rPr>
          <w:rFonts w:ascii="Arial" w:hAnsi="Arial" w:cs="Arial"/>
        </w:rPr>
        <w:t xml:space="preserve"> the animals ate steadily, with</w:t>
      </w:r>
      <w:r>
        <w:rPr>
          <w:rFonts w:ascii="Arial" w:hAnsi="Arial" w:cs="Arial"/>
        </w:rPr>
        <w:t xml:space="preserve"> the body weights of</w:t>
      </w:r>
      <w:r w:rsidRPr="00FA4267">
        <w:rPr>
          <w:rFonts w:ascii="Arial" w:hAnsi="Arial" w:cs="Arial"/>
        </w:rPr>
        <w:t xml:space="preserve"> </w:t>
      </w:r>
      <w:r>
        <w:rPr>
          <w:rFonts w:ascii="Arial" w:hAnsi="Arial" w:cs="Arial"/>
        </w:rPr>
        <w:t xml:space="preserve">aged </w:t>
      </w:r>
      <w:r w:rsidRPr="00FA4267">
        <w:rPr>
          <w:rFonts w:ascii="Arial" w:hAnsi="Arial" w:cs="Arial"/>
        </w:rPr>
        <w:t>mice in th</w:t>
      </w:r>
      <w:r w:rsidR="00C35961">
        <w:rPr>
          <w:rFonts w:ascii="Arial" w:hAnsi="Arial" w:cs="Arial"/>
        </w:rPr>
        <w:t>e fasted group rising</w:t>
      </w:r>
      <w:r w:rsidRPr="00FA4267">
        <w:rPr>
          <w:rFonts w:ascii="Arial" w:hAnsi="Arial" w:cs="Arial"/>
        </w:rPr>
        <w:t xml:space="preserve"> significantly </w:t>
      </w:r>
      <w:r>
        <w:rPr>
          <w:rFonts w:ascii="Arial" w:hAnsi="Arial" w:cs="Arial"/>
        </w:rPr>
        <w:t xml:space="preserve">for 2 hours compared with their </w:t>
      </w:r>
      <w:r w:rsidRPr="00FA4267">
        <w:rPr>
          <w:rFonts w:ascii="Arial" w:hAnsi="Arial" w:cs="Arial"/>
        </w:rPr>
        <w:t>pre</w:t>
      </w:r>
      <w:r>
        <w:rPr>
          <w:rFonts w:ascii="Arial" w:hAnsi="Arial" w:cs="Arial"/>
        </w:rPr>
        <w:t>-fasted body weights (5.6±0.7%,</w:t>
      </w:r>
      <w:r w:rsidRPr="00860BC4">
        <w:rPr>
          <w:rFonts w:ascii="Arial" w:hAnsi="Arial" w:cs="Arial"/>
        </w:rPr>
        <w:t xml:space="preserve"> </w:t>
      </w:r>
      <w:r>
        <w:rPr>
          <w:rFonts w:ascii="Arial" w:hAnsi="Arial" w:cs="Arial"/>
        </w:rPr>
        <w:t>p&lt;0.001; 3.7±0.7%,</w:t>
      </w:r>
      <w:r w:rsidRPr="00860BC4">
        <w:rPr>
          <w:rFonts w:ascii="Arial" w:hAnsi="Arial" w:cs="Arial"/>
        </w:rPr>
        <w:t xml:space="preserve"> </w:t>
      </w:r>
      <w:r>
        <w:rPr>
          <w:rFonts w:ascii="Arial" w:hAnsi="Arial" w:cs="Arial"/>
        </w:rPr>
        <w:t>p&lt;0.01; 2.8±0.8%,</w:t>
      </w:r>
      <w:r w:rsidRPr="00860BC4">
        <w:rPr>
          <w:rFonts w:ascii="Arial" w:hAnsi="Arial" w:cs="Arial"/>
        </w:rPr>
        <w:t xml:space="preserve"> </w:t>
      </w:r>
      <w:r>
        <w:rPr>
          <w:rFonts w:ascii="Arial" w:hAnsi="Arial" w:cs="Arial"/>
        </w:rPr>
        <w:t>p&lt;0.05; 2.5±0.9%,</w:t>
      </w:r>
      <w:r w:rsidRPr="00860BC4">
        <w:rPr>
          <w:rFonts w:ascii="Arial" w:hAnsi="Arial" w:cs="Arial"/>
        </w:rPr>
        <w:t xml:space="preserve"> </w:t>
      </w:r>
      <w:r>
        <w:rPr>
          <w:rFonts w:ascii="Arial" w:hAnsi="Arial" w:cs="Arial"/>
        </w:rPr>
        <w:t xml:space="preserve">p&lt;0.05 less than their pre-fasted weights) and significantly faster than those in </w:t>
      </w:r>
      <w:r w:rsidRPr="00FA4267">
        <w:rPr>
          <w:rFonts w:ascii="Arial" w:hAnsi="Arial" w:cs="Arial"/>
        </w:rPr>
        <w:t>the control ad-lib</w:t>
      </w:r>
      <w:r w:rsidR="0068032B">
        <w:rPr>
          <w:rFonts w:ascii="Arial" w:hAnsi="Arial" w:cs="Arial"/>
        </w:rPr>
        <w:t xml:space="preserve"> fed group (Figure 44</w:t>
      </w:r>
      <w:r w:rsidRPr="00FA4267">
        <w:rPr>
          <w:rFonts w:ascii="Arial" w:hAnsi="Arial" w:cs="Arial"/>
        </w:rPr>
        <w:t xml:space="preserve">). </w:t>
      </w:r>
      <w:r>
        <w:rPr>
          <w:rFonts w:ascii="Arial" w:hAnsi="Arial" w:cs="Arial"/>
        </w:rPr>
        <w:t>After 2 hours the body weights</w:t>
      </w:r>
      <w:r w:rsidR="0068032B">
        <w:rPr>
          <w:rFonts w:ascii="Arial" w:hAnsi="Arial" w:cs="Arial"/>
        </w:rPr>
        <w:t xml:space="preserve"> of fasted fed aged mice stopped rising</w:t>
      </w:r>
      <w:r>
        <w:rPr>
          <w:rFonts w:ascii="Arial" w:hAnsi="Arial" w:cs="Arial"/>
        </w:rPr>
        <w:t xml:space="preserve"> significantly compared to their pre-fasted body weights (p&gt;0.05). </w:t>
      </w:r>
    </w:p>
    <w:p w14:paraId="254C42C4" w14:textId="77777777" w:rsidR="00AC6F0D" w:rsidRPr="00AC6F0D" w:rsidRDefault="00AC6F0D" w:rsidP="00AC6F0D">
      <w:pPr>
        <w:rPr>
          <w:rFonts w:ascii="Arial" w:hAnsi="Arial" w:cs="Arial"/>
        </w:rPr>
      </w:pPr>
    </w:p>
    <w:p w14:paraId="79AA2DF2" w14:textId="77777777" w:rsidR="00AC6F0D" w:rsidRDefault="00AC6F0D" w:rsidP="00AC6F0D">
      <w:pPr>
        <w:tabs>
          <w:tab w:val="left" w:pos="1105"/>
        </w:tabs>
        <w:rPr>
          <w:rFonts w:ascii="Arial" w:hAnsi="Arial" w:cs="Arial"/>
        </w:rPr>
      </w:pPr>
    </w:p>
    <w:p w14:paraId="10B18777" w14:textId="77777777" w:rsidR="002A6C0C" w:rsidRPr="00AC6F0D" w:rsidRDefault="002A6C0C" w:rsidP="00AC6F0D">
      <w:pPr>
        <w:tabs>
          <w:tab w:val="left" w:pos="1105"/>
        </w:tabs>
        <w:rPr>
          <w:rFonts w:ascii="Arial" w:hAnsi="Arial" w:cs="Arial"/>
        </w:rPr>
      </w:pPr>
    </w:p>
    <w:p w14:paraId="05A69F19" w14:textId="77777777" w:rsidR="00814A1C" w:rsidRPr="00FA4267" w:rsidRDefault="005E51CA" w:rsidP="00814A1C">
      <w:pPr>
        <w:rPr>
          <w:rFonts w:ascii="Arial" w:hAnsi="Arial" w:cs="Arial"/>
        </w:rPr>
      </w:pPr>
      <w:r w:rsidRPr="005E51CA">
        <w:rPr>
          <w:rFonts w:ascii="Arial" w:hAnsi="Arial" w:cs="Arial"/>
          <w:noProof/>
          <w:lang w:val="en-US"/>
        </w:rPr>
        <w:drawing>
          <wp:inline distT="0" distB="0" distL="0" distR="0" wp14:anchorId="27CA4592" wp14:editId="15DBCBA8">
            <wp:extent cx="5386705" cy="465706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06394" cy="4674082"/>
                    </a:xfrm>
                    <a:prstGeom prst="rect">
                      <a:avLst/>
                    </a:prstGeom>
                  </pic:spPr>
                </pic:pic>
              </a:graphicData>
            </a:graphic>
          </wp:inline>
        </w:drawing>
      </w:r>
    </w:p>
    <w:p w14:paraId="643244C4" w14:textId="77777777" w:rsidR="00C35961" w:rsidRDefault="00C35961" w:rsidP="00C35961">
      <w:pPr>
        <w:keepNext/>
      </w:pPr>
    </w:p>
    <w:p w14:paraId="7785065D" w14:textId="77777777" w:rsidR="0068032B" w:rsidRDefault="0068032B" w:rsidP="00C35961">
      <w:pPr>
        <w:pStyle w:val="Caption"/>
        <w:spacing w:line="360" w:lineRule="auto"/>
        <w:jc w:val="both"/>
        <w:rPr>
          <w:rFonts w:ascii="Arial" w:hAnsi="Arial"/>
          <w:color w:val="244061" w:themeColor="accent1" w:themeShade="80"/>
          <w:sz w:val="24"/>
          <w:szCs w:val="24"/>
        </w:rPr>
      </w:pPr>
    </w:p>
    <w:p w14:paraId="455224F5" w14:textId="77777777" w:rsidR="00814A1C" w:rsidRPr="00C35961" w:rsidRDefault="00C35961" w:rsidP="00C35961">
      <w:pPr>
        <w:pStyle w:val="Caption"/>
        <w:spacing w:line="360" w:lineRule="auto"/>
        <w:jc w:val="both"/>
        <w:rPr>
          <w:rFonts w:ascii="Arial" w:hAnsi="Arial" w:cs="Arial"/>
          <w:b w:val="0"/>
          <w:color w:val="244061" w:themeColor="accent1" w:themeShade="80"/>
          <w:sz w:val="24"/>
          <w:szCs w:val="24"/>
        </w:rPr>
      </w:pPr>
      <w:bookmarkStart w:id="143" w:name="_Toc383544635"/>
      <w:r w:rsidRPr="00C35961">
        <w:rPr>
          <w:rFonts w:ascii="Arial" w:hAnsi="Arial"/>
          <w:color w:val="244061" w:themeColor="accent1" w:themeShade="80"/>
          <w:sz w:val="24"/>
          <w:szCs w:val="24"/>
        </w:rPr>
        <w:t xml:space="preserve">Figure </w:t>
      </w:r>
      <w:r w:rsidRPr="00C35961">
        <w:rPr>
          <w:rFonts w:ascii="Arial" w:hAnsi="Arial"/>
          <w:color w:val="244061" w:themeColor="accent1" w:themeShade="80"/>
          <w:sz w:val="24"/>
          <w:szCs w:val="24"/>
        </w:rPr>
        <w:fldChar w:fldCharType="begin"/>
      </w:r>
      <w:r w:rsidRPr="00C35961">
        <w:rPr>
          <w:rFonts w:ascii="Arial" w:hAnsi="Arial"/>
          <w:color w:val="244061" w:themeColor="accent1" w:themeShade="80"/>
          <w:sz w:val="24"/>
          <w:szCs w:val="24"/>
        </w:rPr>
        <w:instrText xml:space="preserve"> SEQ Figure \* ARABIC </w:instrText>
      </w:r>
      <w:r w:rsidRPr="00C35961">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44</w:t>
      </w:r>
      <w:r w:rsidRPr="00C35961">
        <w:rPr>
          <w:rFonts w:ascii="Arial" w:hAnsi="Arial"/>
          <w:color w:val="244061" w:themeColor="accent1" w:themeShade="80"/>
          <w:sz w:val="24"/>
          <w:szCs w:val="24"/>
        </w:rPr>
        <w:fldChar w:fldCharType="end"/>
      </w:r>
      <w:r w:rsidRPr="00C35961">
        <w:rPr>
          <w:rFonts w:ascii="Arial" w:hAnsi="Arial" w:cs="Arial"/>
          <w:b w:val="0"/>
          <w:color w:val="244061" w:themeColor="accent1" w:themeShade="80"/>
          <w:sz w:val="24"/>
          <w:szCs w:val="24"/>
        </w:rPr>
        <w:t xml:space="preserve"> </w:t>
      </w:r>
      <w:r w:rsidR="00814A1C" w:rsidRPr="00C35961">
        <w:rPr>
          <w:rFonts w:ascii="Arial" w:hAnsi="Arial"/>
          <w:color w:val="244061" w:themeColor="accent1" w:themeShade="80"/>
          <w:sz w:val="24"/>
          <w:szCs w:val="24"/>
        </w:rPr>
        <w:t>Body weight</w:t>
      </w:r>
      <w:r w:rsidR="003E3895">
        <w:rPr>
          <w:rFonts w:ascii="Arial" w:hAnsi="Arial"/>
          <w:color w:val="244061" w:themeColor="accent1" w:themeShade="80"/>
          <w:sz w:val="24"/>
          <w:szCs w:val="24"/>
        </w:rPr>
        <w:t>s</w:t>
      </w:r>
      <w:r w:rsidR="00814A1C" w:rsidRPr="00C35961">
        <w:rPr>
          <w:rFonts w:ascii="Arial" w:hAnsi="Arial"/>
          <w:color w:val="244061" w:themeColor="accent1" w:themeShade="80"/>
          <w:sz w:val="24"/>
          <w:szCs w:val="24"/>
        </w:rPr>
        <w:t xml:space="preserve"> of fed or overnight fasted fed aged male C57BL/6 mice</w:t>
      </w:r>
      <w:bookmarkEnd w:id="143"/>
      <w:r w:rsidR="00814A1C" w:rsidRPr="00C35961">
        <w:rPr>
          <w:rFonts w:ascii="Arial" w:hAnsi="Arial"/>
          <w:color w:val="244061" w:themeColor="accent1" w:themeShade="80"/>
          <w:sz w:val="24"/>
          <w:szCs w:val="24"/>
        </w:rPr>
        <w:t xml:space="preserve"> </w:t>
      </w:r>
    </w:p>
    <w:p w14:paraId="7B60988D" w14:textId="77777777" w:rsidR="00814A1C" w:rsidRDefault="00814A1C" w:rsidP="00814A1C">
      <w:pPr>
        <w:spacing w:line="360" w:lineRule="auto"/>
        <w:jc w:val="both"/>
        <w:rPr>
          <w:rFonts w:ascii="Arial" w:eastAsia="MS Gothic" w:hAnsi="Arial" w:cs="Arial"/>
          <w:color w:val="000000"/>
          <w:sz w:val="22"/>
          <w:szCs w:val="22"/>
        </w:rPr>
      </w:pPr>
      <w:r>
        <w:rPr>
          <w:rFonts w:ascii="Arial" w:hAnsi="Arial" w:cs="Arial"/>
          <w:sz w:val="22"/>
          <w:szCs w:val="22"/>
        </w:rPr>
        <w:t>In total 16 m</w:t>
      </w:r>
      <w:r w:rsidRPr="00347139">
        <w:rPr>
          <w:rFonts w:ascii="Arial" w:hAnsi="Arial" w:cs="Arial"/>
          <w:sz w:val="22"/>
          <w:szCs w:val="22"/>
        </w:rPr>
        <w:t xml:space="preserve">ice were </w:t>
      </w:r>
      <w:r>
        <w:rPr>
          <w:rFonts w:ascii="Arial" w:hAnsi="Arial" w:cs="Arial"/>
          <w:sz w:val="22"/>
          <w:szCs w:val="22"/>
        </w:rPr>
        <w:t xml:space="preserve">randomly </w:t>
      </w:r>
      <w:r w:rsidRPr="00347139">
        <w:rPr>
          <w:rFonts w:ascii="Arial" w:hAnsi="Arial" w:cs="Arial"/>
          <w:sz w:val="22"/>
          <w:szCs w:val="22"/>
        </w:rPr>
        <w:t>divided i</w:t>
      </w:r>
      <w:r>
        <w:rPr>
          <w:rFonts w:ascii="Arial" w:hAnsi="Arial" w:cs="Arial"/>
          <w:sz w:val="22"/>
          <w:szCs w:val="22"/>
        </w:rPr>
        <w:t>nto two</w:t>
      </w:r>
      <w:r w:rsidRPr="00931C15">
        <w:rPr>
          <w:rFonts w:ascii="Arial" w:hAnsi="Arial" w:cs="Arial"/>
          <w:sz w:val="22"/>
          <w:szCs w:val="22"/>
        </w:rPr>
        <w:t xml:space="preserve"> group</w:t>
      </w:r>
      <w:r>
        <w:rPr>
          <w:rFonts w:ascii="Arial" w:hAnsi="Arial" w:cs="Arial"/>
          <w:sz w:val="22"/>
          <w:szCs w:val="22"/>
        </w:rPr>
        <w:t>s; control ad-lib fed (n=8</w:t>
      </w:r>
      <w:r w:rsidRPr="00931C15">
        <w:rPr>
          <w:rFonts w:ascii="Arial" w:hAnsi="Arial" w:cs="Arial"/>
          <w:sz w:val="22"/>
          <w:szCs w:val="22"/>
        </w:rPr>
        <w:t>) o</w:t>
      </w:r>
      <w:r w:rsidR="004F68C5">
        <w:rPr>
          <w:rFonts w:ascii="Arial" w:hAnsi="Arial" w:cs="Arial"/>
          <w:sz w:val="22"/>
          <w:szCs w:val="22"/>
        </w:rPr>
        <w:t>r overnight 16-</w:t>
      </w:r>
      <w:r w:rsidR="002B5A65">
        <w:rPr>
          <w:rFonts w:ascii="Arial" w:hAnsi="Arial" w:cs="Arial"/>
          <w:sz w:val="22"/>
          <w:szCs w:val="22"/>
        </w:rPr>
        <w:t>hour</w:t>
      </w:r>
      <w:r>
        <w:rPr>
          <w:rFonts w:ascii="Arial" w:hAnsi="Arial" w:cs="Arial"/>
          <w:sz w:val="22"/>
          <w:szCs w:val="22"/>
        </w:rPr>
        <w:t xml:space="preserve"> fasted (n=8</w:t>
      </w:r>
      <w:r w:rsidRPr="00931C15">
        <w:rPr>
          <w:rFonts w:ascii="Arial" w:hAnsi="Arial" w:cs="Arial"/>
          <w:sz w:val="22"/>
          <w:szCs w:val="22"/>
        </w:rPr>
        <w:t>)</w:t>
      </w:r>
      <w:r>
        <w:rPr>
          <w:rFonts w:ascii="Arial" w:hAnsi="Arial" w:cs="Arial"/>
          <w:sz w:val="22"/>
          <w:szCs w:val="22"/>
        </w:rPr>
        <w:t xml:space="preserve"> at 20 months of age. The body weig</w:t>
      </w:r>
      <w:r w:rsidR="002B5A65">
        <w:rPr>
          <w:rFonts w:ascii="Arial" w:hAnsi="Arial" w:cs="Arial"/>
          <w:sz w:val="22"/>
          <w:szCs w:val="22"/>
        </w:rPr>
        <w:t>hts of mice were measured for 7</w:t>
      </w:r>
      <w:r w:rsidR="001849A7">
        <w:rPr>
          <w:rFonts w:ascii="Arial" w:hAnsi="Arial" w:cs="Arial"/>
          <w:sz w:val="22"/>
          <w:szCs w:val="22"/>
        </w:rPr>
        <w:t xml:space="preserve"> </w:t>
      </w:r>
      <w:r w:rsidR="002B5A65">
        <w:rPr>
          <w:rFonts w:ascii="Arial" w:hAnsi="Arial" w:cs="Arial"/>
          <w:sz w:val="22"/>
          <w:szCs w:val="22"/>
        </w:rPr>
        <w:t>h</w:t>
      </w:r>
      <w:r w:rsidR="001849A7">
        <w:rPr>
          <w:rFonts w:ascii="Arial" w:hAnsi="Arial" w:cs="Arial"/>
          <w:sz w:val="22"/>
          <w:szCs w:val="22"/>
        </w:rPr>
        <w:t>our</w:t>
      </w:r>
      <w:r>
        <w:rPr>
          <w:rFonts w:ascii="Arial" w:hAnsi="Arial" w:cs="Arial"/>
          <w:sz w:val="22"/>
          <w:szCs w:val="22"/>
        </w:rPr>
        <w:t>s following overnight fast to monitor food intake of the animals. The proportions of the starting pre-fasted body weights (%)</w:t>
      </w:r>
      <w:r w:rsidR="001849A7">
        <w:rPr>
          <w:rFonts w:ascii="Arial" w:hAnsi="Arial" w:cs="Arial"/>
          <w:sz w:val="22"/>
          <w:szCs w:val="22"/>
        </w:rPr>
        <w:t xml:space="preserve"> </w:t>
      </w:r>
      <w:r w:rsidRPr="009D6E22">
        <w:rPr>
          <w:rFonts w:ascii="Arial" w:eastAsia="MS Gothic" w:hAnsi="Arial" w:cs="Arial"/>
          <w:color w:val="000000"/>
          <w:sz w:val="22"/>
          <w:szCs w:val="22"/>
        </w:rPr>
        <w:t>±</w:t>
      </w:r>
      <w:r w:rsidR="001849A7">
        <w:rPr>
          <w:rFonts w:ascii="Arial" w:eastAsia="MS Gothic" w:hAnsi="Arial" w:cs="Arial"/>
          <w:color w:val="000000"/>
          <w:sz w:val="22"/>
          <w:szCs w:val="22"/>
        </w:rPr>
        <w:t xml:space="preserve"> </w:t>
      </w:r>
      <w:r>
        <w:rPr>
          <w:rFonts w:ascii="Arial" w:eastAsia="MS Gothic" w:hAnsi="Arial" w:cs="Arial"/>
          <w:color w:val="000000"/>
          <w:sz w:val="22"/>
          <w:szCs w:val="22"/>
        </w:rPr>
        <w:t xml:space="preserve">SE are shown. Following overnight food restriction, fasted mice consumed more food compared with the mice in the control group that had free access to food ad libitum. </w:t>
      </w:r>
      <w:r w:rsidRPr="00C079E0">
        <w:rPr>
          <w:rFonts w:ascii="Arial" w:eastAsia="MS Gothic" w:hAnsi="Arial" w:cs="Arial"/>
          <w:color w:val="000000"/>
          <w:sz w:val="22"/>
          <w:szCs w:val="22"/>
        </w:rPr>
        <w:t xml:space="preserve">Data is analysed by </w:t>
      </w:r>
      <w:r w:rsidR="00FE50B0">
        <w:rPr>
          <w:rFonts w:ascii="Arial" w:eastAsia="MS Gothic" w:hAnsi="Arial" w:cs="Arial"/>
          <w:color w:val="000000"/>
          <w:sz w:val="22"/>
          <w:szCs w:val="22"/>
        </w:rPr>
        <w:t>two</w:t>
      </w:r>
      <w:r w:rsidRPr="00C079E0">
        <w:rPr>
          <w:rFonts w:ascii="Arial" w:eastAsia="MS Gothic" w:hAnsi="Arial" w:cs="Arial"/>
          <w:color w:val="000000"/>
          <w:sz w:val="22"/>
          <w:szCs w:val="22"/>
        </w:rPr>
        <w:t xml:space="preserve">-way ANOVA </w:t>
      </w:r>
      <w:r>
        <w:rPr>
          <w:rFonts w:ascii="Arial" w:hAnsi="Arial" w:cs="Arial"/>
          <w:color w:val="000000" w:themeColor="text1"/>
          <w:sz w:val="22"/>
          <w:szCs w:val="22"/>
        </w:rPr>
        <w:t xml:space="preserve">with Tukey post-hoc test. </w:t>
      </w:r>
      <w:r>
        <w:rPr>
          <w:rFonts w:ascii="Arial" w:eastAsia="MS Gothic" w:hAnsi="Arial" w:cs="Arial"/>
          <w:color w:val="000000"/>
          <w:sz w:val="22"/>
          <w:szCs w:val="22"/>
        </w:rPr>
        <w:t>* Indicates significant differences between fed and fasted fed groups (* p&lt;0.05; **** p&lt;0.0001)</w:t>
      </w:r>
    </w:p>
    <w:p w14:paraId="43C9595A" w14:textId="77777777" w:rsidR="00814A1C" w:rsidRDefault="00814A1C" w:rsidP="00814A1C">
      <w:pPr>
        <w:spacing w:line="360" w:lineRule="auto"/>
        <w:jc w:val="both"/>
        <w:rPr>
          <w:rFonts w:ascii="Arial" w:eastAsia="MS Gothic" w:hAnsi="Arial" w:cs="Arial"/>
          <w:color w:val="000000"/>
          <w:sz w:val="22"/>
          <w:szCs w:val="22"/>
        </w:rPr>
      </w:pPr>
    </w:p>
    <w:p w14:paraId="1E759C8D" w14:textId="77777777" w:rsidR="00814A1C" w:rsidRPr="003F395E" w:rsidRDefault="00814A1C" w:rsidP="00814A1C">
      <w:pPr>
        <w:spacing w:line="360" w:lineRule="auto"/>
        <w:jc w:val="both"/>
        <w:rPr>
          <w:rFonts w:ascii="Arial" w:hAnsi="Arial" w:cs="Arial"/>
          <w:color w:val="000000" w:themeColor="text1"/>
          <w:sz w:val="22"/>
          <w:szCs w:val="22"/>
        </w:rPr>
      </w:pPr>
    </w:p>
    <w:p w14:paraId="2103924F" w14:textId="77777777" w:rsidR="00814A1C" w:rsidRDefault="00814A1C" w:rsidP="00814A1C">
      <w:pPr>
        <w:rPr>
          <w:rFonts w:ascii="Arial" w:hAnsi="Arial" w:cs="Arial"/>
          <w:sz w:val="28"/>
          <w:szCs w:val="28"/>
        </w:rPr>
      </w:pPr>
    </w:p>
    <w:p w14:paraId="2110A64F" w14:textId="77777777" w:rsidR="00EC7BBF" w:rsidRPr="00187199" w:rsidRDefault="00EC7BBF" w:rsidP="00814A1C">
      <w:pPr>
        <w:rPr>
          <w:rFonts w:ascii="Arial" w:hAnsi="Arial" w:cs="Arial"/>
          <w:sz w:val="28"/>
          <w:szCs w:val="28"/>
        </w:rPr>
      </w:pPr>
    </w:p>
    <w:p w14:paraId="16C8F4BA" w14:textId="77777777" w:rsidR="009F2078" w:rsidRPr="00404449" w:rsidRDefault="00814A1C" w:rsidP="00404449">
      <w:pPr>
        <w:pStyle w:val="Heading3"/>
        <w:spacing w:line="480" w:lineRule="auto"/>
        <w:jc w:val="both"/>
        <w:rPr>
          <w:rFonts w:ascii="Arial" w:hAnsi="Arial"/>
          <w:color w:val="auto"/>
        </w:rPr>
      </w:pPr>
      <w:bookmarkStart w:id="144" w:name="_Toc383723920"/>
      <w:r w:rsidRPr="00404449">
        <w:rPr>
          <w:rFonts w:ascii="Arial" w:hAnsi="Arial"/>
          <w:color w:val="auto"/>
        </w:rPr>
        <w:lastRenderedPageBreak/>
        <w:t xml:space="preserve">6.2.2 </w:t>
      </w:r>
      <w:proofErr w:type="gramStart"/>
      <w:r w:rsidR="009F2078" w:rsidRPr="00404449">
        <w:rPr>
          <w:rFonts w:ascii="Arial" w:hAnsi="Arial"/>
          <w:color w:val="auto"/>
        </w:rPr>
        <w:t>The</w:t>
      </w:r>
      <w:proofErr w:type="gramEnd"/>
      <w:r w:rsidR="009F2078" w:rsidRPr="00404449">
        <w:rPr>
          <w:rFonts w:ascii="Arial" w:hAnsi="Arial"/>
          <w:color w:val="auto"/>
        </w:rPr>
        <w:t xml:space="preserve"> effect of ageing on tibial cortical bone response to maximal mechanical loading of fed or fast</w:t>
      </w:r>
      <w:r w:rsidR="00E41DFA">
        <w:rPr>
          <w:rFonts w:ascii="Arial" w:hAnsi="Arial"/>
          <w:color w:val="auto"/>
        </w:rPr>
        <w:t xml:space="preserve">ed 2-hour fed aged </w:t>
      </w:r>
      <w:r w:rsidR="009F2078" w:rsidRPr="00404449">
        <w:rPr>
          <w:rFonts w:ascii="Arial" w:hAnsi="Arial"/>
          <w:color w:val="auto"/>
        </w:rPr>
        <w:t>mice</w:t>
      </w:r>
      <w:bookmarkEnd w:id="144"/>
    </w:p>
    <w:p w14:paraId="366136BF" w14:textId="77777777" w:rsidR="00814A1C" w:rsidRPr="003F395E" w:rsidRDefault="00814A1C" w:rsidP="00814A1C"/>
    <w:p w14:paraId="4A7E198C" w14:textId="77777777" w:rsidR="00814A1C" w:rsidRDefault="00814A1C" w:rsidP="00814A1C">
      <w:pPr>
        <w:spacing w:line="480" w:lineRule="auto"/>
        <w:jc w:val="both"/>
        <w:rPr>
          <w:rFonts w:ascii="Arial" w:hAnsi="Arial" w:cs="Arial"/>
          <w:color w:val="1A1A1A"/>
        </w:rPr>
      </w:pPr>
      <w:r>
        <w:rPr>
          <w:rFonts w:ascii="Arial" w:hAnsi="Arial"/>
          <w:bCs/>
        </w:rPr>
        <w:t xml:space="preserve">In the previous study, similar to the young mice, </w:t>
      </w:r>
      <w:r w:rsidRPr="00D2426C">
        <w:rPr>
          <w:rFonts w:ascii="Arial" w:hAnsi="Arial" w:cs="Arial"/>
        </w:rPr>
        <w:t xml:space="preserve">during </w:t>
      </w:r>
      <w:r>
        <w:rPr>
          <w:rFonts w:ascii="Arial" w:hAnsi="Arial" w:cs="Arial"/>
        </w:rPr>
        <w:t xml:space="preserve">the </w:t>
      </w:r>
      <w:r w:rsidRPr="00D2426C">
        <w:rPr>
          <w:rFonts w:ascii="Arial" w:hAnsi="Arial" w:cs="Arial"/>
        </w:rPr>
        <w:t>re-feeding period</w:t>
      </w:r>
      <w:r w:rsidR="00B04C9C">
        <w:rPr>
          <w:rFonts w:ascii="Arial" w:hAnsi="Arial" w:cs="Arial"/>
        </w:rPr>
        <w:t xml:space="preserve"> 2</w:t>
      </w:r>
      <w:r>
        <w:rPr>
          <w:rFonts w:ascii="Arial" w:hAnsi="Arial" w:cs="Arial"/>
        </w:rPr>
        <w:t>-hour</w:t>
      </w:r>
      <w:r w:rsidRPr="00D2426C">
        <w:rPr>
          <w:rFonts w:ascii="Arial" w:hAnsi="Arial"/>
          <w:bCs/>
        </w:rPr>
        <w:t xml:space="preserve"> </w:t>
      </w:r>
      <w:r w:rsidRPr="00D2426C">
        <w:rPr>
          <w:rFonts w:ascii="Arial" w:hAnsi="Arial" w:cs="Arial"/>
        </w:rPr>
        <w:t xml:space="preserve">hyperphagic response was observed in </w:t>
      </w:r>
      <w:r w:rsidR="00B04C9C">
        <w:rPr>
          <w:rFonts w:ascii="Arial" w:hAnsi="Arial" w:cs="Arial"/>
        </w:rPr>
        <w:t>16-hour</w:t>
      </w:r>
      <w:r>
        <w:rPr>
          <w:rFonts w:ascii="Arial" w:hAnsi="Arial" w:cs="Arial"/>
        </w:rPr>
        <w:t xml:space="preserve"> </w:t>
      </w:r>
      <w:r w:rsidRPr="00D2426C">
        <w:rPr>
          <w:rFonts w:ascii="Arial" w:hAnsi="Arial" w:cs="Arial"/>
        </w:rPr>
        <w:t xml:space="preserve">fasted </w:t>
      </w:r>
      <w:r>
        <w:rPr>
          <w:rFonts w:ascii="Arial" w:hAnsi="Arial" w:cs="Arial"/>
        </w:rPr>
        <w:t xml:space="preserve">aged male </w:t>
      </w:r>
      <w:r w:rsidRPr="00D2426C">
        <w:rPr>
          <w:rFonts w:ascii="Arial" w:hAnsi="Arial" w:cs="Arial"/>
        </w:rPr>
        <w:t xml:space="preserve">mice.  </w:t>
      </w:r>
      <w:r w:rsidRPr="00D2426C">
        <w:rPr>
          <w:rFonts w:ascii="Arial" w:hAnsi="Arial"/>
          <w:bCs/>
        </w:rPr>
        <w:t xml:space="preserve">Therefore, </w:t>
      </w:r>
      <w:r>
        <w:rPr>
          <w:rFonts w:ascii="Arial" w:hAnsi="Arial"/>
          <w:bCs/>
        </w:rPr>
        <w:t>next we determined</w:t>
      </w:r>
      <w:r w:rsidRPr="00D2426C">
        <w:rPr>
          <w:rFonts w:ascii="Arial" w:hAnsi="Arial"/>
          <w:bCs/>
        </w:rPr>
        <w:t xml:space="preserve"> </w:t>
      </w:r>
      <w:r>
        <w:rPr>
          <w:rFonts w:ascii="Arial" w:hAnsi="Arial"/>
          <w:bCs/>
        </w:rPr>
        <w:t xml:space="preserve">the </w:t>
      </w:r>
      <w:r w:rsidRPr="00D2426C">
        <w:rPr>
          <w:rFonts w:ascii="Arial" w:hAnsi="Arial"/>
          <w:bCs/>
        </w:rPr>
        <w:t>ability of food ingestion</w:t>
      </w:r>
      <w:r>
        <w:rPr>
          <w:rFonts w:ascii="Arial" w:hAnsi="Arial"/>
          <w:bCs/>
        </w:rPr>
        <w:t xml:space="preserve"> for 2 hours following overnight fast</w:t>
      </w:r>
      <w:r w:rsidRPr="00D2426C">
        <w:rPr>
          <w:rFonts w:ascii="Arial" w:hAnsi="Arial"/>
          <w:bCs/>
        </w:rPr>
        <w:t xml:space="preserve"> to potentiate osteogenic</w:t>
      </w:r>
      <w:r>
        <w:rPr>
          <w:rFonts w:ascii="Arial" w:hAnsi="Arial"/>
          <w:bCs/>
        </w:rPr>
        <w:t xml:space="preserve"> effects of maximal</w:t>
      </w:r>
      <w:r w:rsidRPr="00D2426C">
        <w:rPr>
          <w:rFonts w:ascii="Arial" w:hAnsi="Arial"/>
          <w:bCs/>
        </w:rPr>
        <w:t xml:space="preserve"> </w:t>
      </w:r>
      <w:r>
        <w:rPr>
          <w:rFonts w:ascii="Arial" w:hAnsi="Arial"/>
          <w:bCs/>
        </w:rPr>
        <w:t xml:space="preserve">mechanical </w:t>
      </w:r>
      <w:r w:rsidRPr="00D2426C">
        <w:rPr>
          <w:rFonts w:ascii="Arial" w:hAnsi="Arial"/>
          <w:bCs/>
        </w:rPr>
        <w:t xml:space="preserve">loading </w:t>
      </w:r>
      <w:r>
        <w:rPr>
          <w:rFonts w:ascii="Arial" w:hAnsi="Arial"/>
          <w:bCs/>
        </w:rPr>
        <w:t>in the</w:t>
      </w:r>
      <w:r w:rsidRPr="00D2426C">
        <w:rPr>
          <w:rFonts w:ascii="Arial" w:hAnsi="Arial"/>
          <w:bCs/>
        </w:rPr>
        <w:t xml:space="preserve"> tibiae of </w:t>
      </w:r>
      <w:r>
        <w:rPr>
          <w:rFonts w:ascii="Arial" w:eastAsiaTheme="minorHAnsi" w:hAnsi="Arial"/>
          <w:bCs/>
        </w:rPr>
        <w:t xml:space="preserve">aged </w:t>
      </w:r>
      <w:r w:rsidRPr="00D2426C">
        <w:rPr>
          <w:rFonts w:ascii="Arial" w:eastAsiaTheme="minorHAnsi" w:hAnsi="Arial"/>
          <w:bCs/>
        </w:rPr>
        <w:t>male</w:t>
      </w:r>
      <w:r w:rsidRPr="00D2426C">
        <w:rPr>
          <w:rFonts w:ascii="Arial" w:hAnsi="Arial"/>
          <w:bCs/>
        </w:rPr>
        <w:t xml:space="preserve"> mice</w:t>
      </w:r>
      <w:r>
        <w:rPr>
          <w:rFonts w:ascii="Arial" w:hAnsi="Arial"/>
          <w:bCs/>
        </w:rPr>
        <w:t>.</w:t>
      </w:r>
      <w:r w:rsidRPr="00D007BA">
        <w:rPr>
          <w:rFonts w:ascii="Arial" w:hAnsi="Arial" w:cs="Arial"/>
          <w:color w:val="1A1A1A"/>
        </w:rPr>
        <w:t xml:space="preserve"> </w:t>
      </w:r>
    </w:p>
    <w:p w14:paraId="62A6F9BB" w14:textId="77777777" w:rsidR="00814A1C" w:rsidRDefault="00814A1C" w:rsidP="00814A1C">
      <w:pPr>
        <w:spacing w:line="480" w:lineRule="auto"/>
        <w:jc w:val="both"/>
        <w:rPr>
          <w:rFonts w:ascii="Arial" w:hAnsi="Arial" w:cs="Arial"/>
          <w:color w:val="1A1A1A"/>
        </w:rPr>
      </w:pPr>
    </w:p>
    <w:p w14:paraId="3AC76E06" w14:textId="77777777" w:rsidR="00814A1C" w:rsidRPr="007A7631" w:rsidRDefault="00935DE9" w:rsidP="00814A1C">
      <w:pPr>
        <w:spacing w:line="480" w:lineRule="auto"/>
        <w:jc w:val="both"/>
        <w:rPr>
          <w:rFonts w:ascii="Arial" w:hAnsi="Arial" w:cs="Arial"/>
          <w:color w:val="1A1A1A"/>
        </w:rPr>
      </w:pPr>
      <w:r w:rsidRPr="00972D90">
        <w:rPr>
          <w:rFonts w:ascii="Arial" w:hAnsi="Arial" w:cs="Arial"/>
          <w:b/>
          <w:i/>
        </w:rPr>
        <w:t>Experimental details:</w:t>
      </w:r>
      <w:r>
        <w:rPr>
          <w:rFonts w:ascii="Arial" w:hAnsi="Arial" w:cs="Arial"/>
        </w:rPr>
        <w:t xml:space="preserve"> </w:t>
      </w:r>
      <w:r w:rsidR="00814A1C">
        <w:rPr>
          <w:rFonts w:ascii="Arial" w:hAnsi="Arial" w:cs="Arial"/>
          <w:color w:val="1A1A1A"/>
        </w:rPr>
        <w:t xml:space="preserve">Groups of 20-month-old </w:t>
      </w:r>
      <w:r w:rsidR="002B6BC3">
        <w:rPr>
          <w:rFonts w:ascii="Arial" w:hAnsi="Arial" w:cs="Arial"/>
          <w:color w:val="1A1A1A"/>
        </w:rPr>
        <w:t xml:space="preserve">male C57BL/6 </w:t>
      </w:r>
      <w:r w:rsidR="00814A1C">
        <w:rPr>
          <w:rFonts w:ascii="Arial" w:hAnsi="Arial" w:cs="Arial"/>
          <w:color w:val="1A1A1A"/>
        </w:rPr>
        <w:t>mice (n=8</w:t>
      </w:r>
      <w:r w:rsidR="00814A1C" w:rsidRPr="00B02BA7">
        <w:rPr>
          <w:rFonts w:ascii="Arial" w:hAnsi="Arial" w:cs="Arial"/>
          <w:color w:val="1A1A1A"/>
        </w:rPr>
        <w:t>) were either</w:t>
      </w:r>
      <w:r w:rsidR="00814A1C">
        <w:rPr>
          <w:rFonts w:ascii="Arial" w:hAnsi="Arial" w:cs="Arial"/>
          <w:color w:val="1A1A1A"/>
        </w:rPr>
        <w:t xml:space="preserve"> fasted overnight for 16 hours</w:t>
      </w:r>
      <w:r w:rsidR="00814A1C" w:rsidRPr="00B02BA7">
        <w:rPr>
          <w:rFonts w:ascii="Arial" w:hAnsi="Arial" w:cs="Arial"/>
          <w:color w:val="1A1A1A"/>
        </w:rPr>
        <w:t xml:space="preserve"> or allowed free access to food</w:t>
      </w:r>
      <w:r w:rsidR="00814A1C">
        <w:rPr>
          <w:rFonts w:ascii="Arial" w:hAnsi="Arial" w:cs="Arial"/>
          <w:color w:val="1A1A1A"/>
        </w:rPr>
        <w:t xml:space="preserve"> ad libitum</w:t>
      </w:r>
      <w:r w:rsidR="00814A1C" w:rsidRPr="00B02BA7">
        <w:rPr>
          <w:rFonts w:ascii="Arial" w:hAnsi="Arial" w:cs="Arial"/>
          <w:color w:val="1A1A1A"/>
        </w:rPr>
        <w:t xml:space="preserve">. </w:t>
      </w:r>
      <w:r w:rsidR="00814A1C">
        <w:rPr>
          <w:rFonts w:ascii="Arial" w:hAnsi="Arial" w:cs="Arial"/>
          <w:color w:val="1A1A1A"/>
        </w:rPr>
        <w:t xml:space="preserve">At the end of fasting, </w:t>
      </w:r>
      <w:r w:rsidR="00814A1C" w:rsidRPr="00B02BA7">
        <w:rPr>
          <w:rFonts w:ascii="Arial" w:hAnsi="Arial" w:cs="Arial"/>
          <w:color w:val="1A1A1A"/>
        </w:rPr>
        <w:t>mice were given access to food for 2</w:t>
      </w:r>
      <w:r w:rsidR="00814A1C">
        <w:rPr>
          <w:rFonts w:ascii="Arial" w:hAnsi="Arial" w:cs="Arial"/>
          <w:color w:val="1A1A1A"/>
        </w:rPr>
        <w:t xml:space="preserve"> hours</w:t>
      </w:r>
      <w:r w:rsidR="00814A1C" w:rsidRPr="00B02BA7">
        <w:rPr>
          <w:rFonts w:ascii="Arial" w:hAnsi="Arial" w:cs="Arial"/>
          <w:color w:val="1A1A1A"/>
        </w:rPr>
        <w:t>.</w:t>
      </w:r>
      <w:r w:rsidR="00814A1C">
        <w:t xml:space="preserve"> </w:t>
      </w:r>
      <w:r w:rsidR="00814A1C" w:rsidRPr="00ED36A9">
        <w:rPr>
          <w:rFonts w:ascii="Arial" w:hAnsi="Arial"/>
        </w:rPr>
        <w:t xml:space="preserve">In order to apply similar magnitudes of the peak strain to tibiae of young and aged </w:t>
      </w:r>
      <w:r w:rsidR="007A7631">
        <w:rPr>
          <w:rFonts w:ascii="Arial" w:hAnsi="Arial"/>
        </w:rPr>
        <w:t xml:space="preserve">mice, </w:t>
      </w:r>
      <w:r w:rsidR="00814A1C">
        <w:rPr>
          <w:rFonts w:ascii="Arial" w:hAnsi="Arial"/>
        </w:rPr>
        <w:t xml:space="preserve">aged mice </w:t>
      </w:r>
      <w:r w:rsidR="00814A1C">
        <w:rPr>
          <w:rFonts w:ascii="Arial" w:hAnsi="Arial" w:cs="Arial"/>
          <w:color w:val="1A1A1A"/>
        </w:rPr>
        <w:t xml:space="preserve">then </w:t>
      </w:r>
      <w:r w:rsidR="00814A1C" w:rsidRPr="00B02BA7">
        <w:rPr>
          <w:rFonts w:ascii="Arial" w:hAnsi="Arial" w:cs="Arial"/>
          <w:color w:val="1A1A1A"/>
        </w:rPr>
        <w:t>underwent axial loading of the righ</w:t>
      </w:r>
      <w:r w:rsidR="00814A1C">
        <w:rPr>
          <w:rFonts w:ascii="Arial" w:hAnsi="Arial" w:cs="Arial"/>
          <w:color w:val="1A1A1A"/>
        </w:rPr>
        <w:t>t tibiae with a peak force of 10</w:t>
      </w:r>
      <w:r w:rsidR="00814A1C" w:rsidRPr="00B02BA7">
        <w:rPr>
          <w:rFonts w:ascii="Arial" w:hAnsi="Arial" w:cs="Arial"/>
          <w:color w:val="1A1A1A"/>
        </w:rPr>
        <w:t>N,</w:t>
      </w:r>
      <w:r w:rsidR="00AF64FD">
        <w:rPr>
          <w:rFonts w:ascii="Arial" w:hAnsi="Arial" w:cs="Arial"/>
          <w:color w:val="1A1A1A"/>
        </w:rPr>
        <w:t xml:space="preserve"> which was shown to be</w:t>
      </w:r>
      <w:r w:rsidR="007A7631">
        <w:rPr>
          <w:rFonts w:ascii="Arial" w:hAnsi="Arial" w:cs="Arial"/>
          <w:color w:val="1A1A1A"/>
        </w:rPr>
        <w:t xml:space="preserve"> the load capable of inducing </w:t>
      </w:r>
      <w:r w:rsidR="007A7631" w:rsidRPr="007A7631">
        <w:rPr>
          <w:rFonts w:ascii="Arial" w:hAnsi="Arial" w:cs="Arial"/>
          <w:color w:val="1A1A1A"/>
        </w:rPr>
        <w:t>2250</w:t>
      </w:r>
      <w:r w:rsidR="007A7631" w:rsidRPr="007A7631">
        <w:rPr>
          <w:rFonts w:ascii="Arial" w:hAnsi="Arial"/>
        </w:rPr>
        <w:sym w:font="Symbol" w:char="F06D"/>
      </w:r>
      <w:r w:rsidR="007A7631" w:rsidRPr="007A7631">
        <w:rPr>
          <w:rFonts w:ascii="Arial" w:hAnsi="Arial"/>
        </w:rPr>
        <w:sym w:font="Symbol" w:char="F065"/>
      </w:r>
      <w:r w:rsidR="00AF64FD">
        <w:rPr>
          <w:rFonts w:ascii="Arial" w:hAnsi="Arial" w:cs="Arial"/>
          <w:color w:val="1A1A1A"/>
        </w:rPr>
        <w:t xml:space="preserve"> in animals of this </w:t>
      </w:r>
      <w:r w:rsidR="007A7631">
        <w:rPr>
          <w:rFonts w:ascii="Arial" w:hAnsi="Arial" w:cs="Arial"/>
          <w:color w:val="1A1A1A"/>
        </w:rPr>
        <w:t xml:space="preserve">sex, </w:t>
      </w:r>
      <w:r w:rsidR="00AF64FD">
        <w:rPr>
          <w:rFonts w:ascii="Arial" w:hAnsi="Arial" w:cs="Arial"/>
          <w:color w:val="1A1A1A"/>
        </w:rPr>
        <w:t>strain and age</w:t>
      </w:r>
      <w:r w:rsidR="007A7631">
        <w:rPr>
          <w:rFonts w:ascii="Arial" w:hAnsi="Arial" w:cs="Arial"/>
          <w:color w:val="1A1A1A"/>
        </w:rPr>
        <w:t xml:space="preserve"> </w:t>
      </w:r>
      <w:r w:rsidR="007A7631">
        <w:rPr>
          <w:rFonts w:ascii="Arial" w:hAnsi="Arial" w:cs="Arial"/>
          <w:color w:val="1A1A1A"/>
        </w:rPr>
        <w:fldChar w:fldCharType="begin">
          <w:fldData xml:space="preserve">PEVuZE5vdGU+PENpdGU+PEF1dGhvcj5NZWFraW48L0F1dGhvcj48WWVhcj4yMDE0PC9ZZWFyPjxS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</w:fldData>
        </w:fldChar>
      </w:r>
      <w:r w:rsidR="0000415D">
        <w:rPr>
          <w:rFonts w:ascii="Arial" w:hAnsi="Arial" w:cs="Arial"/>
          <w:color w:val="1A1A1A"/>
        </w:rPr>
        <w:instrText xml:space="preserve"> ADDIN EN.CITE </w:instrText>
      </w:r>
      <w:r w:rsidR="0000415D">
        <w:rPr>
          <w:rFonts w:ascii="Arial" w:hAnsi="Arial" w:cs="Arial"/>
          <w:color w:val="1A1A1A"/>
        </w:rPr>
        <w:fldChar w:fldCharType="begin">
          <w:fldData xml:space="preserve">PEVuZE5vdGU+PENpdGU+PEF1dGhvcj5NZWFraW48L0F1dGhvcj48WWVhcj4yMDE0PC9ZZWFyPjxS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</w:fldData>
        </w:fldChar>
      </w:r>
      <w:r w:rsidR="0000415D">
        <w:rPr>
          <w:rFonts w:ascii="Arial" w:hAnsi="Arial" w:cs="Arial"/>
          <w:color w:val="1A1A1A"/>
        </w:rPr>
        <w:instrText xml:space="preserve"> ADDIN EN.CITE.DATA </w:instrText>
      </w:r>
      <w:r w:rsidR="0000415D">
        <w:rPr>
          <w:rFonts w:ascii="Arial" w:hAnsi="Arial" w:cs="Arial"/>
          <w:color w:val="1A1A1A"/>
        </w:rPr>
      </w:r>
      <w:r w:rsidR="0000415D">
        <w:rPr>
          <w:rFonts w:ascii="Arial" w:hAnsi="Arial" w:cs="Arial"/>
          <w:color w:val="1A1A1A"/>
        </w:rPr>
        <w:fldChar w:fldCharType="end"/>
      </w:r>
      <w:r w:rsidR="007A7631">
        <w:rPr>
          <w:rFonts w:ascii="Arial" w:hAnsi="Arial" w:cs="Arial"/>
          <w:color w:val="1A1A1A"/>
        </w:rPr>
      </w:r>
      <w:r w:rsidR="007A7631">
        <w:rPr>
          <w:rFonts w:ascii="Arial" w:hAnsi="Arial" w:cs="Arial"/>
          <w:color w:val="1A1A1A"/>
        </w:rPr>
        <w:fldChar w:fldCharType="separate"/>
      </w:r>
      <w:r w:rsidR="007A7631">
        <w:rPr>
          <w:rFonts w:ascii="Arial" w:hAnsi="Arial" w:cs="Arial"/>
          <w:noProof/>
          <w:color w:val="1A1A1A"/>
        </w:rPr>
        <w:t>(Meakin et al., 2014, Patel et al., 2014)</w:t>
      </w:r>
      <w:r w:rsidR="007A7631">
        <w:rPr>
          <w:rFonts w:ascii="Arial" w:hAnsi="Arial" w:cs="Arial"/>
          <w:color w:val="1A1A1A"/>
        </w:rPr>
        <w:fldChar w:fldCharType="end"/>
      </w:r>
      <w:r w:rsidR="007A7631">
        <w:rPr>
          <w:rFonts w:ascii="Arial" w:hAnsi="Arial"/>
        </w:rPr>
        <w:t>. The loading was applied</w:t>
      </w:r>
      <w:r w:rsidR="007A7631">
        <w:rPr>
          <w:rFonts w:ascii="Arial" w:hAnsi="Arial" w:cs="Arial"/>
          <w:color w:val="1A1A1A"/>
        </w:rPr>
        <w:t xml:space="preserve"> </w:t>
      </w:r>
      <w:r w:rsidR="00814A1C" w:rsidRPr="00B02BA7">
        <w:rPr>
          <w:rFonts w:ascii="Arial" w:hAnsi="Arial" w:cs="Arial"/>
          <w:color w:val="1A1A1A"/>
        </w:rPr>
        <w:t xml:space="preserve">3 times weekly for 2 weeks </w:t>
      </w:r>
      <w:r w:rsidR="00814A1C">
        <w:rPr>
          <w:rFonts w:ascii="Arial" w:hAnsi="Arial" w:cs="Arial"/>
          <w:color w:val="1A1A1A"/>
        </w:rPr>
        <w:t xml:space="preserve">using </w:t>
      </w:r>
      <w:r w:rsidR="00814A1C" w:rsidRPr="00B04945">
        <w:rPr>
          <w:rFonts w:ascii="Arial" w:hAnsi="Arial" w:cs="Arial"/>
        </w:rPr>
        <w:t>ElectroForce 5500</w:t>
      </w:r>
      <w:r w:rsidR="00814A1C">
        <w:rPr>
          <w:rFonts w:ascii="Arial" w:hAnsi="Arial" w:cs="Arial"/>
        </w:rPr>
        <w:t xml:space="preserve"> </w:t>
      </w:r>
      <w:r w:rsidR="00814A1C" w:rsidRPr="00B04945">
        <w:rPr>
          <w:rFonts w:ascii="Arial" w:hAnsi="Arial" w:cs="Arial"/>
        </w:rPr>
        <w:t xml:space="preserve">linear motor materials testing machine </w:t>
      </w:r>
      <w:r w:rsidR="00814A1C">
        <w:rPr>
          <w:rFonts w:ascii="Arial" w:hAnsi="Arial" w:cs="Arial"/>
        </w:rPr>
        <w:t>(</w:t>
      </w:r>
      <w:r w:rsidR="00C56CBF">
        <w:rPr>
          <w:rFonts w:ascii="Arial" w:hAnsi="Arial" w:cs="Arial"/>
          <w:color w:val="1A1A1A"/>
        </w:rPr>
        <w:t>40 cycles of loading with 9s</w:t>
      </w:r>
      <w:r w:rsidR="00814A1C" w:rsidRPr="00B02BA7">
        <w:rPr>
          <w:rFonts w:ascii="Arial" w:hAnsi="Arial" w:cs="Arial"/>
          <w:color w:val="1A1A1A"/>
        </w:rPr>
        <w:t xml:space="preserve"> rest periods between each</w:t>
      </w:r>
      <w:r w:rsidR="00814A1C">
        <w:rPr>
          <w:rFonts w:ascii="Arial" w:hAnsi="Arial" w:cs="Arial"/>
          <w:color w:val="1A1A1A"/>
        </w:rPr>
        <w:t xml:space="preserve">) under isofluorane induced anaesthesia. </w:t>
      </w:r>
      <w:r w:rsidR="00814A1C" w:rsidRPr="00B02BA7">
        <w:rPr>
          <w:rFonts w:ascii="Arial" w:hAnsi="Arial" w:cs="Arial"/>
          <w:color w:val="1A1A1A"/>
        </w:rPr>
        <w:t>Left tibiae were non-loaded controls in e</w:t>
      </w:r>
      <w:r w:rsidR="00814A1C">
        <w:rPr>
          <w:rFonts w:ascii="Arial" w:hAnsi="Arial" w:cs="Arial"/>
          <w:color w:val="1A1A1A"/>
        </w:rPr>
        <w:t>ach animal. The protocol for the mechanical loading is described in details in the section 2.1.3</w:t>
      </w:r>
      <w:r w:rsidR="00814A1C" w:rsidRPr="00B02BA7">
        <w:rPr>
          <w:rFonts w:ascii="Arial" w:hAnsi="Arial" w:cs="Arial"/>
          <w:color w:val="1A1A1A"/>
        </w:rPr>
        <w:t xml:space="preserve">. Response of bones to loading </w:t>
      </w:r>
      <w:r w:rsidR="00814A1C">
        <w:rPr>
          <w:rFonts w:ascii="Arial" w:hAnsi="Arial" w:cs="Arial"/>
          <w:color w:val="1A1A1A"/>
        </w:rPr>
        <w:t xml:space="preserve">under different conditions </w:t>
      </w:r>
      <w:r w:rsidR="00814A1C" w:rsidRPr="00B02BA7">
        <w:rPr>
          <w:rFonts w:ascii="Arial" w:hAnsi="Arial" w:cs="Arial"/>
          <w:color w:val="1A1A1A"/>
        </w:rPr>
        <w:t xml:space="preserve">was determined by </w:t>
      </w:r>
      <w:r w:rsidR="00814A1C" w:rsidRPr="002E0001">
        <w:rPr>
          <w:rFonts w:ascii="Arial" w:hAnsi="Arial" w:cs="Arial"/>
          <w:color w:val="000000" w:themeColor="text1"/>
        </w:rPr>
        <w:sym w:font="Symbol" w:char="F06D"/>
      </w:r>
      <w:r w:rsidR="00814A1C" w:rsidRPr="002E0001">
        <w:rPr>
          <w:rFonts w:ascii="Arial" w:hAnsi="Arial" w:cs="Arial"/>
          <w:color w:val="000000" w:themeColor="text1"/>
        </w:rPr>
        <w:t>CT</w:t>
      </w:r>
      <w:r w:rsidR="00814A1C">
        <w:rPr>
          <w:rFonts w:ascii="Arial" w:eastAsiaTheme="minorHAnsi" w:hAnsi="Arial"/>
          <w:bCs/>
        </w:rPr>
        <w:t>.</w:t>
      </w:r>
      <w:r w:rsidR="00814A1C" w:rsidRPr="00B76230">
        <w:rPr>
          <w:rFonts w:ascii="Arial" w:hAnsi="Arial"/>
          <w:bCs/>
        </w:rPr>
        <w:t xml:space="preserve"> </w:t>
      </w:r>
    </w:p>
    <w:p w14:paraId="0FD4B606" w14:textId="77777777" w:rsidR="00814A1C" w:rsidRDefault="00814A1C" w:rsidP="00814A1C">
      <w:pPr>
        <w:spacing w:line="480" w:lineRule="auto"/>
        <w:jc w:val="both"/>
        <w:rPr>
          <w:rFonts w:ascii="Arial" w:hAnsi="Arial"/>
        </w:rPr>
      </w:pPr>
    </w:p>
    <w:p w14:paraId="6E57AF7C" w14:textId="77777777" w:rsidR="00814A1C" w:rsidRDefault="00814A1C" w:rsidP="00814A1C">
      <w:pPr>
        <w:spacing w:line="480" w:lineRule="auto"/>
        <w:jc w:val="both"/>
        <w:rPr>
          <w:rFonts w:ascii="Arial" w:hAnsi="Arial"/>
        </w:rPr>
      </w:pPr>
      <w:r w:rsidRPr="0019778E">
        <w:rPr>
          <w:rFonts w:ascii="Arial" w:hAnsi="Arial"/>
        </w:rPr>
        <w:t>The</w:t>
      </w:r>
      <w:r w:rsidR="00181477">
        <w:rPr>
          <w:rFonts w:ascii="Arial" w:hAnsi="Arial"/>
        </w:rPr>
        <w:t xml:space="preserve"> lengths of</w:t>
      </w:r>
      <w:r w:rsidRPr="0019778E">
        <w:rPr>
          <w:rFonts w:ascii="Arial" w:hAnsi="Arial"/>
        </w:rPr>
        <w:t xml:space="preserve"> left control and right loaded tibiae</w:t>
      </w:r>
      <w:r w:rsidR="00181477">
        <w:rPr>
          <w:rFonts w:ascii="Arial" w:hAnsi="Arial"/>
        </w:rPr>
        <w:t xml:space="preserve"> did not change</w:t>
      </w:r>
      <w:r w:rsidRPr="0019778E">
        <w:rPr>
          <w:rFonts w:ascii="Arial" w:hAnsi="Arial"/>
        </w:rPr>
        <w:t xml:space="preserve"> </w:t>
      </w:r>
      <w:r>
        <w:rPr>
          <w:rFonts w:ascii="Arial" w:hAnsi="Arial"/>
        </w:rPr>
        <w:t>with</w:t>
      </w:r>
      <w:r w:rsidRPr="0019778E">
        <w:rPr>
          <w:rFonts w:ascii="Arial" w:hAnsi="Arial"/>
        </w:rPr>
        <w:t>in</w:t>
      </w:r>
      <w:r>
        <w:rPr>
          <w:rFonts w:ascii="Arial" w:hAnsi="Arial"/>
        </w:rPr>
        <w:t xml:space="preserve"> and between the</w:t>
      </w:r>
      <w:r w:rsidRPr="0019778E">
        <w:rPr>
          <w:rFonts w:ascii="Arial" w:hAnsi="Arial"/>
        </w:rPr>
        <w:t xml:space="preserve"> </w:t>
      </w:r>
      <w:r>
        <w:rPr>
          <w:rFonts w:ascii="Arial" w:hAnsi="Arial"/>
        </w:rPr>
        <w:t xml:space="preserve">ad-lib fed and fasted fed </w:t>
      </w:r>
      <w:r w:rsidRPr="0019778E">
        <w:rPr>
          <w:rFonts w:ascii="Arial" w:hAnsi="Arial"/>
        </w:rPr>
        <w:t>experimental groups</w:t>
      </w:r>
      <w:r>
        <w:rPr>
          <w:rFonts w:ascii="Arial" w:hAnsi="Arial"/>
        </w:rPr>
        <w:t xml:space="preserve"> (ad-lib fed 18.3</w:t>
      </w:r>
      <w:r w:rsidRPr="003B6F9D">
        <w:rPr>
          <w:rFonts w:ascii="Arial" w:eastAsia="MS Gothic" w:hAnsi="Arial" w:cs="Arial"/>
          <w:color w:val="000000"/>
        </w:rPr>
        <w:t>±</w:t>
      </w:r>
      <w:r>
        <w:rPr>
          <w:rFonts w:ascii="Arial" w:eastAsia="MS Gothic" w:hAnsi="Arial" w:cs="Arial"/>
          <w:color w:val="000000"/>
        </w:rPr>
        <w:t>0.1mm versus 18.4</w:t>
      </w:r>
      <w:r w:rsidRPr="003B6F9D">
        <w:rPr>
          <w:rFonts w:ascii="Arial" w:eastAsia="MS Gothic" w:hAnsi="Arial" w:cs="Arial"/>
          <w:color w:val="000000"/>
        </w:rPr>
        <w:t>±</w:t>
      </w:r>
      <w:r>
        <w:rPr>
          <w:rFonts w:ascii="Arial" w:eastAsia="MS Gothic" w:hAnsi="Arial" w:cs="Arial"/>
          <w:color w:val="000000"/>
        </w:rPr>
        <w:t>0.1mm; fasted 2-hour fed 18.4</w:t>
      </w:r>
      <w:r w:rsidRPr="003B6F9D">
        <w:rPr>
          <w:rFonts w:ascii="Arial" w:eastAsia="MS Gothic" w:hAnsi="Arial" w:cs="Arial"/>
          <w:color w:val="000000"/>
        </w:rPr>
        <w:t>±</w:t>
      </w:r>
      <w:r>
        <w:rPr>
          <w:rFonts w:ascii="Arial" w:eastAsia="MS Gothic" w:hAnsi="Arial" w:cs="Arial"/>
          <w:color w:val="000000"/>
        </w:rPr>
        <w:t>0.06mm versus 18.4</w:t>
      </w:r>
      <w:r w:rsidRPr="003B6F9D">
        <w:rPr>
          <w:rFonts w:ascii="Arial" w:eastAsia="MS Gothic" w:hAnsi="Arial" w:cs="Arial"/>
          <w:color w:val="000000"/>
        </w:rPr>
        <w:t>±</w:t>
      </w:r>
      <w:r>
        <w:rPr>
          <w:rFonts w:ascii="Arial" w:eastAsia="MS Gothic" w:hAnsi="Arial" w:cs="Arial"/>
          <w:color w:val="000000"/>
        </w:rPr>
        <w:t xml:space="preserve">0.07mm </w:t>
      </w:r>
      <w:r>
        <w:rPr>
          <w:rFonts w:ascii="Arial" w:hAnsi="Arial"/>
        </w:rPr>
        <w:t xml:space="preserve">p&gt;0.05), </w:t>
      </w:r>
      <w:r w:rsidRPr="0019778E">
        <w:rPr>
          <w:rFonts w:ascii="Arial" w:hAnsi="Arial"/>
        </w:rPr>
        <w:t xml:space="preserve"> </w:t>
      </w:r>
      <w:r w:rsidR="00181477">
        <w:rPr>
          <w:rFonts w:ascii="Arial" w:hAnsi="Arial"/>
        </w:rPr>
        <w:t>(Figure 45</w:t>
      </w:r>
      <w:r>
        <w:rPr>
          <w:rFonts w:ascii="Arial" w:hAnsi="Arial"/>
        </w:rPr>
        <w:t xml:space="preserve">). </w:t>
      </w:r>
    </w:p>
    <w:p w14:paraId="34F427CD" w14:textId="77777777" w:rsidR="00814A1C" w:rsidRDefault="00814A1C" w:rsidP="00814A1C">
      <w:pPr>
        <w:spacing w:line="480" w:lineRule="auto"/>
        <w:jc w:val="both"/>
        <w:rPr>
          <w:rFonts w:ascii="Arial" w:hAnsi="Arial"/>
        </w:rPr>
      </w:pPr>
    </w:p>
    <w:p w14:paraId="15A7B1C7" w14:textId="77777777" w:rsidR="00814A1C" w:rsidRDefault="00814A1C" w:rsidP="00814A1C">
      <w:pPr>
        <w:spacing w:line="480" w:lineRule="auto"/>
        <w:jc w:val="both"/>
        <w:rPr>
          <w:rFonts w:ascii="Arial" w:hAnsi="Arial"/>
        </w:rPr>
      </w:pPr>
      <w:r>
        <w:rPr>
          <w:rFonts w:ascii="Arial" w:hAnsi="Arial"/>
          <w:bCs/>
        </w:rPr>
        <w:t>A</w:t>
      </w:r>
      <w:r w:rsidRPr="004F3C99">
        <w:rPr>
          <w:rFonts w:ascii="Arial" w:hAnsi="Arial"/>
          <w:bCs/>
        </w:rPr>
        <w:t xml:space="preserve">daptive response </w:t>
      </w:r>
      <w:r>
        <w:rPr>
          <w:rFonts w:ascii="Arial" w:hAnsi="Arial"/>
          <w:bCs/>
        </w:rPr>
        <w:t xml:space="preserve">to mechanical loading </w:t>
      </w:r>
      <w:r w:rsidRPr="004F3C99">
        <w:rPr>
          <w:rFonts w:ascii="Arial" w:hAnsi="Arial"/>
          <w:bCs/>
        </w:rPr>
        <w:t xml:space="preserve">in trabecular </w:t>
      </w:r>
      <w:r>
        <w:rPr>
          <w:rFonts w:ascii="Arial" w:hAnsi="Arial"/>
          <w:bCs/>
        </w:rPr>
        <w:t>and cortical bone of</w:t>
      </w:r>
      <w:r w:rsidRPr="004F3C99">
        <w:rPr>
          <w:rFonts w:ascii="Arial" w:hAnsi="Arial"/>
          <w:bCs/>
        </w:rPr>
        <w:t xml:space="preserve"> the loaded right </w:t>
      </w:r>
      <w:r>
        <w:rPr>
          <w:rFonts w:ascii="Arial" w:hAnsi="Arial"/>
          <w:bCs/>
        </w:rPr>
        <w:t xml:space="preserve">tibiae compared with unloaded left controls was impaired </w:t>
      </w:r>
      <w:r w:rsidRPr="004F3C99">
        <w:rPr>
          <w:rFonts w:ascii="Arial" w:hAnsi="Arial"/>
          <w:bCs/>
        </w:rPr>
        <w:t xml:space="preserve">in </w:t>
      </w:r>
      <w:r w:rsidRPr="00D2426C">
        <w:rPr>
          <w:rFonts w:ascii="Arial" w:hAnsi="Arial"/>
          <w:bCs/>
        </w:rPr>
        <w:t xml:space="preserve">fed or </w:t>
      </w:r>
      <w:r>
        <w:rPr>
          <w:rFonts w:ascii="Arial" w:hAnsi="Arial"/>
          <w:bCs/>
        </w:rPr>
        <w:t xml:space="preserve">fasted 2-hour fed aged mice. </w:t>
      </w:r>
    </w:p>
    <w:p w14:paraId="5D5BCBA6" w14:textId="77777777" w:rsidR="00181477" w:rsidRDefault="00814A1C" w:rsidP="00220F83">
      <w:pPr>
        <w:keepNext/>
        <w:ind w:left="1843"/>
      </w:pPr>
      <w:r>
        <w:rPr>
          <w:rFonts w:ascii="Arial" w:hAnsi="Arial"/>
          <w:noProof/>
          <w:lang w:val="en-US"/>
        </w:rPr>
        <w:lastRenderedPageBreak/>
        <w:drawing>
          <wp:inline distT="0" distB="0" distL="0" distR="0" wp14:anchorId="2C20A8CD" wp14:editId="7BF87FDC">
            <wp:extent cx="4030539" cy="2480779"/>
            <wp:effectExtent l="0" t="0" r="8255" b="889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30539" cy="2480779"/>
                    </a:xfrm>
                    <a:prstGeom prst="rect">
                      <a:avLst/>
                    </a:prstGeom>
                    <a:noFill/>
                    <a:ln>
                      <a:noFill/>
                    </a:ln>
                  </pic:spPr>
                </pic:pic>
              </a:graphicData>
            </a:graphic>
          </wp:inline>
        </w:drawing>
      </w:r>
    </w:p>
    <w:p w14:paraId="25A08D87" w14:textId="77777777" w:rsidR="00220F83" w:rsidRDefault="00220F83" w:rsidP="00181477">
      <w:pPr>
        <w:pStyle w:val="Caption"/>
      </w:pPr>
    </w:p>
    <w:p w14:paraId="1B622EF0" w14:textId="77777777" w:rsidR="00814A1C" w:rsidRPr="00220F83" w:rsidRDefault="00181477" w:rsidP="00220F83">
      <w:pPr>
        <w:pStyle w:val="Caption"/>
        <w:spacing w:line="360" w:lineRule="auto"/>
        <w:jc w:val="both"/>
        <w:rPr>
          <w:rFonts w:ascii="Arial" w:hAnsi="Arial"/>
          <w:color w:val="244061" w:themeColor="accent1" w:themeShade="80"/>
          <w:sz w:val="24"/>
          <w:szCs w:val="24"/>
        </w:rPr>
      </w:pPr>
      <w:bookmarkStart w:id="145" w:name="_Toc383544636"/>
      <w:r w:rsidRPr="00220F83">
        <w:rPr>
          <w:rFonts w:ascii="Arial" w:hAnsi="Arial"/>
          <w:color w:val="244061" w:themeColor="accent1" w:themeShade="80"/>
          <w:sz w:val="24"/>
          <w:szCs w:val="24"/>
        </w:rPr>
        <w:t xml:space="preserve">Figure </w:t>
      </w:r>
      <w:r w:rsidRPr="00220F83">
        <w:rPr>
          <w:rFonts w:ascii="Arial" w:hAnsi="Arial"/>
          <w:color w:val="244061" w:themeColor="accent1" w:themeShade="80"/>
          <w:sz w:val="24"/>
          <w:szCs w:val="24"/>
        </w:rPr>
        <w:fldChar w:fldCharType="begin"/>
      </w:r>
      <w:r w:rsidRPr="00220F83">
        <w:rPr>
          <w:rFonts w:ascii="Arial" w:hAnsi="Arial"/>
          <w:color w:val="244061" w:themeColor="accent1" w:themeShade="80"/>
          <w:sz w:val="24"/>
          <w:szCs w:val="24"/>
        </w:rPr>
        <w:instrText xml:space="preserve"> SEQ Figure \* ARABIC </w:instrText>
      </w:r>
      <w:r w:rsidRPr="00220F83">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45</w:t>
      </w:r>
      <w:r w:rsidRPr="00220F83">
        <w:rPr>
          <w:rFonts w:ascii="Arial" w:hAnsi="Arial"/>
          <w:color w:val="244061" w:themeColor="accent1" w:themeShade="80"/>
          <w:sz w:val="24"/>
          <w:szCs w:val="24"/>
        </w:rPr>
        <w:fldChar w:fldCharType="end"/>
      </w:r>
      <w:r w:rsidR="00220F83" w:rsidRPr="00220F83">
        <w:rPr>
          <w:rFonts w:ascii="Arial" w:hAnsi="Arial"/>
          <w:color w:val="244061" w:themeColor="accent1" w:themeShade="80"/>
          <w:sz w:val="24"/>
          <w:szCs w:val="24"/>
        </w:rPr>
        <w:t xml:space="preserve"> </w:t>
      </w:r>
      <w:r w:rsidR="00814A1C" w:rsidRPr="00220F83">
        <w:rPr>
          <w:rFonts w:ascii="Arial" w:hAnsi="Arial"/>
          <w:color w:val="244061" w:themeColor="accent1" w:themeShade="80"/>
          <w:sz w:val="24"/>
          <w:szCs w:val="24"/>
        </w:rPr>
        <w:t>Tibial length</w:t>
      </w:r>
      <w:r w:rsidR="006B66D2">
        <w:rPr>
          <w:rFonts w:ascii="Arial" w:hAnsi="Arial"/>
          <w:color w:val="244061" w:themeColor="accent1" w:themeShade="80"/>
          <w:sz w:val="24"/>
          <w:szCs w:val="24"/>
        </w:rPr>
        <w:t>s</w:t>
      </w:r>
      <w:r w:rsidR="00814A1C" w:rsidRPr="00220F83">
        <w:rPr>
          <w:rFonts w:ascii="Arial" w:hAnsi="Arial"/>
          <w:color w:val="244061" w:themeColor="accent1" w:themeShade="80"/>
          <w:sz w:val="24"/>
          <w:szCs w:val="24"/>
        </w:rPr>
        <w:t xml:space="preserve"> of ad-lib fed or ov</w:t>
      </w:r>
      <w:r w:rsidR="003E3895">
        <w:rPr>
          <w:rFonts w:ascii="Arial" w:hAnsi="Arial"/>
          <w:color w:val="244061" w:themeColor="accent1" w:themeShade="80"/>
          <w:sz w:val="24"/>
          <w:szCs w:val="24"/>
        </w:rPr>
        <w:t>ernight fasted fed aged male C57</w:t>
      </w:r>
      <w:r w:rsidR="00814A1C" w:rsidRPr="00220F83">
        <w:rPr>
          <w:rFonts w:ascii="Arial" w:hAnsi="Arial"/>
          <w:color w:val="244061" w:themeColor="accent1" w:themeShade="80"/>
          <w:sz w:val="24"/>
          <w:szCs w:val="24"/>
        </w:rPr>
        <w:t>BL/6 mice</w:t>
      </w:r>
      <w:bookmarkEnd w:id="145"/>
      <w:r w:rsidR="00814A1C" w:rsidRPr="00220F83">
        <w:rPr>
          <w:rFonts w:ascii="Arial" w:hAnsi="Arial"/>
          <w:color w:val="244061" w:themeColor="accent1" w:themeShade="80"/>
          <w:sz w:val="24"/>
          <w:szCs w:val="24"/>
        </w:rPr>
        <w:t xml:space="preserve"> </w:t>
      </w:r>
    </w:p>
    <w:p w14:paraId="20AF7E30" w14:textId="77777777" w:rsidR="00814A1C" w:rsidRPr="008A1D6D" w:rsidRDefault="00814A1C" w:rsidP="00814A1C">
      <w:pPr>
        <w:spacing w:line="360" w:lineRule="auto"/>
        <w:jc w:val="both"/>
        <w:rPr>
          <w:rFonts w:ascii="Arial" w:hAnsi="Arial"/>
          <w:sz w:val="22"/>
          <w:szCs w:val="22"/>
        </w:rPr>
      </w:pPr>
      <w:r w:rsidRPr="00605059">
        <w:rPr>
          <w:rFonts w:ascii="Arial" w:hAnsi="Arial"/>
          <w:sz w:val="22"/>
          <w:szCs w:val="22"/>
        </w:rPr>
        <w:t xml:space="preserve">The effect of mechanical loading </w:t>
      </w:r>
      <w:r>
        <w:rPr>
          <w:rFonts w:ascii="Arial" w:hAnsi="Arial"/>
          <w:sz w:val="22"/>
          <w:szCs w:val="22"/>
        </w:rPr>
        <w:t xml:space="preserve">and overnight fast </w:t>
      </w:r>
      <w:r w:rsidRPr="00605059">
        <w:rPr>
          <w:rFonts w:ascii="Arial" w:hAnsi="Arial"/>
          <w:sz w:val="22"/>
          <w:szCs w:val="22"/>
        </w:rPr>
        <w:t xml:space="preserve">on </w:t>
      </w:r>
      <w:r>
        <w:rPr>
          <w:rFonts w:ascii="Arial" w:hAnsi="Arial"/>
          <w:sz w:val="22"/>
          <w:szCs w:val="22"/>
        </w:rPr>
        <w:t xml:space="preserve">left control and right loaded tibial length. </w:t>
      </w:r>
      <w:r w:rsidRPr="008A1D6D">
        <w:rPr>
          <w:rFonts w:ascii="Arial" w:eastAsiaTheme="minorHAnsi" w:hAnsi="Arial"/>
          <w:bCs/>
          <w:sz w:val="22"/>
          <w:szCs w:val="22"/>
        </w:rPr>
        <w:t>The</w:t>
      </w:r>
      <w:r>
        <w:rPr>
          <w:rFonts w:ascii="Arial" w:eastAsiaTheme="minorHAnsi" w:hAnsi="Arial"/>
          <w:bCs/>
          <w:sz w:val="22"/>
          <w:szCs w:val="22"/>
        </w:rPr>
        <w:t>re were no significant differences in</w:t>
      </w:r>
      <w:r w:rsidRPr="008A1D6D">
        <w:rPr>
          <w:rFonts w:ascii="Arial" w:eastAsiaTheme="minorHAnsi" w:hAnsi="Arial"/>
          <w:bCs/>
          <w:sz w:val="22"/>
          <w:szCs w:val="22"/>
        </w:rPr>
        <w:t xml:space="preserve"> lengths of loaded right and unloaded left tibiae within or between the groups of ad-lib fed </w:t>
      </w:r>
      <w:r>
        <w:rPr>
          <w:rFonts w:ascii="Arial" w:eastAsiaTheme="minorHAnsi" w:hAnsi="Arial"/>
          <w:bCs/>
          <w:sz w:val="22"/>
          <w:szCs w:val="22"/>
        </w:rPr>
        <w:t>and</w:t>
      </w:r>
      <w:r w:rsidRPr="00F537F4">
        <w:rPr>
          <w:rFonts w:ascii="Arial" w:eastAsiaTheme="minorHAnsi" w:hAnsi="Arial"/>
          <w:bCs/>
          <w:sz w:val="22"/>
          <w:szCs w:val="22"/>
        </w:rPr>
        <w:t xml:space="preserve"> </w:t>
      </w:r>
      <w:r w:rsidRPr="008A1D6D">
        <w:rPr>
          <w:rFonts w:ascii="Arial" w:eastAsiaTheme="minorHAnsi" w:hAnsi="Arial"/>
          <w:bCs/>
          <w:sz w:val="22"/>
          <w:szCs w:val="22"/>
        </w:rPr>
        <w:t xml:space="preserve">fasted </w:t>
      </w:r>
      <w:r>
        <w:rPr>
          <w:rFonts w:ascii="Arial" w:eastAsiaTheme="minorHAnsi" w:hAnsi="Arial"/>
          <w:bCs/>
          <w:sz w:val="22"/>
          <w:szCs w:val="22"/>
        </w:rPr>
        <w:t xml:space="preserve">fed 20-month-old male </w:t>
      </w:r>
      <w:r w:rsidRPr="008A1D6D">
        <w:rPr>
          <w:rFonts w:ascii="Arial" w:eastAsiaTheme="minorHAnsi" w:hAnsi="Arial"/>
          <w:bCs/>
          <w:sz w:val="22"/>
          <w:szCs w:val="22"/>
        </w:rPr>
        <w:t>mice</w:t>
      </w:r>
      <w:r>
        <w:rPr>
          <w:rFonts w:ascii="Arial" w:eastAsiaTheme="minorHAnsi" w:hAnsi="Arial"/>
          <w:bCs/>
          <w:sz w:val="22"/>
          <w:szCs w:val="22"/>
        </w:rPr>
        <w:t>.</w:t>
      </w:r>
    </w:p>
    <w:p w14:paraId="0788B87B" w14:textId="77777777" w:rsidR="00814A1C" w:rsidRDefault="00814A1C" w:rsidP="00814A1C">
      <w:pPr>
        <w:spacing w:line="360" w:lineRule="auto"/>
        <w:jc w:val="both"/>
        <w:rPr>
          <w:rFonts w:ascii="Arial" w:eastAsiaTheme="minorHAnsi" w:hAnsi="Arial" w:cs="Arial"/>
          <w:sz w:val="22"/>
          <w:szCs w:val="22"/>
        </w:rPr>
      </w:pPr>
      <w:r>
        <w:rPr>
          <w:rFonts w:ascii="Arial" w:eastAsiaTheme="minorHAnsi" w:hAnsi="Arial" w:cs="Arial"/>
          <w:sz w:val="22"/>
          <w:szCs w:val="22"/>
        </w:rPr>
        <w:t>Bars represent mean</w:t>
      </w:r>
      <w:r w:rsidRPr="004D06C6">
        <w:rPr>
          <w:rFonts w:ascii="Arial" w:eastAsia="MS Gothic" w:hAnsi="Arial" w:cs="Arial"/>
          <w:sz w:val="22"/>
          <w:szCs w:val="22"/>
        </w:rPr>
        <w:t>±</w:t>
      </w:r>
      <w:r w:rsidRPr="004D06C6">
        <w:rPr>
          <w:rFonts w:ascii="Arial" w:eastAsiaTheme="minorHAnsi" w:hAnsi="Arial" w:cs="Arial"/>
          <w:sz w:val="22"/>
          <w:szCs w:val="22"/>
        </w:rPr>
        <w:t>SE</w:t>
      </w:r>
    </w:p>
    <w:p w14:paraId="2319ED46" w14:textId="77777777" w:rsidR="00814A1C" w:rsidRDefault="00814A1C" w:rsidP="00814A1C">
      <w:pPr>
        <w:spacing w:line="360" w:lineRule="auto"/>
        <w:jc w:val="both"/>
        <w:rPr>
          <w:rFonts w:ascii="Arial" w:hAnsi="Arial" w:cs="Arial"/>
          <w:bCs/>
          <w:noProof/>
          <w:color w:val="000000" w:themeColor="text1"/>
        </w:rPr>
      </w:pPr>
    </w:p>
    <w:p w14:paraId="34B05ED0" w14:textId="77777777" w:rsidR="00814A1C" w:rsidRDefault="00814A1C" w:rsidP="00814A1C">
      <w:pPr>
        <w:spacing w:line="480" w:lineRule="auto"/>
        <w:jc w:val="both"/>
        <w:rPr>
          <w:rFonts w:ascii="Arial" w:hAnsi="Arial"/>
          <w:bCs/>
        </w:rPr>
      </w:pPr>
    </w:p>
    <w:p w14:paraId="6D3216DE" w14:textId="77777777" w:rsidR="009F2078" w:rsidRDefault="009F2078" w:rsidP="009F2078"/>
    <w:p w14:paraId="35A44387" w14:textId="77777777" w:rsidR="009F2078" w:rsidRDefault="009F2078" w:rsidP="009F2078">
      <w:pPr>
        <w:spacing w:line="480" w:lineRule="auto"/>
        <w:jc w:val="both"/>
        <w:rPr>
          <w:rFonts w:ascii="Arial" w:hAnsi="Arial"/>
          <w:bCs/>
        </w:rPr>
      </w:pPr>
      <w:r>
        <w:rPr>
          <w:rFonts w:ascii="Arial" w:hAnsi="Arial" w:cs="Arial"/>
          <w:color w:val="1A1A1A"/>
        </w:rPr>
        <w:t>The two-week l</w:t>
      </w:r>
      <w:r w:rsidRPr="008B7AA7">
        <w:rPr>
          <w:rFonts w:ascii="Arial" w:hAnsi="Arial" w:cs="Arial"/>
          <w:color w:val="1A1A1A"/>
        </w:rPr>
        <w:t xml:space="preserve">oading </w:t>
      </w:r>
      <w:r>
        <w:rPr>
          <w:rFonts w:ascii="Arial" w:hAnsi="Arial" w:cs="Arial"/>
          <w:color w:val="1A1A1A"/>
        </w:rPr>
        <w:t xml:space="preserve">regimen of three times weekly with 10N force and 40 cycles </w:t>
      </w:r>
      <w:r w:rsidRPr="008B7AA7">
        <w:rPr>
          <w:rFonts w:ascii="Arial" w:hAnsi="Arial" w:cs="Arial"/>
          <w:color w:val="1A1A1A"/>
        </w:rPr>
        <w:t xml:space="preserve">caused </w:t>
      </w:r>
      <w:r>
        <w:rPr>
          <w:rFonts w:ascii="Arial" w:hAnsi="Arial" w:cs="Arial"/>
          <w:color w:val="1A1A1A"/>
        </w:rPr>
        <w:t xml:space="preserve">significant </w:t>
      </w:r>
      <w:r w:rsidRPr="008B7AA7">
        <w:rPr>
          <w:rFonts w:ascii="Arial" w:hAnsi="Arial" w:cs="Arial"/>
          <w:color w:val="1A1A1A"/>
        </w:rPr>
        <w:t xml:space="preserve">adaptive responses in </w:t>
      </w:r>
      <w:r>
        <w:rPr>
          <w:rFonts w:ascii="Arial" w:hAnsi="Arial" w:cs="Arial"/>
          <w:color w:val="1A1A1A"/>
        </w:rPr>
        <w:t xml:space="preserve">cortical bone of the </w:t>
      </w:r>
      <w:r w:rsidRPr="008B7AA7">
        <w:rPr>
          <w:rFonts w:ascii="Arial" w:hAnsi="Arial" w:cs="Arial"/>
          <w:color w:val="1A1A1A"/>
        </w:rPr>
        <w:t xml:space="preserve">loaded right tibiae of </w:t>
      </w:r>
      <w:r>
        <w:rPr>
          <w:rFonts w:ascii="Arial" w:hAnsi="Arial" w:cs="Arial"/>
          <w:color w:val="1A1A1A"/>
        </w:rPr>
        <w:t xml:space="preserve">aged </w:t>
      </w:r>
      <w:r w:rsidR="00FD1BF4">
        <w:rPr>
          <w:rFonts w:ascii="Arial" w:hAnsi="Arial" w:cs="Arial"/>
          <w:color w:val="1A1A1A"/>
        </w:rPr>
        <w:t xml:space="preserve">male C57BL/6 </w:t>
      </w:r>
      <w:r>
        <w:rPr>
          <w:rFonts w:ascii="Arial" w:hAnsi="Arial" w:cs="Arial"/>
          <w:color w:val="1A1A1A"/>
        </w:rPr>
        <w:t>mice. </w:t>
      </w:r>
      <w:r>
        <w:rPr>
          <w:rFonts w:ascii="Arial" w:hAnsi="Arial"/>
          <w:bCs/>
        </w:rPr>
        <w:t xml:space="preserve">The structural changes of the cortical bone of loaded and non-loaded tibiae are visible in the 3D model images from both fed and fasted 2-hour fed aged mice, </w:t>
      </w:r>
      <w:r w:rsidR="0014273C">
        <w:rPr>
          <w:rFonts w:ascii="Arial" w:hAnsi="Arial"/>
          <w:bCs/>
        </w:rPr>
        <w:t>Figure 46</w:t>
      </w:r>
      <w:r>
        <w:rPr>
          <w:rFonts w:ascii="Arial" w:hAnsi="Arial"/>
          <w:bCs/>
        </w:rPr>
        <w:t>.</w:t>
      </w:r>
    </w:p>
    <w:p w14:paraId="79BF55B3" w14:textId="77777777" w:rsidR="009F2078" w:rsidRDefault="009F2078" w:rsidP="009F2078">
      <w:pPr>
        <w:spacing w:line="480" w:lineRule="auto"/>
        <w:jc w:val="both"/>
        <w:rPr>
          <w:rFonts w:ascii="Arial" w:hAnsi="Arial"/>
          <w:bCs/>
        </w:rPr>
      </w:pPr>
    </w:p>
    <w:p w14:paraId="3C47B50E" w14:textId="77777777" w:rsidR="009F2078" w:rsidRDefault="009F2078" w:rsidP="009F2078">
      <w:pPr>
        <w:spacing w:line="480" w:lineRule="auto"/>
        <w:jc w:val="both"/>
        <w:rPr>
          <w:rFonts w:ascii="Arial" w:hAnsi="Arial"/>
          <w:bCs/>
        </w:rPr>
      </w:pPr>
    </w:p>
    <w:p w14:paraId="25F9ABD6" w14:textId="77777777" w:rsidR="00F95720" w:rsidRDefault="00F95720" w:rsidP="009F2078">
      <w:pPr>
        <w:spacing w:line="480" w:lineRule="auto"/>
        <w:jc w:val="both"/>
        <w:rPr>
          <w:rFonts w:ascii="Arial" w:hAnsi="Arial"/>
          <w:bCs/>
        </w:rPr>
      </w:pPr>
    </w:p>
    <w:p w14:paraId="7641EABC" w14:textId="77777777" w:rsidR="00F95720" w:rsidRPr="00F95720" w:rsidRDefault="00F95720" w:rsidP="00F95720">
      <w:pPr>
        <w:rPr>
          <w:rFonts w:ascii="Arial" w:hAnsi="Arial"/>
        </w:rPr>
      </w:pPr>
    </w:p>
    <w:p w14:paraId="59D71EC3" w14:textId="77777777" w:rsidR="00F95720" w:rsidRPr="00F95720" w:rsidRDefault="00F95720" w:rsidP="00F95720">
      <w:pPr>
        <w:rPr>
          <w:rFonts w:ascii="Arial" w:hAnsi="Arial"/>
        </w:rPr>
      </w:pPr>
    </w:p>
    <w:p w14:paraId="2CC41168" w14:textId="77777777" w:rsidR="00F95720" w:rsidRPr="00F95720" w:rsidRDefault="00F95720" w:rsidP="00F95720">
      <w:pPr>
        <w:rPr>
          <w:rFonts w:ascii="Arial" w:hAnsi="Arial"/>
        </w:rPr>
      </w:pPr>
    </w:p>
    <w:p w14:paraId="78DC9234" w14:textId="77777777" w:rsidR="00F95720" w:rsidRPr="00F95720" w:rsidRDefault="00F95720" w:rsidP="00F95720">
      <w:pPr>
        <w:rPr>
          <w:rFonts w:ascii="Arial" w:hAnsi="Arial"/>
        </w:rPr>
      </w:pPr>
    </w:p>
    <w:p w14:paraId="40E1C369" w14:textId="77777777" w:rsidR="00F95720" w:rsidRDefault="00F95720" w:rsidP="00F95720">
      <w:pPr>
        <w:rPr>
          <w:rFonts w:ascii="Arial" w:hAnsi="Arial"/>
        </w:rPr>
      </w:pPr>
    </w:p>
    <w:p w14:paraId="301269FD" w14:textId="77777777" w:rsidR="001A48A6" w:rsidRDefault="001A48A6" w:rsidP="00F95720">
      <w:pPr>
        <w:rPr>
          <w:rFonts w:ascii="Arial" w:hAnsi="Arial"/>
        </w:rPr>
      </w:pPr>
    </w:p>
    <w:p w14:paraId="4D78D664" w14:textId="77777777" w:rsidR="001A48A6" w:rsidRPr="00F95720" w:rsidRDefault="001A48A6" w:rsidP="00F95720">
      <w:pPr>
        <w:rPr>
          <w:rFonts w:ascii="Arial" w:hAnsi="Arial"/>
        </w:rPr>
      </w:pPr>
    </w:p>
    <w:p w14:paraId="2FC59F1C" w14:textId="77777777" w:rsidR="009F2078" w:rsidRDefault="009F2078" w:rsidP="001A48A6">
      <w:pPr>
        <w:rPr>
          <w:rFonts w:ascii="Arial" w:hAnsi="Arial"/>
        </w:rPr>
      </w:pPr>
    </w:p>
    <w:p w14:paraId="4B75B469" w14:textId="77777777" w:rsidR="00F95720" w:rsidRPr="00F95720" w:rsidRDefault="00F95720" w:rsidP="00F95720">
      <w:pPr>
        <w:rPr>
          <w:rFonts w:ascii="Arial" w:hAnsi="Arial"/>
        </w:rPr>
      </w:pPr>
    </w:p>
    <w:p w14:paraId="7D9705AB" w14:textId="77777777" w:rsidR="0014273C" w:rsidRDefault="008A5192" w:rsidP="0014273C">
      <w:pPr>
        <w:keepNext/>
        <w:spacing w:line="480" w:lineRule="auto"/>
        <w:jc w:val="both"/>
      </w:pPr>
      <w:r w:rsidRPr="008A5192">
        <w:rPr>
          <w:noProof/>
          <w:lang w:val="en-US"/>
        </w:rPr>
        <w:drawing>
          <wp:inline distT="0" distB="0" distL="0" distR="0" wp14:anchorId="074E0E64" wp14:editId="588AC25B">
            <wp:extent cx="5327455" cy="4150070"/>
            <wp:effectExtent l="0" t="0" r="6985" b="0"/>
            <wp:docPr id="1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a:lum bright="5000"/>
                      <a:extLst>
                        <a:ext uri="{28A0092B-C50C-407E-A947-70E740481C1C}">
                          <a14:useLocalDpi xmlns:a14="http://schemas.microsoft.com/office/drawing/2010/main" val="0"/>
                        </a:ext>
                      </a:extLst>
                    </a:blip>
                    <a:srcRect/>
                    <a:stretch>
                      <a:fillRect/>
                    </a:stretch>
                  </pic:blipFill>
                  <pic:spPr bwMode="auto">
                    <a:xfrm>
                      <a:off x="0" y="0"/>
                      <a:ext cx="5327455" cy="4150070"/>
                    </a:xfrm>
                    <a:prstGeom prst="rect">
                      <a:avLst/>
                    </a:prstGeom>
                    <a:noFill/>
                    <a:ln>
                      <a:noFill/>
                    </a:ln>
                  </pic:spPr>
                </pic:pic>
              </a:graphicData>
            </a:graphic>
          </wp:inline>
        </w:drawing>
      </w:r>
    </w:p>
    <w:p w14:paraId="25C1760C" w14:textId="77777777" w:rsidR="00987E03" w:rsidRDefault="00987E03" w:rsidP="00F95720">
      <w:pPr>
        <w:pStyle w:val="Caption"/>
        <w:spacing w:line="360" w:lineRule="auto"/>
        <w:jc w:val="both"/>
        <w:rPr>
          <w:rFonts w:ascii="Arial" w:hAnsi="Arial"/>
          <w:color w:val="244061" w:themeColor="accent1" w:themeShade="80"/>
          <w:sz w:val="24"/>
          <w:szCs w:val="24"/>
        </w:rPr>
      </w:pPr>
    </w:p>
    <w:p w14:paraId="09DA66D5" w14:textId="77777777" w:rsidR="009F2078" w:rsidRPr="00F95720" w:rsidRDefault="0014273C" w:rsidP="00F95720">
      <w:pPr>
        <w:pStyle w:val="Caption"/>
        <w:spacing w:line="360" w:lineRule="auto"/>
        <w:jc w:val="both"/>
        <w:rPr>
          <w:rFonts w:ascii="Arial" w:hAnsi="Arial"/>
          <w:color w:val="244061" w:themeColor="accent1" w:themeShade="80"/>
          <w:sz w:val="24"/>
          <w:szCs w:val="24"/>
        </w:rPr>
      </w:pPr>
      <w:bookmarkStart w:id="146" w:name="_Toc383544637"/>
      <w:r w:rsidRPr="00F95720">
        <w:rPr>
          <w:rFonts w:ascii="Arial" w:hAnsi="Arial"/>
          <w:color w:val="244061" w:themeColor="accent1" w:themeShade="80"/>
          <w:sz w:val="24"/>
          <w:szCs w:val="24"/>
        </w:rPr>
        <w:t xml:space="preserve">Figure </w:t>
      </w:r>
      <w:r w:rsidRPr="00F95720">
        <w:rPr>
          <w:rFonts w:ascii="Arial" w:hAnsi="Arial"/>
          <w:color w:val="244061" w:themeColor="accent1" w:themeShade="80"/>
          <w:sz w:val="24"/>
          <w:szCs w:val="24"/>
        </w:rPr>
        <w:fldChar w:fldCharType="begin"/>
      </w:r>
      <w:r w:rsidRPr="00F95720">
        <w:rPr>
          <w:rFonts w:ascii="Arial" w:hAnsi="Arial"/>
          <w:color w:val="244061" w:themeColor="accent1" w:themeShade="80"/>
          <w:sz w:val="24"/>
          <w:szCs w:val="24"/>
        </w:rPr>
        <w:instrText xml:space="preserve"> SEQ Figure \* ARABIC </w:instrText>
      </w:r>
      <w:r w:rsidRPr="00F95720">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46</w:t>
      </w:r>
      <w:r w:rsidRPr="00F95720">
        <w:rPr>
          <w:rFonts w:ascii="Arial" w:hAnsi="Arial"/>
          <w:color w:val="244061" w:themeColor="accent1" w:themeShade="80"/>
          <w:sz w:val="24"/>
          <w:szCs w:val="24"/>
        </w:rPr>
        <w:fldChar w:fldCharType="end"/>
      </w:r>
      <w:r w:rsidR="00F95720" w:rsidRPr="00F95720">
        <w:rPr>
          <w:rFonts w:ascii="Arial" w:hAnsi="Arial"/>
          <w:color w:val="244061" w:themeColor="accent1" w:themeShade="80"/>
          <w:sz w:val="24"/>
          <w:szCs w:val="24"/>
        </w:rPr>
        <w:t xml:space="preserve"> </w:t>
      </w:r>
      <w:r w:rsidR="009F2078" w:rsidRPr="00F95720">
        <w:rPr>
          <w:rFonts w:ascii="Arial" w:hAnsi="Arial" w:cs="Arial"/>
          <w:color w:val="244061" w:themeColor="accent1" w:themeShade="80"/>
          <w:sz w:val="24"/>
          <w:szCs w:val="24"/>
        </w:rPr>
        <w:t>Cortical bone response to mechanical loading in aged male mice</w:t>
      </w:r>
      <w:bookmarkEnd w:id="146"/>
      <w:r w:rsidR="009F2078" w:rsidRPr="00F95720">
        <w:rPr>
          <w:rFonts w:ascii="Arial" w:hAnsi="Arial" w:cs="Arial"/>
          <w:color w:val="244061" w:themeColor="accent1" w:themeShade="80"/>
          <w:sz w:val="24"/>
          <w:szCs w:val="24"/>
        </w:rPr>
        <w:t xml:space="preserve"> </w:t>
      </w:r>
    </w:p>
    <w:p w14:paraId="1AA79CE6" w14:textId="77777777" w:rsidR="009F2078" w:rsidRPr="002B0557" w:rsidRDefault="009F2078" w:rsidP="009F2078">
      <w:pPr>
        <w:spacing w:line="360" w:lineRule="auto"/>
        <w:jc w:val="both"/>
        <w:rPr>
          <w:rFonts w:ascii="Arial" w:hAnsi="Arial" w:cs="Arial"/>
          <w:sz w:val="22"/>
          <w:szCs w:val="22"/>
        </w:rPr>
      </w:pPr>
      <w:r>
        <w:rPr>
          <w:rFonts w:ascii="Arial" w:hAnsi="Arial" w:cs="Arial"/>
          <w:sz w:val="22"/>
          <w:szCs w:val="22"/>
        </w:rPr>
        <w:t>Representative 3D</w:t>
      </w:r>
      <w:r w:rsidRPr="00A94FE6">
        <w:rPr>
          <w:rFonts w:ascii="Arial" w:hAnsi="Arial" w:cs="Arial"/>
          <w:sz w:val="22"/>
          <w:szCs w:val="22"/>
        </w:rPr>
        <w:t xml:space="preserve"> images </w:t>
      </w:r>
      <w:r w:rsidR="001721DB">
        <w:rPr>
          <w:rFonts w:ascii="Arial" w:hAnsi="Arial" w:cs="Arial"/>
          <w:sz w:val="22"/>
          <w:szCs w:val="22"/>
        </w:rPr>
        <w:t xml:space="preserve">showing the effect of </w:t>
      </w:r>
      <w:r w:rsidR="000E6CA9">
        <w:rPr>
          <w:rFonts w:ascii="Arial" w:hAnsi="Arial" w:cs="Arial"/>
          <w:sz w:val="22"/>
          <w:szCs w:val="22"/>
        </w:rPr>
        <w:t xml:space="preserve">mechanical </w:t>
      </w:r>
      <w:r w:rsidR="001721DB">
        <w:rPr>
          <w:rFonts w:ascii="Arial" w:hAnsi="Arial" w:cs="Arial"/>
          <w:sz w:val="22"/>
          <w:szCs w:val="22"/>
        </w:rPr>
        <w:t>loading</w:t>
      </w:r>
      <w:r w:rsidR="001721DB" w:rsidRPr="00A94FE6">
        <w:rPr>
          <w:rFonts w:ascii="Arial" w:hAnsi="Arial" w:cs="Arial"/>
          <w:sz w:val="22"/>
          <w:szCs w:val="22"/>
        </w:rPr>
        <w:t xml:space="preserve"> </w:t>
      </w:r>
      <w:r w:rsidR="001721DB">
        <w:rPr>
          <w:rFonts w:ascii="Arial" w:hAnsi="Arial" w:cs="Arial"/>
          <w:sz w:val="22"/>
          <w:szCs w:val="22"/>
        </w:rPr>
        <w:t>on</w:t>
      </w:r>
      <w:r w:rsidRPr="00A94FE6">
        <w:rPr>
          <w:rFonts w:ascii="Arial" w:hAnsi="Arial" w:cs="Arial"/>
          <w:sz w:val="22"/>
          <w:szCs w:val="22"/>
        </w:rPr>
        <w:t xml:space="preserve"> </w:t>
      </w:r>
      <w:r>
        <w:rPr>
          <w:rFonts w:ascii="Arial" w:hAnsi="Arial" w:cs="Arial"/>
          <w:sz w:val="22"/>
          <w:szCs w:val="22"/>
        </w:rPr>
        <w:t>1mm-thick analysed cortical</w:t>
      </w:r>
      <w:r w:rsidRPr="00A94FE6">
        <w:rPr>
          <w:rFonts w:ascii="Arial" w:hAnsi="Arial" w:cs="Arial"/>
          <w:sz w:val="22"/>
          <w:szCs w:val="22"/>
        </w:rPr>
        <w:t xml:space="preserve"> bone </w:t>
      </w:r>
      <w:r>
        <w:rPr>
          <w:rFonts w:ascii="Arial" w:hAnsi="Arial" w:cs="Arial"/>
          <w:sz w:val="22"/>
          <w:szCs w:val="22"/>
        </w:rPr>
        <w:t>region of interest from the mid</w:t>
      </w:r>
      <w:r w:rsidR="00FD1BF4">
        <w:rPr>
          <w:rFonts w:ascii="Arial" w:hAnsi="Arial" w:cs="Arial"/>
          <w:sz w:val="22"/>
          <w:szCs w:val="22"/>
        </w:rPr>
        <w:t>-</w:t>
      </w:r>
      <w:r>
        <w:rPr>
          <w:rFonts w:ascii="Arial" w:hAnsi="Arial" w:cs="Arial"/>
          <w:sz w:val="22"/>
          <w:szCs w:val="22"/>
        </w:rPr>
        <w:t xml:space="preserve">shaft of </w:t>
      </w:r>
      <w:r w:rsidRPr="00A94FE6">
        <w:rPr>
          <w:rFonts w:ascii="Arial" w:hAnsi="Arial" w:cs="Arial"/>
          <w:sz w:val="22"/>
          <w:szCs w:val="22"/>
        </w:rPr>
        <w:t xml:space="preserve">tibiae of fed and fed </w:t>
      </w:r>
      <w:r>
        <w:rPr>
          <w:rFonts w:ascii="Arial" w:hAnsi="Arial" w:cs="Arial"/>
          <w:sz w:val="22"/>
          <w:szCs w:val="22"/>
        </w:rPr>
        <w:t xml:space="preserve">for 2 hours </w:t>
      </w:r>
      <w:r w:rsidRPr="00A94FE6">
        <w:rPr>
          <w:rFonts w:ascii="Arial" w:hAnsi="Arial" w:cs="Arial"/>
          <w:sz w:val="22"/>
          <w:szCs w:val="22"/>
        </w:rPr>
        <w:t>following</w:t>
      </w:r>
      <w:r w:rsidR="00826F03">
        <w:rPr>
          <w:rFonts w:ascii="Arial" w:hAnsi="Arial" w:cs="Arial"/>
          <w:sz w:val="22"/>
          <w:szCs w:val="22"/>
        </w:rPr>
        <w:t xml:space="preserve"> overnight fast</w:t>
      </w:r>
      <w:r>
        <w:rPr>
          <w:rFonts w:ascii="Arial" w:hAnsi="Arial" w:cs="Arial"/>
          <w:sz w:val="22"/>
          <w:szCs w:val="22"/>
        </w:rPr>
        <w:t xml:space="preserve"> aged </w:t>
      </w:r>
      <w:r w:rsidRPr="00A94FE6">
        <w:rPr>
          <w:rFonts w:ascii="Arial" w:hAnsi="Arial" w:cs="Arial"/>
          <w:sz w:val="22"/>
          <w:szCs w:val="22"/>
        </w:rPr>
        <w:t>male mice</w:t>
      </w:r>
      <w:r>
        <w:rPr>
          <w:rFonts w:ascii="Arial" w:hAnsi="Arial" w:cs="Arial"/>
          <w:sz w:val="22"/>
          <w:szCs w:val="22"/>
        </w:rPr>
        <w:t xml:space="preserve">. Scale bar </w:t>
      </w:r>
      <w:r w:rsidRPr="002B0557">
        <w:rPr>
          <w:rFonts w:ascii="Arial" w:hAnsi="Arial" w:cs="Arial"/>
          <w:sz w:val="22"/>
          <w:szCs w:val="22"/>
        </w:rPr>
        <w:t>= 100</w:t>
      </w:r>
      <w:r w:rsidRPr="002B0557">
        <w:rPr>
          <w:rFonts w:ascii="Arial" w:hAnsi="Arial" w:cs="Arial"/>
          <w:color w:val="000000" w:themeColor="text1"/>
        </w:rPr>
        <w:sym w:font="Symbol" w:char="F06D"/>
      </w:r>
      <w:r w:rsidRPr="002B0557">
        <w:rPr>
          <w:rFonts w:ascii="Arial" w:hAnsi="Arial" w:cs="Arial"/>
          <w:color w:val="000000" w:themeColor="text1"/>
        </w:rPr>
        <w:t>m</w:t>
      </w:r>
    </w:p>
    <w:p w14:paraId="2B3ADAC7" w14:textId="77777777" w:rsidR="009F2078" w:rsidRDefault="009F2078" w:rsidP="009F2078">
      <w:pPr>
        <w:spacing w:line="360" w:lineRule="auto"/>
        <w:jc w:val="both"/>
        <w:rPr>
          <w:rFonts w:ascii="Arial" w:hAnsi="Arial" w:cs="Arial"/>
          <w:i/>
          <w:sz w:val="22"/>
          <w:szCs w:val="22"/>
        </w:rPr>
      </w:pPr>
    </w:p>
    <w:p w14:paraId="0BE7D91E" w14:textId="77777777" w:rsidR="00987E03" w:rsidRDefault="00987E03" w:rsidP="009F2078">
      <w:pPr>
        <w:spacing w:line="480" w:lineRule="auto"/>
        <w:jc w:val="both"/>
        <w:rPr>
          <w:rFonts w:ascii="Arial" w:hAnsi="Arial"/>
          <w:b/>
        </w:rPr>
      </w:pPr>
    </w:p>
    <w:p w14:paraId="5880F8B0" w14:textId="77777777" w:rsidR="009F2078" w:rsidRDefault="009F2078" w:rsidP="009F2078">
      <w:pPr>
        <w:spacing w:line="480" w:lineRule="auto"/>
        <w:jc w:val="both"/>
        <w:rPr>
          <w:rFonts w:ascii="Arial" w:hAnsi="Arial"/>
          <w:b/>
        </w:rPr>
      </w:pPr>
      <w:r>
        <w:rPr>
          <w:rFonts w:ascii="Arial" w:hAnsi="Arial"/>
          <w:b/>
        </w:rPr>
        <w:t xml:space="preserve">Cortical bone area (Ct.Ar) </w:t>
      </w:r>
    </w:p>
    <w:p w14:paraId="66D158E5" w14:textId="77777777" w:rsidR="009F2078" w:rsidRPr="00C169E9" w:rsidRDefault="009F2078" w:rsidP="009F2078">
      <w:pPr>
        <w:spacing w:line="480" w:lineRule="auto"/>
        <w:jc w:val="both"/>
        <w:rPr>
          <w:rFonts w:ascii="Arial" w:hAnsi="Arial"/>
        </w:rPr>
      </w:pPr>
      <w:r>
        <w:rPr>
          <w:rFonts w:ascii="Arial" w:hAnsi="Arial"/>
          <w:bCs/>
        </w:rPr>
        <w:t>Cortical bone area</w:t>
      </w:r>
      <w:r>
        <w:rPr>
          <w:rFonts w:ascii="Arial" w:hAnsi="Arial" w:cs="Arial"/>
          <w:noProof/>
          <w:color w:val="000000" w:themeColor="text1"/>
        </w:rPr>
        <w:t xml:space="preserve"> </w:t>
      </w:r>
      <w:r>
        <w:rPr>
          <w:rFonts w:ascii="Arial" w:hAnsi="Arial"/>
          <w:bCs/>
        </w:rPr>
        <w:t xml:space="preserve">of the loaded right tibiae </w:t>
      </w:r>
      <w:r w:rsidR="00BE41C0">
        <w:rPr>
          <w:rFonts w:ascii="Arial" w:hAnsi="Arial"/>
          <w:bCs/>
        </w:rPr>
        <w:t xml:space="preserve">was </w:t>
      </w:r>
      <w:r w:rsidRPr="001C349E">
        <w:rPr>
          <w:rFonts w:ascii="Arial" w:hAnsi="Arial"/>
          <w:bCs/>
        </w:rPr>
        <w:t>s</w:t>
      </w:r>
      <w:r>
        <w:rPr>
          <w:rFonts w:ascii="Arial" w:hAnsi="Arial"/>
          <w:bCs/>
        </w:rPr>
        <w:t>ignificantly</w:t>
      </w:r>
      <w:r w:rsidRPr="001C349E">
        <w:rPr>
          <w:rFonts w:ascii="Arial" w:hAnsi="Arial"/>
          <w:bCs/>
        </w:rPr>
        <w:t xml:space="preserve"> increased </w:t>
      </w:r>
      <w:r>
        <w:rPr>
          <w:rFonts w:ascii="Arial" w:hAnsi="Arial"/>
          <w:bCs/>
        </w:rPr>
        <w:t>by 9</w:t>
      </w:r>
      <w:r w:rsidRPr="001C349E">
        <w:rPr>
          <w:rFonts w:ascii="Arial" w:hAnsi="Arial"/>
          <w:bCs/>
        </w:rPr>
        <w:t xml:space="preserve">% </w:t>
      </w:r>
      <w:r>
        <w:rPr>
          <w:rFonts w:ascii="Arial" w:hAnsi="Arial"/>
          <w:bCs/>
        </w:rPr>
        <w:t>in ad-lib fed and 10</w:t>
      </w:r>
      <w:r w:rsidRPr="001C349E">
        <w:rPr>
          <w:rFonts w:ascii="Arial" w:hAnsi="Arial"/>
          <w:bCs/>
        </w:rPr>
        <w:t xml:space="preserve">% </w:t>
      </w:r>
      <w:r>
        <w:rPr>
          <w:rFonts w:ascii="Arial" w:hAnsi="Arial"/>
          <w:bCs/>
        </w:rPr>
        <w:t xml:space="preserve">in fasted 2-hour fed aged male mice compared to the non-loaded left controls. </w:t>
      </w:r>
      <w:r w:rsidRPr="001C349E">
        <w:rPr>
          <w:rFonts w:ascii="Arial" w:hAnsi="Arial"/>
          <w:bCs/>
        </w:rPr>
        <w:t>Loading induced signifi</w:t>
      </w:r>
      <w:r>
        <w:rPr>
          <w:rFonts w:ascii="Arial" w:hAnsi="Arial"/>
          <w:bCs/>
        </w:rPr>
        <w:t xml:space="preserve">cant increase in </w:t>
      </w:r>
      <w:r w:rsidRPr="001C349E">
        <w:rPr>
          <w:rFonts w:ascii="Arial" w:hAnsi="Arial"/>
          <w:bCs/>
        </w:rPr>
        <w:t>Ct.Ar</w:t>
      </w:r>
      <w:r>
        <w:rPr>
          <w:rFonts w:ascii="Arial" w:hAnsi="Arial"/>
          <w:bCs/>
        </w:rPr>
        <w:t xml:space="preserve"> of </w:t>
      </w:r>
      <w:r w:rsidRPr="001C349E">
        <w:rPr>
          <w:rFonts w:ascii="Arial" w:hAnsi="Arial"/>
          <w:bCs/>
        </w:rPr>
        <w:t>the right loaded tibiae compared with the contralateral non-loaded tibiae in</w:t>
      </w:r>
      <w:r>
        <w:rPr>
          <w:rFonts w:ascii="Arial" w:hAnsi="Arial"/>
          <w:bCs/>
        </w:rPr>
        <w:t xml:space="preserve"> fasted 2-hour fed mice </w:t>
      </w:r>
      <w:r w:rsidRPr="001C349E">
        <w:rPr>
          <w:rFonts w:ascii="Arial" w:hAnsi="Arial"/>
          <w:bCs/>
        </w:rPr>
        <w:t>(0.7</w:t>
      </w:r>
      <w:r>
        <w:rPr>
          <w:rFonts w:ascii="Arial" w:hAnsi="Arial"/>
          <w:bCs/>
        </w:rPr>
        <w:t>2</w:t>
      </w:r>
      <w:r>
        <w:rPr>
          <w:rFonts w:ascii="Arial" w:eastAsia="MS Gothic" w:hAnsi="Arial" w:cs="Arial"/>
          <w:color w:val="000000"/>
        </w:rPr>
        <w:t>±</w:t>
      </w:r>
      <w:r w:rsidRPr="001C349E">
        <w:rPr>
          <w:rFonts w:ascii="Arial" w:eastAsia="MS Gothic" w:hAnsi="Arial" w:cs="Arial"/>
          <w:color w:val="000000"/>
        </w:rPr>
        <w:t>0.01mm</w:t>
      </w:r>
      <w:r>
        <w:rPr>
          <w:rFonts w:ascii="Arial" w:eastAsia="MS Gothic" w:hAnsi="Arial" w:cs="Arial"/>
          <w:color w:val="000000"/>
          <w:vertAlign w:val="superscript"/>
        </w:rPr>
        <w:t>2</w:t>
      </w:r>
      <w:r>
        <w:rPr>
          <w:rFonts w:ascii="Arial" w:eastAsia="MS Gothic" w:hAnsi="Arial" w:cs="Arial"/>
          <w:color w:val="000000"/>
        </w:rPr>
        <w:t xml:space="preserve"> versus 0.65±0.01</w:t>
      </w:r>
      <w:r w:rsidRPr="001C349E">
        <w:rPr>
          <w:rFonts w:ascii="Arial" w:eastAsia="MS Gothic" w:hAnsi="Arial" w:cs="Arial"/>
          <w:color w:val="000000"/>
        </w:rPr>
        <w:t>mm</w:t>
      </w:r>
      <w:r>
        <w:rPr>
          <w:rFonts w:ascii="Arial" w:eastAsia="MS Gothic" w:hAnsi="Arial" w:cs="Arial"/>
          <w:color w:val="000000"/>
          <w:vertAlign w:val="superscript"/>
        </w:rPr>
        <w:t>2</w:t>
      </w:r>
      <w:r w:rsidRPr="001C349E">
        <w:rPr>
          <w:rFonts w:ascii="Arial" w:eastAsia="MS Gothic" w:hAnsi="Arial" w:cs="Arial"/>
          <w:color w:val="000000"/>
        </w:rPr>
        <w:t xml:space="preserve">, </w:t>
      </w:r>
      <w:r w:rsidRPr="001C349E">
        <w:rPr>
          <w:rFonts w:ascii="Arial" w:hAnsi="Arial"/>
          <w:bCs/>
        </w:rPr>
        <w:t>p&lt;0.0</w:t>
      </w:r>
      <w:r>
        <w:rPr>
          <w:rFonts w:ascii="Arial" w:hAnsi="Arial"/>
          <w:bCs/>
        </w:rPr>
        <w:t>5</w:t>
      </w:r>
      <w:r>
        <w:rPr>
          <w:rFonts w:ascii="Arial" w:eastAsia="MS Gothic" w:hAnsi="Arial" w:cs="Arial"/>
          <w:color w:val="000000"/>
        </w:rPr>
        <w:t>) and ad-lib fed mice (0.74±0.02</w:t>
      </w:r>
      <w:r w:rsidRPr="001C349E">
        <w:rPr>
          <w:rFonts w:ascii="Arial" w:eastAsia="MS Gothic" w:hAnsi="Arial" w:cs="Arial"/>
          <w:color w:val="000000"/>
        </w:rPr>
        <w:t>mm</w:t>
      </w:r>
      <w:r>
        <w:rPr>
          <w:rFonts w:ascii="Arial" w:eastAsia="MS Gothic" w:hAnsi="Arial" w:cs="Arial"/>
          <w:color w:val="000000"/>
          <w:vertAlign w:val="superscript"/>
        </w:rPr>
        <w:t>2</w:t>
      </w:r>
      <w:r>
        <w:rPr>
          <w:rFonts w:ascii="Arial" w:eastAsia="MS Gothic" w:hAnsi="Arial" w:cs="Arial"/>
          <w:color w:val="000000"/>
        </w:rPr>
        <w:t xml:space="preserve"> versus 0.68±0.02</w:t>
      </w:r>
      <w:r w:rsidRPr="001C349E">
        <w:rPr>
          <w:rFonts w:ascii="Arial" w:eastAsia="MS Gothic" w:hAnsi="Arial" w:cs="Arial"/>
          <w:color w:val="000000"/>
        </w:rPr>
        <w:t>mm</w:t>
      </w:r>
      <w:r>
        <w:rPr>
          <w:rFonts w:ascii="Arial" w:eastAsia="MS Gothic" w:hAnsi="Arial" w:cs="Arial"/>
          <w:color w:val="000000"/>
          <w:vertAlign w:val="superscript"/>
        </w:rPr>
        <w:t>2</w:t>
      </w:r>
      <w:r w:rsidRPr="001C349E">
        <w:rPr>
          <w:rFonts w:ascii="Arial" w:eastAsia="MS Gothic" w:hAnsi="Arial" w:cs="Arial"/>
          <w:color w:val="000000"/>
        </w:rPr>
        <w:t>,</w:t>
      </w:r>
      <w:r>
        <w:rPr>
          <w:rFonts w:ascii="Arial" w:eastAsia="MS Gothic" w:hAnsi="Arial" w:cs="Arial"/>
          <w:color w:val="000000"/>
        </w:rPr>
        <w:t xml:space="preserve"> </w:t>
      </w:r>
      <w:r w:rsidRPr="001C349E">
        <w:rPr>
          <w:rFonts w:ascii="Arial" w:hAnsi="Arial"/>
          <w:bCs/>
        </w:rPr>
        <w:t>p&lt;0.0</w:t>
      </w:r>
      <w:r>
        <w:rPr>
          <w:rFonts w:ascii="Arial" w:hAnsi="Arial"/>
          <w:bCs/>
        </w:rPr>
        <w:t>5</w:t>
      </w:r>
      <w:r w:rsidRPr="001C349E">
        <w:rPr>
          <w:rFonts w:ascii="Arial" w:eastAsia="MS Gothic" w:hAnsi="Arial" w:cs="Arial"/>
          <w:color w:val="000000"/>
        </w:rPr>
        <w:t xml:space="preserve">), </w:t>
      </w:r>
      <w:r w:rsidRPr="001C349E">
        <w:rPr>
          <w:rFonts w:ascii="Arial" w:hAnsi="Arial"/>
          <w:bCs/>
        </w:rPr>
        <w:t xml:space="preserve">but there were no </w:t>
      </w:r>
      <w:r>
        <w:rPr>
          <w:rFonts w:ascii="Arial" w:hAnsi="Arial"/>
          <w:bCs/>
        </w:rPr>
        <w:t xml:space="preserve">significant </w:t>
      </w:r>
      <w:r w:rsidRPr="001C349E">
        <w:rPr>
          <w:rFonts w:ascii="Arial" w:hAnsi="Arial"/>
          <w:bCs/>
        </w:rPr>
        <w:t>differences between the two</w:t>
      </w:r>
      <w:r w:rsidR="00BE41C0">
        <w:rPr>
          <w:rFonts w:ascii="Arial" w:hAnsi="Arial"/>
          <w:bCs/>
        </w:rPr>
        <w:t xml:space="preserve"> groups (Figure 47</w:t>
      </w:r>
      <w:r>
        <w:rPr>
          <w:rFonts w:ascii="Arial" w:hAnsi="Arial"/>
          <w:bCs/>
        </w:rPr>
        <w:t>A).</w:t>
      </w:r>
    </w:p>
    <w:p w14:paraId="084C24AF" w14:textId="77777777" w:rsidR="009F2078" w:rsidRDefault="009F2078" w:rsidP="009F2078">
      <w:pPr>
        <w:spacing w:line="480" w:lineRule="auto"/>
        <w:jc w:val="both"/>
        <w:rPr>
          <w:rFonts w:ascii="Arial" w:hAnsi="Arial"/>
          <w:b/>
        </w:rPr>
      </w:pPr>
      <w:r>
        <w:rPr>
          <w:rFonts w:ascii="Arial" w:hAnsi="Arial"/>
          <w:b/>
        </w:rPr>
        <w:lastRenderedPageBreak/>
        <w:t>Total tissue area inside the periosteal envelope (Tt.Ar)</w:t>
      </w:r>
    </w:p>
    <w:p w14:paraId="6C27F8BB" w14:textId="77777777" w:rsidR="009F2078" w:rsidRPr="00322501" w:rsidRDefault="009F2078" w:rsidP="009F2078">
      <w:pPr>
        <w:spacing w:line="480" w:lineRule="auto"/>
        <w:jc w:val="both"/>
        <w:rPr>
          <w:rFonts w:ascii="Arial" w:hAnsi="Arial"/>
        </w:rPr>
      </w:pPr>
      <w:r w:rsidRPr="001C349E">
        <w:rPr>
          <w:rFonts w:ascii="Arial" w:hAnsi="Arial"/>
          <w:bCs/>
        </w:rPr>
        <w:t xml:space="preserve">There were no significant differences in </w:t>
      </w:r>
      <w:r w:rsidRPr="001C349E">
        <w:rPr>
          <w:rFonts w:ascii="Arial" w:hAnsi="Arial" w:cs="Arial"/>
          <w:color w:val="000000" w:themeColor="text1"/>
        </w:rPr>
        <w:t xml:space="preserve">Tt.Ar </w:t>
      </w:r>
      <w:r>
        <w:rPr>
          <w:rFonts w:ascii="Arial" w:hAnsi="Arial" w:cs="Arial"/>
          <w:color w:val="000000" w:themeColor="text1"/>
        </w:rPr>
        <w:t>between left control and right loaded tibiae (</w:t>
      </w:r>
      <w:r>
        <w:rPr>
          <w:rFonts w:ascii="Arial" w:hAnsi="Arial" w:cs="Arial"/>
          <w:noProof/>
          <w:color w:val="000000" w:themeColor="text1"/>
        </w:rPr>
        <w:t>fasted fed: 1.31</w:t>
      </w:r>
      <w:r w:rsidRPr="001C349E">
        <w:rPr>
          <w:rFonts w:ascii="Arial" w:eastAsia="MS Gothic" w:hAnsi="Arial" w:cs="Arial"/>
          <w:color w:val="000000"/>
        </w:rPr>
        <w:t>±</w:t>
      </w:r>
      <w:r>
        <w:rPr>
          <w:rFonts w:ascii="Arial" w:eastAsia="MS Gothic" w:hAnsi="Arial" w:cs="Arial"/>
          <w:color w:val="000000"/>
        </w:rPr>
        <w:t>0.02</w:t>
      </w:r>
      <w:r w:rsidRPr="0041509A">
        <w:rPr>
          <w:rFonts w:ascii="Arial" w:eastAsia="MS Gothic" w:hAnsi="Arial" w:cs="Arial"/>
          <w:color w:val="000000"/>
        </w:rPr>
        <w:t>mm</w:t>
      </w:r>
      <w:r w:rsidRPr="0041509A">
        <w:rPr>
          <w:rFonts w:ascii="Arial" w:eastAsia="MS Gothic" w:hAnsi="Arial" w:cs="Arial"/>
          <w:color w:val="000000"/>
          <w:vertAlign w:val="superscript"/>
        </w:rPr>
        <w:t>2</w:t>
      </w:r>
      <w:r w:rsidRPr="0041509A">
        <w:rPr>
          <w:rFonts w:ascii="Arial" w:eastAsia="MS Gothic" w:hAnsi="Arial" w:cs="Arial"/>
          <w:color w:val="000000"/>
        </w:rPr>
        <w:t xml:space="preserve"> </w:t>
      </w:r>
      <w:r>
        <w:rPr>
          <w:rFonts w:ascii="Arial" w:eastAsia="MS Gothic" w:hAnsi="Arial" w:cs="Arial"/>
          <w:color w:val="000000"/>
        </w:rPr>
        <w:t>versus 1.26</w:t>
      </w:r>
      <w:r w:rsidRPr="001C349E">
        <w:rPr>
          <w:rFonts w:ascii="Arial" w:eastAsia="MS Gothic" w:hAnsi="Arial" w:cs="Arial"/>
          <w:color w:val="000000"/>
        </w:rPr>
        <w:t>±</w:t>
      </w:r>
      <w:r>
        <w:rPr>
          <w:rFonts w:ascii="Arial" w:eastAsia="MS Gothic" w:hAnsi="Arial" w:cs="Arial"/>
          <w:color w:val="000000"/>
        </w:rPr>
        <w:t>0.02</w:t>
      </w:r>
      <w:r w:rsidRPr="0041509A">
        <w:rPr>
          <w:rFonts w:ascii="Arial" w:eastAsia="MS Gothic" w:hAnsi="Arial" w:cs="Arial"/>
          <w:color w:val="000000"/>
        </w:rPr>
        <w:t>mm</w:t>
      </w:r>
      <w:r w:rsidRPr="0041509A">
        <w:rPr>
          <w:rFonts w:ascii="Arial" w:eastAsia="MS Gothic" w:hAnsi="Arial" w:cs="Arial"/>
          <w:color w:val="000000"/>
          <w:vertAlign w:val="superscript"/>
        </w:rPr>
        <w:t>2</w:t>
      </w:r>
      <w:r>
        <w:rPr>
          <w:rFonts w:ascii="Arial" w:eastAsia="MS Gothic" w:hAnsi="Arial" w:cs="Arial"/>
          <w:color w:val="000000"/>
        </w:rPr>
        <w:t>; ad-lib fed: 1.35</w:t>
      </w:r>
      <w:r w:rsidRPr="001C349E">
        <w:rPr>
          <w:rFonts w:ascii="Arial" w:eastAsia="MS Gothic" w:hAnsi="Arial" w:cs="Arial"/>
          <w:color w:val="000000"/>
        </w:rPr>
        <w:t>±</w:t>
      </w:r>
      <w:r>
        <w:rPr>
          <w:rFonts w:ascii="Arial" w:eastAsia="MS Gothic" w:hAnsi="Arial" w:cs="Arial"/>
          <w:color w:val="000000"/>
        </w:rPr>
        <w:t>0.02</w:t>
      </w:r>
      <w:r w:rsidRPr="0041509A">
        <w:rPr>
          <w:rFonts w:ascii="Arial" w:eastAsia="MS Gothic" w:hAnsi="Arial" w:cs="Arial"/>
          <w:color w:val="000000"/>
        </w:rPr>
        <w:t>mm</w:t>
      </w:r>
      <w:r w:rsidRPr="0041509A">
        <w:rPr>
          <w:rFonts w:ascii="Arial" w:eastAsia="MS Gothic" w:hAnsi="Arial" w:cs="Arial"/>
          <w:color w:val="000000"/>
          <w:vertAlign w:val="superscript"/>
        </w:rPr>
        <w:t>2</w:t>
      </w:r>
      <w:r>
        <w:rPr>
          <w:rFonts w:ascii="Arial" w:eastAsia="MS Gothic" w:hAnsi="Arial" w:cs="Arial"/>
          <w:color w:val="000000"/>
          <w:vertAlign w:val="superscript"/>
        </w:rPr>
        <w:t xml:space="preserve"> </w:t>
      </w:r>
      <w:r>
        <w:rPr>
          <w:rFonts w:ascii="Arial" w:eastAsia="MS Gothic" w:hAnsi="Arial" w:cs="Arial"/>
          <w:color w:val="000000"/>
        </w:rPr>
        <w:t>versus 1.31</w:t>
      </w:r>
      <w:r w:rsidRPr="001C349E">
        <w:rPr>
          <w:rFonts w:ascii="Arial" w:eastAsia="MS Gothic" w:hAnsi="Arial" w:cs="Arial"/>
          <w:color w:val="000000"/>
        </w:rPr>
        <w:t>±</w:t>
      </w:r>
      <w:r>
        <w:rPr>
          <w:rFonts w:ascii="Arial" w:eastAsia="MS Gothic" w:hAnsi="Arial" w:cs="Arial"/>
          <w:color w:val="000000"/>
        </w:rPr>
        <w:t>0.02</w:t>
      </w:r>
      <w:r w:rsidRPr="0041509A">
        <w:rPr>
          <w:rFonts w:ascii="Arial" w:eastAsia="MS Gothic" w:hAnsi="Arial" w:cs="Arial"/>
          <w:color w:val="000000"/>
        </w:rPr>
        <w:t>mm</w:t>
      </w:r>
      <w:r w:rsidRPr="0041509A">
        <w:rPr>
          <w:rFonts w:ascii="Arial" w:eastAsia="MS Gothic" w:hAnsi="Arial" w:cs="Arial"/>
          <w:color w:val="000000"/>
          <w:vertAlign w:val="superscript"/>
        </w:rPr>
        <w:t>2</w:t>
      </w:r>
      <w:r>
        <w:rPr>
          <w:rFonts w:ascii="Arial" w:eastAsia="MS Gothic" w:hAnsi="Arial" w:cs="Arial"/>
          <w:color w:val="000000"/>
        </w:rPr>
        <w:t>,</w:t>
      </w:r>
      <w:r>
        <w:rPr>
          <w:rFonts w:ascii="Arial" w:eastAsia="MS Gothic" w:hAnsi="Arial" w:cs="Arial"/>
          <w:color w:val="000000"/>
          <w:vertAlign w:val="superscript"/>
        </w:rPr>
        <w:t xml:space="preserve"> </w:t>
      </w:r>
      <w:r>
        <w:rPr>
          <w:rFonts w:ascii="Arial" w:hAnsi="Arial"/>
          <w:bCs/>
        </w:rPr>
        <w:t>p&gt;0.05</w:t>
      </w:r>
      <w:r>
        <w:rPr>
          <w:rFonts w:ascii="Arial" w:hAnsi="Arial" w:cs="Arial"/>
          <w:color w:val="000000" w:themeColor="text1"/>
        </w:rPr>
        <w:t>)</w:t>
      </w:r>
      <w:r w:rsidRPr="001C349E">
        <w:rPr>
          <w:rFonts w:ascii="Arial" w:hAnsi="Arial"/>
          <w:bCs/>
        </w:rPr>
        <w:t xml:space="preserve"> and between the experimental gr</w:t>
      </w:r>
      <w:r w:rsidR="00591707">
        <w:rPr>
          <w:rFonts w:ascii="Arial" w:hAnsi="Arial"/>
          <w:bCs/>
        </w:rPr>
        <w:t>oups, Figure 47</w:t>
      </w:r>
      <w:r>
        <w:rPr>
          <w:rFonts w:ascii="Arial" w:hAnsi="Arial"/>
          <w:bCs/>
        </w:rPr>
        <w:t xml:space="preserve">B. Since increase or decrease in Tt.Ar signifies either periosteal bone formation or resorption, the lack of response to osteogenic mechanical loading in aged mice indicated that periosteal bone formation did not occur in response to mechanical loading. </w:t>
      </w:r>
    </w:p>
    <w:p w14:paraId="547E0FC0" w14:textId="77777777" w:rsidR="009F2078" w:rsidRDefault="009F2078" w:rsidP="009F2078">
      <w:pPr>
        <w:spacing w:line="480" w:lineRule="auto"/>
        <w:jc w:val="both"/>
        <w:rPr>
          <w:rFonts w:ascii="Arial" w:hAnsi="Arial"/>
          <w:b/>
        </w:rPr>
      </w:pPr>
    </w:p>
    <w:p w14:paraId="032F0F4C" w14:textId="77777777" w:rsidR="009F2078" w:rsidRDefault="009F2078" w:rsidP="009F2078">
      <w:pPr>
        <w:spacing w:line="480" w:lineRule="auto"/>
        <w:jc w:val="both"/>
        <w:rPr>
          <w:rFonts w:ascii="Arial" w:hAnsi="Arial"/>
          <w:b/>
        </w:rPr>
      </w:pPr>
      <w:r>
        <w:rPr>
          <w:rFonts w:ascii="Arial" w:hAnsi="Arial"/>
          <w:b/>
        </w:rPr>
        <w:t xml:space="preserve">Marrow area (Ma.Ar) </w:t>
      </w:r>
    </w:p>
    <w:p w14:paraId="3F6A8238" w14:textId="77777777" w:rsidR="009F2078" w:rsidRDefault="009F2078" w:rsidP="009F2078">
      <w:pPr>
        <w:spacing w:line="480" w:lineRule="auto"/>
        <w:jc w:val="both"/>
        <w:rPr>
          <w:rFonts w:ascii="Arial" w:hAnsi="Arial"/>
          <w:bCs/>
        </w:rPr>
      </w:pPr>
      <w:r>
        <w:rPr>
          <w:rFonts w:ascii="Arial" w:hAnsi="Arial"/>
          <w:bCs/>
        </w:rPr>
        <w:t xml:space="preserve">There </w:t>
      </w:r>
      <w:r w:rsidRPr="001C349E">
        <w:rPr>
          <w:rFonts w:ascii="Arial" w:hAnsi="Arial"/>
          <w:bCs/>
        </w:rPr>
        <w:t xml:space="preserve">were no significant differences </w:t>
      </w:r>
      <w:r>
        <w:rPr>
          <w:rFonts w:ascii="Arial" w:hAnsi="Arial"/>
          <w:bCs/>
        </w:rPr>
        <w:t xml:space="preserve">in </w:t>
      </w:r>
      <w:r w:rsidRPr="001C349E">
        <w:rPr>
          <w:rFonts w:ascii="Arial" w:hAnsi="Arial" w:cs="Arial"/>
          <w:color w:val="000000" w:themeColor="text1"/>
        </w:rPr>
        <w:t xml:space="preserve">Ma.Ar </w:t>
      </w:r>
      <w:r w:rsidRPr="001C349E">
        <w:rPr>
          <w:rFonts w:ascii="Arial" w:hAnsi="Arial"/>
          <w:bCs/>
        </w:rPr>
        <w:t xml:space="preserve">within and between the </w:t>
      </w:r>
      <w:r>
        <w:rPr>
          <w:rFonts w:ascii="Arial" w:hAnsi="Arial"/>
          <w:bCs/>
        </w:rPr>
        <w:t xml:space="preserve">ad-lib fed and fasted 2-hour fed aged male mice in response to the mechanical loading </w:t>
      </w:r>
      <w:r>
        <w:rPr>
          <w:rFonts w:ascii="Arial" w:hAnsi="Arial" w:cs="Arial"/>
          <w:color w:val="000000" w:themeColor="text1"/>
        </w:rPr>
        <w:t>(fasted fed: 0.59</w:t>
      </w:r>
      <w:r w:rsidRPr="001C349E">
        <w:rPr>
          <w:rFonts w:ascii="Arial" w:eastAsia="MS Gothic" w:hAnsi="Arial" w:cs="Arial"/>
          <w:color w:val="000000"/>
        </w:rPr>
        <w:t>±</w:t>
      </w:r>
      <w:r>
        <w:rPr>
          <w:rFonts w:ascii="Arial" w:eastAsia="MS Gothic" w:hAnsi="Arial" w:cs="Arial"/>
          <w:color w:val="000000"/>
        </w:rPr>
        <w:t>0.01</w:t>
      </w:r>
      <w:r w:rsidRPr="0041509A">
        <w:rPr>
          <w:rFonts w:ascii="Arial" w:eastAsia="MS Gothic" w:hAnsi="Arial" w:cs="Arial"/>
          <w:color w:val="000000"/>
        </w:rPr>
        <w:t>mm</w:t>
      </w:r>
      <w:r w:rsidRPr="0041509A">
        <w:rPr>
          <w:rFonts w:ascii="Arial" w:eastAsia="MS Gothic" w:hAnsi="Arial" w:cs="Arial"/>
          <w:color w:val="000000"/>
          <w:vertAlign w:val="superscript"/>
        </w:rPr>
        <w:t>2</w:t>
      </w:r>
      <w:r>
        <w:rPr>
          <w:rFonts w:ascii="Arial" w:eastAsia="MS Gothic" w:hAnsi="Arial" w:cs="Arial"/>
          <w:color w:val="000000"/>
        </w:rPr>
        <w:t xml:space="preserve"> versus 0.61</w:t>
      </w:r>
      <w:r w:rsidRPr="001C349E">
        <w:rPr>
          <w:rFonts w:ascii="Arial" w:eastAsia="MS Gothic" w:hAnsi="Arial" w:cs="Arial"/>
          <w:color w:val="000000"/>
        </w:rPr>
        <w:t>±</w:t>
      </w:r>
      <w:r>
        <w:rPr>
          <w:rFonts w:ascii="Arial" w:eastAsia="MS Gothic" w:hAnsi="Arial" w:cs="Arial"/>
          <w:color w:val="000000"/>
        </w:rPr>
        <w:t>0.01</w:t>
      </w:r>
      <w:r w:rsidRPr="0041509A">
        <w:rPr>
          <w:rFonts w:ascii="Arial" w:eastAsia="MS Gothic" w:hAnsi="Arial" w:cs="Arial"/>
          <w:color w:val="000000"/>
        </w:rPr>
        <w:t>mm</w:t>
      </w:r>
      <w:r w:rsidRPr="0041509A">
        <w:rPr>
          <w:rFonts w:ascii="Arial" w:eastAsia="MS Gothic" w:hAnsi="Arial" w:cs="Arial"/>
          <w:color w:val="000000"/>
          <w:vertAlign w:val="superscript"/>
        </w:rPr>
        <w:t>2</w:t>
      </w:r>
      <w:r>
        <w:rPr>
          <w:rFonts w:ascii="Arial" w:eastAsia="MS Gothic" w:hAnsi="Arial" w:cs="Arial"/>
          <w:color w:val="000000"/>
        </w:rPr>
        <w:t>; ad-lib fed: 0.61</w:t>
      </w:r>
      <w:r w:rsidRPr="001C349E">
        <w:rPr>
          <w:rFonts w:ascii="Arial" w:eastAsia="MS Gothic" w:hAnsi="Arial" w:cs="Arial"/>
          <w:color w:val="000000"/>
        </w:rPr>
        <w:t>±</w:t>
      </w:r>
      <w:r>
        <w:rPr>
          <w:rFonts w:ascii="Arial" w:eastAsia="MS Gothic" w:hAnsi="Arial" w:cs="Arial"/>
          <w:color w:val="000000"/>
        </w:rPr>
        <w:t>0.02</w:t>
      </w:r>
      <w:r w:rsidRPr="0041509A">
        <w:rPr>
          <w:rFonts w:ascii="Arial" w:eastAsia="MS Gothic" w:hAnsi="Arial" w:cs="Arial"/>
          <w:color w:val="000000"/>
        </w:rPr>
        <w:t>mm</w:t>
      </w:r>
      <w:r w:rsidRPr="0041509A">
        <w:rPr>
          <w:rFonts w:ascii="Arial" w:eastAsia="MS Gothic" w:hAnsi="Arial" w:cs="Arial"/>
          <w:color w:val="000000"/>
          <w:vertAlign w:val="superscript"/>
        </w:rPr>
        <w:t>2</w:t>
      </w:r>
      <w:r w:rsidRPr="00F46E60">
        <w:rPr>
          <w:rFonts w:ascii="Arial" w:eastAsia="MS Gothic" w:hAnsi="Arial" w:cs="Arial"/>
          <w:color w:val="000000"/>
        </w:rPr>
        <w:t xml:space="preserve"> </w:t>
      </w:r>
      <w:r>
        <w:rPr>
          <w:rFonts w:ascii="Arial" w:eastAsia="MS Gothic" w:hAnsi="Arial" w:cs="Arial"/>
          <w:color w:val="000000"/>
        </w:rPr>
        <w:t>versus 0.64</w:t>
      </w:r>
      <w:r w:rsidRPr="001C349E">
        <w:rPr>
          <w:rFonts w:ascii="Arial" w:eastAsia="MS Gothic" w:hAnsi="Arial" w:cs="Arial"/>
          <w:color w:val="000000"/>
        </w:rPr>
        <w:t>±</w:t>
      </w:r>
      <w:r>
        <w:rPr>
          <w:rFonts w:ascii="Arial" w:eastAsia="MS Gothic" w:hAnsi="Arial" w:cs="Arial"/>
          <w:color w:val="000000"/>
        </w:rPr>
        <w:t>0.</w:t>
      </w:r>
      <w:r w:rsidRPr="009229D1">
        <w:rPr>
          <w:rFonts w:ascii="Arial" w:eastAsia="MS Gothic" w:hAnsi="Arial" w:cs="Arial"/>
          <w:color w:val="000000"/>
        </w:rPr>
        <w:t>02mm</w:t>
      </w:r>
      <w:r w:rsidRPr="00470A0F">
        <w:rPr>
          <w:rFonts w:ascii="Arial" w:eastAsia="MS Gothic" w:hAnsi="Arial" w:cs="Arial"/>
          <w:color w:val="000000"/>
          <w:vertAlign w:val="superscript"/>
        </w:rPr>
        <w:t>2</w:t>
      </w:r>
      <w:r>
        <w:rPr>
          <w:rFonts w:ascii="Arial" w:eastAsia="MS Gothic" w:hAnsi="Arial" w:cs="Arial"/>
          <w:color w:val="000000"/>
        </w:rPr>
        <w:t xml:space="preserve">, </w:t>
      </w:r>
      <w:r w:rsidRPr="009229D1">
        <w:rPr>
          <w:rFonts w:ascii="Arial" w:hAnsi="Arial"/>
          <w:bCs/>
        </w:rPr>
        <w:t>p</w:t>
      </w:r>
      <w:r>
        <w:rPr>
          <w:rFonts w:ascii="Arial" w:hAnsi="Arial"/>
          <w:bCs/>
        </w:rPr>
        <w:t>&gt;0.05</w:t>
      </w:r>
      <w:r>
        <w:rPr>
          <w:rFonts w:ascii="Arial" w:hAnsi="Arial" w:cs="Arial"/>
          <w:color w:val="000000" w:themeColor="text1"/>
        </w:rPr>
        <w:t>)</w:t>
      </w:r>
      <w:r>
        <w:rPr>
          <w:rFonts w:ascii="Arial" w:hAnsi="Arial"/>
          <w:bCs/>
        </w:rPr>
        <w:t>, Figur</w:t>
      </w:r>
      <w:r w:rsidR="00591707">
        <w:rPr>
          <w:rFonts w:ascii="Arial" w:hAnsi="Arial"/>
          <w:bCs/>
        </w:rPr>
        <w:t>e 47</w:t>
      </w:r>
      <w:r>
        <w:rPr>
          <w:rFonts w:ascii="Arial" w:hAnsi="Arial"/>
          <w:bCs/>
        </w:rPr>
        <w:t xml:space="preserve">C. </w:t>
      </w:r>
      <w:r w:rsidRPr="001C349E">
        <w:rPr>
          <w:rFonts w:ascii="Arial" w:hAnsi="Arial"/>
          <w:bCs/>
        </w:rPr>
        <w:t>The</w:t>
      </w:r>
      <w:r>
        <w:rPr>
          <w:rFonts w:ascii="Arial" w:hAnsi="Arial"/>
          <w:bCs/>
        </w:rPr>
        <w:t xml:space="preserve"> age-related loss of </w:t>
      </w:r>
      <w:r w:rsidR="00F23908">
        <w:rPr>
          <w:rFonts w:ascii="Arial" w:hAnsi="Arial"/>
          <w:bCs/>
        </w:rPr>
        <w:t>t</w:t>
      </w:r>
      <w:r>
        <w:rPr>
          <w:rFonts w:ascii="Arial" w:hAnsi="Arial"/>
          <w:bCs/>
        </w:rPr>
        <w:t>he cortical bone area was primarily due to increase in Ma.Ar in male mice.</w:t>
      </w:r>
    </w:p>
    <w:p w14:paraId="74126D3E" w14:textId="77777777" w:rsidR="00BE41C0" w:rsidRDefault="00BE41C0" w:rsidP="009F2078">
      <w:pPr>
        <w:spacing w:line="480" w:lineRule="auto"/>
        <w:jc w:val="both"/>
        <w:rPr>
          <w:rFonts w:ascii="Arial" w:hAnsi="Arial"/>
          <w:b/>
          <w:bCs/>
        </w:rPr>
      </w:pPr>
    </w:p>
    <w:p w14:paraId="01F5DEA2" w14:textId="77777777" w:rsidR="009F2078" w:rsidRPr="009519A4" w:rsidRDefault="009F2078" w:rsidP="009F2078">
      <w:pPr>
        <w:spacing w:line="480" w:lineRule="auto"/>
        <w:jc w:val="both"/>
        <w:rPr>
          <w:rFonts w:ascii="Arial" w:hAnsi="Arial"/>
          <w:b/>
          <w:bCs/>
        </w:rPr>
      </w:pPr>
      <w:r w:rsidRPr="009519A4">
        <w:rPr>
          <w:rFonts w:ascii="Arial" w:hAnsi="Arial"/>
          <w:b/>
          <w:bCs/>
        </w:rPr>
        <w:t>Cortical thickness (Ct.Th)</w:t>
      </w:r>
    </w:p>
    <w:p w14:paraId="506AB11C" w14:textId="77777777" w:rsidR="007A4256" w:rsidRDefault="009F2078" w:rsidP="009F2078">
      <w:pPr>
        <w:spacing w:line="480" w:lineRule="auto"/>
        <w:jc w:val="both"/>
        <w:rPr>
          <w:rFonts w:ascii="Arial" w:hAnsi="Arial"/>
          <w:bCs/>
        </w:rPr>
      </w:pPr>
      <w:r>
        <w:rPr>
          <w:rFonts w:ascii="Arial" w:hAnsi="Arial" w:cs="Arial"/>
          <w:color w:val="1A1A1A"/>
        </w:rPr>
        <w:t>C</w:t>
      </w:r>
      <w:r w:rsidRPr="008B7AA7">
        <w:rPr>
          <w:rFonts w:ascii="Arial" w:hAnsi="Arial" w:cs="Arial"/>
          <w:color w:val="1A1A1A"/>
        </w:rPr>
        <w:t xml:space="preserve">ortical thickness </w:t>
      </w:r>
      <w:r>
        <w:rPr>
          <w:rFonts w:ascii="Arial" w:hAnsi="Arial" w:cs="Arial"/>
          <w:color w:val="1A1A1A"/>
        </w:rPr>
        <w:t xml:space="preserve">of </w:t>
      </w:r>
      <w:r w:rsidRPr="001C349E">
        <w:rPr>
          <w:rFonts w:ascii="Arial" w:hAnsi="Arial"/>
          <w:bCs/>
        </w:rPr>
        <w:t>the loaded right tib</w:t>
      </w:r>
      <w:r w:rsidR="00CB343E">
        <w:rPr>
          <w:rFonts w:ascii="Arial" w:hAnsi="Arial"/>
          <w:bCs/>
        </w:rPr>
        <w:t>iae increased by 12</w:t>
      </w:r>
      <w:r>
        <w:rPr>
          <w:rFonts w:ascii="Arial" w:hAnsi="Arial"/>
          <w:bCs/>
        </w:rPr>
        <w:t>.8</w:t>
      </w:r>
      <w:r w:rsidRPr="001C349E">
        <w:rPr>
          <w:rFonts w:ascii="Arial" w:hAnsi="Arial"/>
          <w:bCs/>
        </w:rPr>
        <w:t xml:space="preserve">% in </w:t>
      </w:r>
      <w:r>
        <w:rPr>
          <w:rFonts w:ascii="Arial" w:hAnsi="Arial"/>
          <w:bCs/>
        </w:rPr>
        <w:t>fed mice and 12</w:t>
      </w:r>
      <w:r w:rsidR="00CB343E">
        <w:rPr>
          <w:rFonts w:ascii="Arial" w:hAnsi="Arial"/>
          <w:bCs/>
        </w:rPr>
        <w:t>.6</w:t>
      </w:r>
      <w:r>
        <w:rPr>
          <w:rFonts w:ascii="Arial" w:hAnsi="Arial"/>
          <w:bCs/>
        </w:rPr>
        <w:t>%</w:t>
      </w:r>
      <w:r w:rsidRPr="001C349E">
        <w:rPr>
          <w:rFonts w:ascii="Arial" w:hAnsi="Arial"/>
          <w:bCs/>
        </w:rPr>
        <w:t xml:space="preserve"> in </w:t>
      </w:r>
      <w:r w:rsidR="00F0203A">
        <w:rPr>
          <w:rFonts w:ascii="Arial" w:hAnsi="Arial"/>
          <w:bCs/>
        </w:rPr>
        <w:t>fasted 2-hour</w:t>
      </w:r>
      <w:r>
        <w:rPr>
          <w:rFonts w:ascii="Arial" w:hAnsi="Arial"/>
          <w:bCs/>
        </w:rPr>
        <w:t xml:space="preserve"> </w:t>
      </w:r>
      <w:r w:rsidRPr="001C349E">
        <w:rPr>
          <w:rFonts w:ascii="Arial" w:hAnsi="Arial"/>
          <w:bCs/>
        </w:rPr>
        <w:t>fed mice</w:t>
      </w:r>
      <w:r>
        <w:rPr>
          <w:rFonts w:ascii="Arial" w:hAnsi="Arial"/>
          <w:bCs/>
        </w:rPr>
        <w:t xml:space="preserve"> compared to the non-loaded left tibiae</w:t>
      </w:r>
      <w:r w:rsidRPr="001C349E">
        <w:rPr>
          <w:rFonts w:ascii="Arial" w:hAnsi="Arial"/>
          <w:bCs/>
        </w:rPr>
        <w:t>.</w:t>
      </w:r>
      <w:r>
        <w:rPr>
          <w:rFonts w:ascii="Arial" w:hAnsi="Arial"/>
          <w:bCs/>
        </w:rPr>
        <w:t xml:space="preserve"> Ct.Th </w:t>
      </w:r>
      <w:r>
        <w:rPr>
          <w:rFonts w:ascii="Arial" w:hAnsi="Arial" w:cs="Arial"/>
          <w:noProof/>
          <w:color w:val="000000" w:themeColor="text1"/>
        </w:rPr>
        <w:t xml:space="preserve">measured by </w:t>
      </w:r>
      <w:r w:rsidRPr="006635E8">
        <w:rPr>
          <w:rFonts w:ascii="Arial" w:hAnsi="Arial" w:cs="Arial"/>
          <w:color w:val="000000" w:themeColor="text1"/>
        </w:rPr>
        <w:sym w:font="Symbol" w:char="F06D"/>
      </w:r>
      <w:r w:rsidRPr="006635E8">
        <w:rPr>
          <w:rFonts w:ascii="Arial" w:hAnsi="Arial" w:cs="Arial"/>
          <w:color w:val="000000" w:themeColor="text1"/>
        </w:rPr>
        <w:t>CT</w:t>
      </w:r>
      <w:r>
        <w:rPr>
          <w:rFonts w:ascii="Arial" w:eastAsiaTheme="minorHAnsi" w:hAnsi="Arial"/>
          <w:bCs/>
          <w:color w:val="000000" w:themeColor="text1"/>
        </w:rPr>
        <w:t xml:space="preserve"> </w:t>
      </w:r>
      <w:r>
        <w:rPr>
          <w:rFonts w:ascii="Arial" w:hAnsi="Arial" w:cs="Arial"/>
          <w:noProof/>
          <w:color w:val="000000" w:themeColor="text1"/>
        </w:rPr>
        <w:t xml:space="preserve">at the mid-shaft of the tibiae revealed that both fed and fasted 2-hour fed aged mice had significantly increased cortical bone thickness in the loaded right tibiae compared with the left non-loaded controls (fasted fed: </w:t>
      </w:r>
      <w:r w:rsidRPr="001C349E">
        <w:rPr>
          <w:rFonts w:ascii="Arial" w:hAnsi="Arial"/>
          <w:bCs/>
        </w:rPr>
        <w:t>0.2</w:t>
      </w:r>
      <w:r>
        <w:rPr>
          <w:rFonts w:ascii="Arial" w:hAnsi="Arial"/>
          <w:bCs/>
        </w:rPr>
        <w:t>3</w:t>
      </w:r>
      <w:r w:rsidR="00CB343E">
        <w:rPr>
          <w:rFonts w:ascii="Arial" w:hAnsi="Arial"/>
          <w:bCs/>
        </w:rPr>
        <w:t>3</w:t>
      </w:r>
      <w:r w:rsidRPr="001C349E">
        <w:rPr>
          <w:rFonts w:ascii="Arial" w:eastAsia="MS Gothic" w:hAnsi="Arial" w:cs="Arial"/>
          <w:color w:val="000000"/>
        </w:rPr>
        <w:t>±</w:t>
      </w:r>
      <w:r>
        <w:rPr>
          <w:rFonts w:ascii="Arial" w:hAnsi="Arial"/>
          <w:bCs/>
        </w:rPr>
        <w:t>0.002</w:t>
      </w:r>
      <w:r w:rsidRPr="001C349E">
        <w:rPr>
          <w:rFonts w:ascii="Arial" w:hAnsi="Arial"/>
          <w:bCs/>
        </w:rPr>
        <w:t>mm v</w:t>
      </w:r>
      <w:r>
        <w:rPr>
          <w:rFonts w:ascii="Arial" w:hAnsi="Arial"/>
          <w:bCs/>
        </w:rPr>
        <w:t>ersu</w:t>
      </w:r>
      <w:r w:rsidRPr="001C349E">
        <w:rPr>
          <w:rFonts w:ascii="Arial" w:hAnsi="Arial"/>
          <w:bCs/>
        </w:rPr>
        <w:t>s 0.2</w:t>
      </w:r>
      <w:r w:rsidR="00CB343E">
        <w:rPr>
          <w:rFonts w:ascii="Arial" w:hAnsi="Arial"/>
          <w:bCs/>
        </w:rPr>
        <w:t>07</w:t>
      </w:r>
      <w:r w:rsidRPr="001C349E">
        <w:rPr>
          <w:rFonts w:ascii="Arial" w:eastAsia="MS Gothic" w:hAnsi="Arial" w:cs="Arial"/>
          <w:color w:val="000000"/>
        </w:rPr>
        <w:t>±</w:t>
      </w:r>
      <w:r>
        <w:rPr>
          <w:rFonts w:ascii="Arial" w:hAnsi="Arial"/>
          <w:bCs/>
        </w:rPr>
        <w:t xml:space="preserve">0.004mm, p&lt;0.05; ad-lib fed: </w:t>
      </w:r>
      <w:r w:rsidRPr="001C349E">
        <w:rPr>
          <w:rFonts w:ascii="Arial" w:hAnsi="Arial"/>
          <w:bCs/>
        </w:rPr>
        <w:t>0.2</w:t>
      </w:r>
      <w:r w:rsidR="00CB343E">
        <w:rPr>
          <w:rFonts w:ascii="Arial" w:hAnsi="Arial"/>
          <w:bCs/>
        </w:rPr>
        <w:t>37</w:t>
      </w:r>
      <w:r w:rsidRPr="001C349E">
        <w:rPr>
          <w:rFonts w:ascii="Arial" w:eastAsia="MS Gothic" w:hAnsi="Arial" w:cs="Arial"/>
          <w:color w:val="000000"/>
        </w:rPr>
        <w:t>±</w:t>
      </w:r>
      <w:r>
        <w:rPr>
          <w:rFonts w:ascii="Arial" w:hAnsi="Arial"/>
          <w:bCs/>
        </w:rPr>
        <w:t>0.01</w:t>
      </w:r>
      <w:r w:rsidRPr="001C349E">
        <w:rPr>
          <w:rFonts w:ascii="Arial" w:hAnsi="Arial"/>
          <w:bCs/>
        </w:rPr>
        <w:t>mm v</w:t>
      </w:r>
      <w:r>
        <w:rPr>
          <w:rFonts w:ascii="Arial" w:hAnsi="Arial"/>
          <w:bCs/>
        </w:rPr>
        <w:t>ersu</w:t>
      </w:r>
      <w:r w:rsidRPr="001C349E">
        <w:rPr>
          <w:rFonts w:ascii="Arial" w:hAnsi="Arial"/>
          <w:bCs/>
        </w:rPr>
        <w:t>s 0.2</w:t>
      </w:r>
      <w:r>
        <w:rPr>
          <w:rFonts w:ascii="Arial" w:hAnsi="Arial"/>
          <w:bCs/>
        </w:rPr>
        <w:t>1</w:t>
      </w:r>
      <w:r w:rsidRPr="001C349E">
        <w:rPr>
          <w:rFonts w:ascii="Arial" w:eastAsia="MS Gothic" w:hAnsi="Arial" w:cs="Arial"/>
          <w:color w:val="000000"/>
        </w:rPr>
        <w:t>±</w:t>
      </w:r>
      <w:r>
        <w:rPr>
          <w:rFonts w:ascii="Arial" w:hAnsi="Arial"/>
          <w:bCs/>
        </w:rPr>
        <w:t>0.007mm, p&lt;0.05</w:t>
      </w:r>
      <w:r w:rsidRPr="001C349E">
        <w:rPr>
          <w:rFonts w:ascii="Arial" w:hAnsi="Arial"/>
          <w:bCs/>
        </w:rPr>
        <w:t>)</w:t>
      </w:r>
      <w:r w:rsidR="00F0203A">
        <w:rPr>
          <w:rFonts w:ascii="Arial" w:hAnsi="Arial"/>
          <w:bCs/>
        </w:rPr>
        <w:t>. H</w:t>
      </w:r>
      <w:r>
        <w:rPr>
          <w:rFonts w:ascii="Arial" w:hAnsi="Arial"/>
          <w:bCs/>
        </w:rPr>
        <w:t>owever there were no significant differences in Ct.Th of loaded tibiae b</w:t>
      </w:r>
      <w:r w:rsidR="00F0203A">
        <w:rPr>
          <w:rFonts w:ascii="Arial" w:hAnsi="Arial"/>
          <w:bCs/>
        </w:rPr>
        <w:t>etween the two groups. (Figure 47</w:t>
      </w:r>
      <w:r>
        <w:rPr>
          <w:rFonts w:ascii="Arial" w:hAnsi="Arial"/>
          <w:bCs/>
        </w:rPr>
        <w:t>D)</w:t>
      </w:r>
      <w:r w:rsidRPr="001C349E">
        <w:rPr>
          <w:rFonts w:ascii="Arial" w:hAnsi="Arial"/>
          <w:bCs/>
        </w:rPr>
        <w:t>.</w:t>
      </w:r>
    </w:p>
    <w:p w14:paraId="28196B39" w14:textId="77777777" w:rsidR="00B92F3E" w:rsidRDefault="00B92F3E" w:rsidP="009F2078">
      <w:pPr>
        <w:spacing w:line="480" w:lineRule="auto"/>
        <w:jc w:val="both"/>
        <w:rPr>
          <w:rFonts w:ascii="Arial" w:hAnsi="Arial"/>
          <w:bCs/>
          <w:sz w:val="16"/>
          <w:szCs w:val="16"/>
        </w:rPr>
      </w:pPr>
    </w:p>
    <w:p w14:paraId="72333156" w14:textId="77777777" w:rsidR="00B92F3E" w:rsidRDefault="00B92F3E" w:rsidP="009F2078">
      <w:pPr>
        <w:spacing w:line="480" w:lineRule="auto"/>
        <w:jc w:val="both"/>
        <w:rPr>
          <w:rFonts w:ascii="Arial" w:hAnsi="Arial"/>
          <w:bCs/>
          <w:sz w:val="16"/>
          <w:szCs w:val="16"/>
        </w:rPr>
      </w:pPr>
    </w:p>
    <w:p w14:paraId="30F8A2F5" w14:textId="77777777" w:rsidR="00134617" w:rsidRDefault="00134617" w:rsidP="009F2078">
      <w:pPr>
        <w:spacing w:line="480" w:lineRule="auto"/>
        <w:jc w:val="both"/>
        <w:rPr>
          <w:rFonts w:ascii="Arial" w:hAnsi="Arial"/>
          <w:bCs/>
          <w:sz w:val="16"/>
          <w:szCs w:val="16"/>
        </w:rPr>
      </w:pPr>
    </w:p>
    <w:p w14:paraId="4D906E70" w14:textId="77777777" w:rsidR="00134617" w:rsidRDefault="00134617" w:rsidP="009F2078">
      <w:pPr>
        <w:spacing w:line="480" w:lineRule="auto"/>
        <w:jc w:val="both"/>
        <w:rPr>
          <w:rFonts w:ascii="Arial" w:hAnsi="Arial"/>
          <w:bCs/>
          <w:sz w:val="16"/>
          <w:szCs w:val="16"/>
        </w:rPr>
      </w:pPr>
    </w:p>
    <w:p w14:paraId="38E9ABEF" w14:textId="77777777" w:rsidR="00134617" w:rsidRDefault="00134617" w:rsidP="009F2078">
      <w:pPr>
        <w:spacing w:line="480" w:lineRule="auto"/>
        <w:jc w:val="both"/>
        <w:rPr>
          <w:rFonts w:ascii="Arial" w:hAnsi="Arial"/>
          <w:bCs/>
          <w:sz w:val="16"/>
          <w:szCs w:val="16"/>
        </w:rPr>
      </w:pPr>
    </w:p>
    <w:p w14:paraId="7775C337" w14:textId="77777777" w:rsidR="00F04E12" w:rsidRPr="00B92F3E" w:rsidRDefault="00F04E12" w:rsidP="009F2078">
      <w:pPr>
        <w:spacing w:line="480" w:lineRule="auto"/>
        <w:jc w:val="both"/>
        <w:rPr>
          <w:rFonts w:ascii="Arial" w:hAnsi="Arial"/>
          <w:bCs/>
          <w:sz w:val="16"/>
          <w:szCs w:val="16"/>
        </w:rPr>
      </w:pPr>
    </w:p>
    <w:p w14:paraId="7BCF1B8C" w14:textId="77777777" w:rsidR="009F2078" w:rsidRDefault="009F2078" w:rsidP="00204988">
      <w:pPr>
        <w:pStyle w:val="TOCHeading"/>
        <w:rPr>
          <w:color w:val="000000" w:themeColor="text1"/>
          <w:sz w:val="24"/>
          <w:szCs w:val="24"/>
        </w:rPr>
      </w:pPr>
      <w:r>
        <w:drawing>
          <wp:inline distT="0" distB="0" distL="0" distR="0" wp14:anchorId="5E4F0775" wp14:editId="18DDEAA6">
            <wp:extent cx="3077737" cy="3006090"/>
            <wp:effectExtent l="0" t="0" r="0" b="0"/>
            <wp:docPr id="1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78246" cy="3006587"/>
                    </a:xfrm>
                    <a:prstGeom prst="rect">
                      <a:avLst/>
                    </a:prstGeom>
                    <a:noFill/>
                    <a:ln>
                      <a:noFill/>
                    </a:ln>
                  </pic:spPr>
                </pic:pic>
              </a:graphicData>
            </a:graphic>
          </wp:inline>
        </w:drawing>
      </w:r>
      <w:r w:rsidRPr="001B6F85">
        <w:t xml:space="preserve"> </w:t>
      </w:r>
      <w:r w:rsidRPr="007A7E11">
        <w:t xml:space="preserve">  </w:t>
      </w:r>
      <w:r>
        <w:drawing>
          <wp:inline distT="0" distB="0" distL="0" distR="0" wp14:anchorId="147F9F4D" wp14:editId="7F0EFAE6">
            <wp:extent cx="2868561" cy="2708275"/>
            <wp:effectExtent l="0" t="0" r="1905" b="9525"/>
            <wp:docPr id="10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68690" cy="2708397"/>
                    </a:xfrm>
                    <a:prstGeom prst="rect">
                      <a:avLst/>
                    </a:prstGeom>
                    <a:noFill/>
                    <a:ln>
                      <a:noFill/>
                    </a:ln>
                  </pic:spPr>
                </pic:pic>
              </a:graphicData>
            </a:graphic>
          </wp:inline>
        </w:drawing>
      </w:r>
    </w:p>
    <w:p w14:paraId="5360D2C1" w14:textId="77777777" w:rsidR="00BE41C0" w:rsidRDefault="009F2078" w:rsidP="000F628F">
      <w:pPr>
        <w:pStyle w:val="TOCHeading"/>
        <w:ind w:left="180" w:firstLine="180"/>
      </w:pPr>
      <w:r>
        <w:drawing>
          <wp:inline distT="0" distB="0" distL="0" distR="0" wp14:anchorId="7CBC5704" wp14:editId="60633242">
            <wp:extent cx="2914186" cy="2518964"/>
            <wp:effectExtent l="0" t="0" r="6985" b="0"/>
            <wp:docPr id="1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914280" cy="2519045"/>
                    </a:xfrm>
                    <a:prstGeom prst="rect">
                      <a:avLst/>
                    </a:prstGeom>
                    <a:noFill/>
                    <a:ln>
                      <a:noFill/>
                    </a:ln>
                  </pic:spPr>
                </pic:pic>
              </a:graphicData>
            </a:graphic>
          </wp:inline>
        </w:drawing>
      </w:r>
      <w:r w:rsidRPr="00496696">
        <w:t xml:space="preserve"> </w:t>
      </w:r>
      <w:r>
        <w:drawing>
          <wp:inline distT="0" distB="0" distL="0" distR="0" wp14:anchorId="588BE6EA" wp14:editId="0A269027">
            <wp:extent cx="2865120" cy="2480310"/>
            <wp:effectExtent l="0" t="0" r="5080" b="8890"/>
            <wp:docPr id="1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65120" cy="2480310"/>
                    </a:xfrm>
                    <a:prstGeom prst="rect">
                      <a:avLst/>
                    </a:prstGeom>
                    <a:noFill/>
                    <a:ln>
                      <a:noFill/>
                    </a:ln>
                  </pic:spPr>
                </pic:pic>
              </a:graphicData>
            </a:graphic>
          </wp:inline>
        </w:drawing>
      </w:r>
    </w:p>
    <w:p w14:paraId="44820A8F" w14:textId="77777777" w:rsidR="002C3DD5" w:rsidRDefault="002C3DD5" w:rsidP="0092089B">
      <w:pPr>
        <w:pStyle w:val="Caption"/>
        <w:spacing w:line="360" w:lineRule="auto"/>
        <w:jc w:val="both"/>
        <w:rPr>
          <w:rFonts w:ascii="Arial" w:hAnsi="Arial"/>
          <w:color w:val="244061" w:themeColor="accent1" w:themeShade="80"/>
          <w:sz w:val="24"/>
          <w:szCs w:val="24"/>
        </w:rPr>
      </w:pPr>
      <w:bookmarkStart w:id="147" w:name="_Toc383544638"/>
    </w:p>
    <w:p w14:paraId="4BDBDEA0" w14:textId="77777777" w:rsidR="009F2078" w:rsidRPr="0092089B" w:rsidRDefault="00BE41C0" w:rsidP="0092089B">
      <w:pPr>
        <w:pStyle w:val="Caption"/>
        <w:spacing w:line="360" w:lineRule="auto"/>
        <w:jc w:val="both"/>
        <w:rPr>
          <w:rFonts w:ascii="Arial" w:hAnsi="Arial"/>
          <w:color w:val="244061" w:themeColor="accent1" w:themeShade="80"/>
          <w:sz w:val="24"/>
          <w:szCs w:val="24"/>
        </w:rPr>
      </w:pPr>
      <w:r w:rsidRPr="0092089B">
        <w:rPr>
          <w:rFonts w:ascii="Arial" w:hAnsi="Arial"/>
          <w:color w:val="244061" w:themeColor="accent1" w:themeShade="80"/>
          <w:sz w:val="24"/>
          <w:szCs w:val="24"/>
        </w:rPr>
        <w:t xml:space="preserve">Figure </w:t>
      </w:r>
      <w:r w:rsidRPr="0092089B">
        <w:rPr>
          <w:rFonts w:ascii="Arial" w:hAnsi="Arial"/>
          <w:color w:val="244061" w:themeColor="accent1" w:themeShade="80"/>
          <w:sz w:val="24"/>
          <w:szCs w:val="24"/>
        </w:rPr>
        <w:fldChar w:fldCharType="begin"/>
      </w:r>
      <w:r w:rsidRPr="0092089B">
        <w:rPr>
          <w:rFonts w:ascii="Arial" w:hAnsi="Arial"/>
          <w:color w:val="244061" w:themeColor="accent1" w:themeShade="80"/>
          <w:sz w:val="24"/>
          <w:szCs w:val="24"/>
        </w:rPr>
        <w:instrText xml:space="preserve"> SEQ Figure \* ARABIC </w:instrText>
      </w:r>
      <w:r w:rsidRPr="0092089B">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47</w:t>
      </w:r>
      <w:r w:rsidRPr="0092089B">
        <w:rPr>
          <w:rFonts w:ascii="Arial" w:hAnsi="Arial"/>
          <w:color w:val="244061" w:themeColor="accent1" w:themeShade="80"/>
          <w:sz w:val="24"/>
          <w:szCs w:val="24"/>
        </w:rPr>
        <w:fldChar w:fldCharType="end"/>
      </w:r>
      <w:r w:rsidRPr="0092089B">
        <w:rPr>
          <w:rFonts w:ascii="Arial" w:hAnsi="Arial"/>
          <w:color w:val="244061" w:themeColor="accent1" w:themeShade="80"/>
          <w:sz w:val="24"/>
          <w:szCs w:val="24"/>
        </w:rPr>
        <w:t xml:space="preserve"> </w:t>
      </w:r>
      <w:r w:rsidR="009F2078" w:rsidRPr="0092089B">
        <w:rPr>
          <w:rFonts w:ascii="Arial" w:hAnsi="Arial"/>
          <w:noProof/>
          <w:color w:val="244061" w:themeColor="accent1" w:themeShade="80"/>
          <w:sz w:val="24"/>
          <w:szCs w:val="24"/>
        </w:rPr>
        <w:t xml:space="preserve">Cortical bone mass and architecture  measured at the mid-shaft region of the left non-loaded (control) and right loaded tibiae with maximal loading regimen of </w:t>
      </w:r>
      <w:r w:rsidR="009F2078" w:rsidRPr="0092089B">
        <w:rPr>
          <w:rFonts w:ascii="Arial" w:eastAsiaTheme="minorHAnsi" w:hAnsi="Arial"/>
          <w:bCs w:val="0"/>
          <w:color w:val="244061" w:themeColor="accent1" w:themeShade="80"/>
          <w:sz w:val="24"/>
          <w:szCs w:val="24"/>
          <w:lang w:val="en-US"/>
        </w:rPr>
        <w:t>20-month-old fed (n=8) or overnight fasted 2-hour fed (n=8) male mice</w:t>
      </w:r>
      <w:bookmarkEnd w:id="147"/>
      <w:r w:rsidR="009F2078" w:rsidRPr="0092089B">
        <w:rPr>
          <w:rFonts w:ascii="Arial" w:eastAsiaTheme="minorHAnsi" w:hAnsi="Arial"/>
          <w:bCs w:val="0"/>
          <w:color w:val="244061" w:themeColor="accent1" w:themeShade="80"/>
          <w:sz w:val="24"/>
          <w:szCs w:val="24"/>
          <w:lang w:val="en-US"/>
        </w:rPr>
        <w:t xml:space="preserve"> </w:t>
      </w:r>
    </w:p>
    <w:p w14:paraId="4CF86F53" w14:textId="77777777" w:rsidR="009F2078" w:rsidRPr="00AE6208" w:rsidRDefault="009F2078" w:rsidP="009F2078">
      <w:pPr>
        <w:spacing w:line="360" w:lineRule="auto"/>
        <w:jc w:val="both"/>
        <w:rPr>
          <w:rFonts w:ascii="Arial" w:hAnsi="Arial"/>
          <w:bCs/>
          <w:sz w:val="22"/>
          <w:szCs w:val="22"/>
        </w:rPr>
      </w:pPr>
      <w:r w:rsidRPr="009C05CA">
        <w:rPr>
          <w:rFonts w:ascii="Arial" w:eastAsiaTheme="minorHAnsi" w:hAnsi="Arial" w:cs="Arial"/>
          <w:sz w:val="22"/>
          <w:szCs w:val="22"/>
        </w:rPr>
        <w:t xml:space="preserve">Mechanical loading induced significant increase in Ct.Ar and Ct.Th in the right loaded tibiae compared with the left unloaded tibiae in both groups (A, D), </w:t>
      </w:r>
      <w:r>
        <w:rPr>
          <w:rFonts w:ascii="Arial" w:eastAsiaTheme="minorHAnsi" w:hAnsi="Arial" w:cs="Arial"/>
          <w:sz w:val="22"/>
          <w:szCs w:val="22"/>
        </w:rPr>
        <w:t xml:space="preserve">but </w:t>
      </w:r>
      <w:r w:rsidRPr="004469F6">
        <w:rPr>
          <w:rFonts w:ascii="Arial" w:hAnsi="Arial"/>
          <w:bCs/>
          <w:sz w:val="22"/>
          <w:szCs w:val="22"/>
        </w:rPr>
        <w:t>there were no significant differences between the two groups</w:t>
      </w:r>
      <w:r w:rsidRPr="004469F6">
        <w:rPr>
          <w:rFonts w:ascii="Arial" w:eastAsiaTheme="minorHAnsi" w:hAnsi="Arial" w:cs="Arial"/>
          <w:sz w:val="22"/>
          <w:szCs w:val="22"/>
        </w:rPr>
        <w:t xml:space="preserve">. </w:t>
      </w:r>
      <w:r w:rsidRPr="009C05CA">
        <w:rPr>
          <w:rFonts w:ascii="Arial" w:eastAsiaTheme="minorHAnsi" w:hAnsi="Arial" w:cs="Arial"/>
          <w:sz w:val="22"/>
          <w:szCs w:val="22"/>
        </w:rPr>
        <w:t>There were no significant differences in Tt.Ar and Ma.Ar measured within and between the experimental groups (B, C)</w:t>
      </w:r>
      <w:r w:rsidRPr="009C05CA">
        <w:rPr>
          <w:rFonts w:ascii="Arial" w:hAnsi="Arial"/>
          <w:bCs/>
          <w:sz w:val="22"/>
          <w:szCs w:val="22"/>
        </w:rPr>
        <w:t xml:space="preserve">. </w:t>
      </w:r>
      <w:r w:rsidRPr="00AE6208">
        <w:rPr>
          <w:rFonts w:ascii="Arial" w:eastAsiaTheme="minorHAnsi" w:hAnsi="Arial" w:cs="Arial"/>
          <w:sz w:val="22"/>
          <w:szCs w:val="22"/>
        </w:rPr>
        <w:t>Bars represent mean</w:t>
      </w:r>
      <w:r w:rsidRPr="00AE6208">
        <w:rPr>
          <w:rFonts w:ascii="Arial" w:eastAsia="MS Gothic" w:hAnsi="Arial" w:cs="Arial"/>
          <w:sz w:val="22"/>
          <w:szCs w:val="22"/>
        </w:rPr>
        <w:t>±</w:t>
      </w:r>
      <w:r w:rsidRPr="00AE6208">
        <w:rPr>
          <w:rFonts w:ascii="Arial" w:eastAsiaTheme="minorHAnsi" w:hAnsi="Arial" w:cs="Arial"/>
          <w:sz w:val="22"/>
          <w:szCs w:val="22"/>
        </w:rPr>
        <w:t xml:space="preserve">SE. * </w:t>
      </w:r>
      <w:proofErr w:type="gramStart"/>
      <w:r w:rsidRPr="00AE6208">
        <w:rPr>
          <w:rFonts w:ascii="Arial" w:eastAsiaTheme="minorHAnsi" w:hAnsi="Arial" w:cs="Arial"/>
          <w:sz w:val="22"/>
          <w:szCs w:val="22"/>
        </w:rPr>
        <w:t>p</w:t>
      </w:r>
      <w:proofErr w:type="gramEnd"/>
      <w:r w:rsidRPr="00AE6208">
        <w:rPr>
          <w:rFonts w:ascii="Arial" w:eastAsiaTheme="minorHAnsi" w:hAnsi="Arial" w:cs="Arial"/>
          <w:sz w:val="22"/>
          <w:szCs w:val="22"/>
        </w:rPr>
        <w:t>&lt;0.05</w:t>
      </w:r>
    </w:p>
    <w:p w14:paraId="71D39CC4" w14:textId="77777777" w:rsidR="009F2078" w:rsidRDefault="009F2078" w:rsidP="00814A1C">
      <w:pPr>
        <w:spacing w:line="480" w:lineRule="auto"/>
        <w:jc w:val="both"/>
        <w:rPr>
          <w:rFonts w:ascii="Arial" w:hAnsi="Arial"/>
          <w:bCs/>
        </w:rPr>
      </w:pPr>
    </w:p>
    <w:p w14:paraId="5E31EE55" w14:textId="77777777" w:rsidR="009F2078" w:rsidRPr="00104933" w:rsidRDefault="009F2078" w:rsidP="00634201">
      <w:pPr>
        <w:pStyle w:val="Heading3"/>
        <w:spacing w:line="480" w:lineRule="auto"/>
        <w:jc w:val="both"/>
        <w:rPr>
          <w:rFonts w:ascii="Arial" w:hAnsi="Arial"/>
          <w:color w:val="auto"/>
          <w:sz w:val="22"/>
          <w:szCs w:val="22"/>
        </w:rPr>
      </w:pPr>
      <w:bookmarkStart w:id="148" w:name="_Toc383723921"/>
      <w:r w:rsidRPr="00104933">
        <w:rPr>
          <w:rFonts w:ascii="Arial" w:hAnsi="Arial"/>
          <w:color w:val="auto"/>
        </w:rPr>
        <w:lastRenderedPageBreak/>
        <w:t xml:space="preserve">6.2.3 </w:t>
      </w:r>
      <w:proofErr w:type="gramStart"/>
      <w:r w:rsidRPr="00104933">
        <w:rPr>
          <w:rFonts w:ascii="Arial" w:hAnsi="Arial"/>
          <w:color w:val="auto"/>
        </w:rPr>
        <w:t>The</w:t>
      </w:r>
      <w:proofErr w:type="gramEnd"/>
      <w:r w:rsidRPr="00104933">
        <w:rPr>
          <w:rFonts w:ascii="Arial" w:hAnsi="Arial"/>
          <w:color w:val="auto"/>
        </w:rPr>
        <w:t xml:space="preserve"> effect of ageing on tibial trabecular bone response to maximal mechanical loading of fed or fasted 2-h</w:t>
      </w:r>
      <w:r w:rsidR="002C3DD5">
        <w:rPr>
          <w:rFonts w:ascii="Arial" w:hAnsi="Arial"/>
          <w:color w:val="auto"/>
        </w:rPr>
        <w:t xml:space="preserve">our fed aged </w:t>
      </w:r>
      <w:r w:rsidRPr="00104933">
        <w:rPr>
          <w:rFonts w:ascii="Arial" w:hAnsi="Arial"/>
          <w:color w:val="auto"/>
        </w:rPr>
        <w:t>mice</w:t>
      </w:r>
      <w:bookmarkEnd w:id="148"/>
    </w:p>
    <w:p w14:paraId="3C9118B5" w14:textId="77777777" w:rsidR="00340189" w:rsidRDefault="00E62475" w:rsidP="00BA6F86">
      <w:pPr>
        <w:spacing w:line="480" w:lineRule="auto"/>
        <w:jc w:val="both"/>
        <w:rPr>
          <w:rFonts w:ascii="Arial" w:hAnsi="Arial" w:cs="Arial"/>
          <w:color w:val="000000" w:themeColor="text1"/>
        </w:rPr>
      </w:pPr>
      <w:r>
        <w:rPr>
          <w:rFonts w:ascii="Arial" w:hAnsi="Arial"/>
          <w:bCs/>
        </w:rPr>
        <w:t>As in the young mice there were differences between the trabecular bone</w:t>
      </w:r>
      <w:r w:rsidR="00BA6F86">
        <w:rPr>
          <w:rFonts w:ascii="Arial" w:hAnsi="Arial"/>
          <w:bCs/>
        </w:rPr>
        <w:t>s</w:t>
      </w:r>
      <w:r>
        <w:rPr>
          <w:rFonts w:ascii="Arial" w:hAnsi="Arial"/>
          <w:bCs/>
        </w:rPr>
        <w:t xml:space="preserve"> of the</w:t>
      </w:r>
      <w:r w:rsidR="00BA6F86">
        <w:rPr>
          <w:rFonts w:ascii="Arial" w:hAnsi="Arial"/>
          <w:bCs/>
        </w:rPr>
        <w:t xml:space="preserve"> two </w:t>
      </w:r>
      <w:r w:rsidR="001942FC">
        <w:rPr>
          <w:rFonts w:ascii="Arial" w:hAnsi="Arial"/>
          <w:bCs/>
        </w:rPr>
        <w:t xml:space="preserve">groups, but while loading was associated with changes in the older mice, none of them were different between the ad-lib and fasted fed animals. </w:t>
      </w:r>
      <w:r w:rsidR="00814A1C" w:rsidRPr="009901A7">
        <w:rPr>
          <w:rFonts w:ascii="Arial" w:hAnsi="Arial"/>
          <w:bCs/>
        </w:rPr>
        <w:t xml:space="preserve">The </w:t>
      </w:r>
      <w:r w:rsidR="00814A1C">
        <w:rPr>
          <w:rFonts w:ascii="Arial" w:hAnsi="Arial"/>
          <w:bCs/>
        </w:rPr>
        <w:t>structural</w:t>
      </w:r>
      <w:r w:rsidR="00814A1C" w:rsidRPr="009901A7">
        <w:rPr>
          <w:rFonts w:ascii="Arial" w:hAnsi="Arial"/>
          <w:bCs/>
        </w:rPr>
        <w:t xml:space="preserve"> changes of the </w:t>
      </w:r>
      <w:r w:rsidR="00814A1C">
        <w:rPr>
          <w:rFonts w:ascii="Arial" w:hAnsi="Arial"/>
          <w:bCs/>
        </w:rPr>
        <w:t xml:space="preserve">trabecular bone of </w:t>
      </w:r>
      <w:r w:rsidR="00814A1C" w:rsidRPr="009901A7">
        <w:rPr>
          <w:rFonts w:ascii="Arial" w:hAnsi="Arial"/>
          <w:bCs/>
        </w:rPr>
        <w:t xml:space="preserve">loaded and non-loaded tibiae of fed and fasted fed </w:t>
      </w:r>
      <w:r w:rsidR="00814A1C">
        <w:rPr>
          <w:rFonts w:ascii="Arial" w:hAnsi="Arial"/>
          <w:bCs/>
        </w:rPr>
        <w:t xml:space="preserve">aged </w:t>
      </w:r>
      <w:r w:rsidR="00814A1C" w:rsidRPr="009901A7">
        <w:rPr>
          <w:rFonts w:ascii="Arial" w:hAnsi="Arial"/>
          <w:bCs/>
        </w:rPr>
        <w:t xml:space="preserve">mice were compared using </w:t>
      </w:r>
      <w:r w:rsidR="00814A1C" w:rsidRPr="009901A7">
        <w:rPr>
          <w:rFonts w:ascii="Arial" w:hAnsi="Arial" w:cs="Arial"/>
          <w:color w:val="000000" w:themeColor="text1"/>
        </w:rPr>
        <w:sym w:font="Symbol" w:char="F06D"/>
      </w:r>
      <w:r w:rsidR="00814A1C" w:rsidRPr="009901A7">
        <w:rPr>
          <w:rFonts w:ascii="Arial" w:hAnsi="Arial" w:cs="Arial"/>
          <w:color w:val="000000" w:themeColor="text1"/>
        </w:rPr>
        <w:t xml:space="preserve">CT 3D models scanned at a </w:t>
      </w:r>
      <w:r w:rsidR="00814A1C">
        <w:rPr>
          <w:rFonts w:ascii="Arial" w:hAnsi="Arial" w:cs="Arial"/>
          <w:color w:val="000000" w:themeColor="text1"/>
        </w:rPr>
        <w:t>high resolution of 4</w:t>
      </w:r>
      <w:r w:rsidR="00814A1C" w:rsidRPr="009901A7">
        <w:rPr>
          <w:rFonts w:ascii="Arial" w:hAnsi="Arial" w:cs="Arial"/>
          <w:color w:val="000000" w:themeColor="text1"/>
        </w:rPr>
        <w:t>.3</w:t>
      </w:r>
      <w:r w:rsidR="00814A1C" w:rsidRPr="009901A7">
        <w:rPr>
          <w:rFonts w:ascii="Arial" w:hAnsi="Arial" w:cs="Arial"/>
          <w:color w:val="000000" w:themeColor="text1"/>
        </w:rPr>
        <w:sym w:font="Symbol" w:char="F06D"/>
      </w:r>
      <w:r w:rsidR="0058306D">
        <w:rPr>
          <w:rFonts w:ascii="Arial" w:hAnsi="Arial" w:cs="Arial"/>
          <w:color w:val="000000" w:themeColor="text1"/>
        </w:rPr>
        <w:t>m (Figure 48</w:t>
      </w:r>
      <w:r w:rsidR="00814A1C" w:rsidRPr="009901A7">
        <w:rPr>
          <w:rFonts w:ascii="Arial" w:hAnsi="Arial" w:cs="Arial"/>
          <w:color w:val="000000" w:themeColor="text1"/>
        </w:rPr>
        <w:t>).</w:t>
      </w:r>
    </w:p>
    <w:p w14:paraId="256DABD3" w14:textId="77777777" w:rsidR="00BA6F86" w:rsidRPr="00BA6F86" w:rsidRDefault="00BA6F86" w:rsidP="00BA6F86">
      <w:pPr>
        <w:spacing w:line="480" w:lineRule="auto"/>
        <w:jc w:val="both"/>
        <w:rPr>
          <w:rFonts w:ascii="Arial" w:hAnsi="Arial" w:cs="Arial"/>
          <w:color w:val="000000" w:themeColor="text1"/>
        </w:rPr>
      </w:pPr>
    </w:p>
    <w:p w14:paraId="7B658FD8" w14:textId="77777777" w:rsidR="00BA6F86" w:rsidRDefault="00BA6F86" w:rsidP="00814A1C">
      <w:pPr>
        <w:spacing w:line="360" w:lineRule="auto"/>
        <w:jc w:val="both"/>
        <w:rPr>
          <w:rFonts w:ascii="Arial" w:hAnsi="Arial" w:cs="Arial"/>
          <w:b/>
          <w:color w:val="1F497D" w:themeColor="text2"/>
        </w:rPr>
      </w:pPr>
    </w:p>
    <w:p w14:paraId="024C5BA4" w14:textId="77777777" w:rsidR="001942FC" w:rsidRDefault="001942FC" w:rsidP="001942FC">
      <w:pPr>
        <w:keepNext/>
        <w:spacing w:line="360" w:lineRule="auto"/>
        <w:jc w:val="both"/>
      </w:pPr>
      <w:r w:rsidRPr="001942FC">
        <w:rPr>
          <w:rFonts w:ascii="Arial" w:hAnsi="Arial" w:cs="Arial"/>
          <w:b/>
          <w:noProof/>
          <w:color w:val="1F497D" w:themeColor="text2"/>
          <w:lang w:val="en-US"/>
        </w:rPr>
        <w:drawing>
          <wp:inline distT="0" distB="0" distL="0" distR="0" wp14:anchorId="0474E64A" wp14:editId="13B34841">
            <wp:extent cx="5291895" cy="4483856"/>
            <wp:effectExtent l="0" t="0" r="0" b="12065"/>
            <wp:docPr id="1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6">
                      <a:lum bright="5000"/>
                      <a:extLst>
                        <a:ext uri="{28A0092B-C50C-407E-A947-70E740481C1C}">
                          <a14:useLocalDpi xmlns:a14="http://schemas.microsoft.com/office/drawing/2010/main" val="0"/>
                        </a:ext>
                      </a:extLst>
                    </a:blip>
                    <a:srcRect/>
                    <a:stretch>
                      <a:fillRect/>
                    </a:stretch>
                  </pic:blipFill>
                  <pic:spPr bwMode="auto">
                    <a:xfrm>
                      <a:off x="0" y="0"/>
                      <a:ext cx="5291895" cy="4483856"/>
                    </a:xfrm>
                    <a:prstGeom prst="rect">
                      <a:avLst/>
                    </a:prstGeom>
                    <a:noFill/>
                    <a:ln>
                      <a:noFill/>
                    </a:ln>
                  </pic:spPr>
                </pic:pic>
              </a:graphicData>
            </a:graphic>
          </wp:inline>
        </w:drawing>
      </w:r>
    </w:p>
    <w:p w14:paraId="466453F5" w14:textId="77777777" w:rsidR="00BA6F86" w:rsidRDefault="00BA6F86" w:rsidP="00BA6F86">
      <w:pPr>
        <w:pStyle w:val="Caption"/>
        <w:spacing w:line="360" w:lineRule="auto"/>
        <w:jc w:val="both"/>
        <w:rPr>
          <w:rFonts w:ascii="Arial" w:hAnsi="Arial" w:cs="Arial"/>
          <w:color w:val="244061" w:themeColor="accent1" w:themeShade="80"/>
          <w:sz w:val="24"/>
          <w:szCs w:val="24"/>
        </w:rPr>
      </w:pPr>
    </w:p>
    <w:p w14:paraId="11F5AC62" w14:textId="77777777" w:rsidR="00BA6F86" w:rsidRDefault="001942FC" w:rsidP="00BA6F86">
      <w:pPr>
        <w:pStyle w:val="Caption"/>
        <w:spacing w:line="360" w:lineRule="auto"/>
        <w:jc w:val="both"/>
        <w:rPr>
          <w:rFonts w:ascii="Arial" w:hAnsi="Arial" w:cs="Arial"/>
          <w:color w:val="244061" w:themeColor="accent1" w:themeShade="80"/>
          <w:sz w:val="24"/>
          <w:szCs w:val="24"/>
        </w:rPr>
      </w:pPr>
      <w:bookmarkStart w:id="149" w:name="_Toc383544639"/>
      <w:r w:rsidRPr="001942FC">
        <w:rPr>
          <w:rFonts w:ascii="Arial" w:hAnsi="Arial" w:cs="Arial"/>
          <w:color w:val="244061" w:themeColor="accent1" w:themeShade="80"/>
          <w:sz w:val="24"/>
          <w:szCs w:val="24"/>
        </w:rPr>
        <w:t xml:space="preserve">Figure </w:t>
      </w:r>
      <w:r w:rsidRPr="001942FC">
        <w:rPr>
          <w:rFonts w:ascii="Arial" w:hAnsi="Arial" w:cs="Arial"/>
          <w:color w:val="244061" w:themeColor="accent1" w:themeShade="80"/>
          <w:sz w:val="24"/>
          <w:szCs w:val="24"/>
        </w:rPr>
        <w:fldChar w:fldCharType="begin"/>
      </w:r>
      <w:r w:rsidRPr="001942FC">
        <w:rPr>
          <w:rFonts w:ascii="Arial" w:hAnsi="Arial" w:cs="Arial"/>
          <w:color w:val="244061" w:themeColor="accent1" w:themeShade="80"/>
          <w:sz w:val="24"/>
          <w:szCs w:val="24"/>
        </w:rPr>
        <w:instrText xml:space="preserve"> SEQ Figure \* ARABIC </w:instrText>
      </w:r>
      <w:r w:rsidRPr="001942FC">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48</w:t>
      </w:r>
      <w:r w:rsidRPr="001942FC">
        <w:rPr>
          <w:rFonts w:ascii="Arial" w:hAnsi="Arial" w:cs="Arial"/>
          <w:color w:val="244061" w:themeColor="accent1" w:themeShade="80"/>
          <w:sz w:val="24"/>
          <w:szCs w:val="24"/>
        </w:rPr>
        <w:fldChar w:fldCharType="end"/>
      </w:r>
      <w:r w:rsidRPr="001942FC">
        <w:rPr>
          <w:rFonts w:ascii="Arial" w:hAnsi="Arial" w:cs="Arial"/>
          <w:color w:val="244061" w:themeColor="accent1" w:themeShade="80"/>
          <w:sz w:val="24"/>
          <w:szCs w:val="24"/>
        </w:rPr>
        <w:t xml:space="preserve"> </w:t>
      </w:r>
      <w:r w:rsidR="00814A1C" w:rsidRPr="001942FC">
        <w:rPr>
          <w:rFonts w:ascii="Arial" w:hAnsi="Arial" w:cs="Arial"/>
          <w:color w:val="244061" w:themeColor="accent1" w:themeShade="80"/>
          <w:sz w:val="24"/>
          <w:szCs w:val="24"/>
        </w:rPr>
        <w:t>Trabecular bone response to mechanical loading in aged male mice</w:t>
      </w:r>
      <w:bookmarkEnd w:id="149"/>
      <w:r w:rsidR="00814A1C" w:rsidRPr="001942FC">
        <w:rPr>
          <w:rFonts w:ascii="Arial" w:hAnsi="Arial" w:cs="Arial"/>
          <w:color w:val="244061" w:themeColor="accent1" w:themeShade="80"/>
          <w:sz w:val="24"/>
          <w:szCs w:val="24"/>
        </w:rPr>
        <w:t xml:space="preserve"> </w:t>
      </w:r>
    </w:p>
    <w:p w14:paraId="18E2F5EF" w14:textId="77777777" w:rsidR="00814A1C" w:rsidRPr="00BA6F86" w:rsidRDefault="00814A1C" w:rsidP="00BA6F86">
      <w:pPr>
        <w:spacing w:line="360" w:lineRule="auto"/>
        <w:jc w:val="both"/>
        <w:rPr>
          <w:rFonts w:ascii="Arial" w:hAnsi="Arial" w:cs="Arial"/>
          <w:b/>
          <w:color w:val="244061" w:themeColor="accent1" w:themeShade="80"/>
          <w:sz w:val="22"/>
          <w:szCs w:val="22"/>
        </w:rPr>
      </w:pPr>
      <w:r w:rsidRPr="00BA6F86">
        <w:rPr>
          <w:rFonts w:ascii="Arial" w:hAnsi="Arial" w:cs="Arial"/>
          <w:sz w:val="22"/>
          <w:szCs w:val="22"/>
        </w:rPr>
        <w:t>Representative 3D images of 1mm-thick analysed trabecular bone region of interest 0.2mm below</w:t>
      </w:r>
      <w:r w:rsidR="00340189" w:rsidRPr="00BA6F86">
        <w:rPr>
          <w:rFonts w:ascii="Arial" w:hAnsi="Arial" w:cs="Arial"/>
          <w:sz w:val="22"/>
          <w:szCs w:val="22"/>
        </w:rPr>
        <w:t xml:space="preserve"> </w:t>
      </w:r>
      <w:r w:rsidRPr="00BA6F86">
        <w:rPr>
          <w:rFonts w:ascii="Arial" w:hAnsi="Arial" w:cs="Arial"/>
          <w:sz w:val="22"/>
          <w:szCs w:val="22"/>
        </w:rPr>
        <w:t>the growth plate of loaded (right) and non-loaded tibiae (left) of fed and fed</w:t>
      </w:r>
      <w:r w:rsidR="00BA6F86" w:rsidRPr="00BA6F86">
        <w:rPr>
          <w:rFonts w:ascii="Arial" w:hAnsi="Arial" w:cs="Arial"/>
          <w:sz w:val="22"/>
          <w:szCs w:val="22"/>
        </w:rPr>
        <w:t xml:space="preserve"> </w:t>
      </w:r>
      <w:r w:rsidRPr="00BA6F86">
        <w:rPr>
          <w:rFonts w:ascii="Arial" w:hAnsi="Arial" w:cs="Arial"/>
          <w:sz w:val="22"/>
          <w:szCs w:val="22"/>
        </w:rPr>
        <w:t>for 2 h</w:t>
      </w:r>
      <w:r w:rsidR="0045439A">
        <w:rPr>
          <w:rFonts w:ascii="Arial" w:hAnsi="Arial" w:cs="Arial"/>
          <w:sz w:val="22"/>
          <w:szCs w:val="22"/>
        </w:rPr>
        <w:t>ours following overnight fast</w:t>
      </w:r>
      <w:r w:rsidRPr="00BA6F86">
        <w:rPr>
          <w:rFonts w:ascii="Arial" w:hAnsi="Arial" w:cs="Arial"/>
          <w:sz w:val="22"/>
          <w:szCs w:val="22"/>
        </w:rPr>
        <w:t xml:space="preserve"> aged male mice. Scale bar = 100</w:t>
      </w:r>
      <w:r w:rsidRPr="00BA6F86">
        <w:rPr>
          <w:rFonts w:ascii="Arial" w:hAnsi="Arial" w:cs="Arial"/>
          <w:sz w:val="22"/>
          <w:szCs w:val="22"/>
        </w:rPr>
        <w:sym w:font="Symbol" w:char="F06D"/>
      </w:r>
      <w:r w:rsidRPr="00BA6F86">
        <w:rPr>
          <w:rFonts w:ascii="Arial" w:hAnsi="Arial" w:cs="Arial"/>
          <w:sz w:val="22"/>
          <w:szCs w:val="22"/>
        </w:rPr>
        <w:t>m</w:t>
      </w:r>
    </w:p>
    <w:p w14:paraId="56018C7E" w14:textId="77777777" w:rsidR="00814A1C" w:rsidRDefault="00814A1C" w:rsidP="00814A1C">
      <w:pPr>
        <w:spacing w:line="480" w:lineRule="auto"/>
        <w:jc w:val="both"/>
        <w:rPr>
          <w:rFonts w:ascii="Arial" w:hAnsi="Arial" w:cs="Arial"/>
          <w:b/>
        </w:rPr>
      </w:pPr>
      <w:r w:rsidRPr="003712C0">
        <w:rPr>
          <w:rFonts w:ascii="Arial" w:hAnsi="Arial" w:cs="Arial"/>
          <w:b/>
        </w:rPr>
        <w:lastRenderedPageBreak/>
        <w:t>Trabecular bone volume</w:t>
      </w:r>
      <w:r>
        <w:rPr>
          <w:rFonts w:ascii="Arial" w:hAnsi="Arial" w:cs="Arial"/>
          <w:b/>
        </w:rPr>
        <w:t xml:space="preserve"> fraction (BV/TV)</w:t>
      </w:r>
    </w:p>
    <w:p w14:paraId="1477A03B" w14:textId="77777777" w:rsidR="00814A1C" w:rsidRPr="003F14B4" w:rsidRDefault="00814A1C" w:rsidP="00814A1C">
      <w:pPr>
        <w:spacing w:line="480" w:lineRule="auto"/>
        <w:jc w:val="both"/>
        <w:rPr>
          <w:rFonts w:ascii="Arial" w:hAnsi="Arial"/>
          <w:bCs/>
        </w:rPr>
      </w:pPr>
      <w:r>
        <w:rPr>
          <w:rFonts w:ascii="Arial" w:hAnsi="Arial" w:cs="Arial"/>
        </w:rPr>
        <w:t xml:space="preserve">In male mice, ageing reduced the loading related response in trabecular BV/TV. </w:t>
      </w:r>
      <w:r w:rsidRPr="003B6F9D">
        <w:rPr>
          <w:rFonts w:ascii="Arial" w:hAnsi="Arial"/>
          <w:bCs/>
        </w:rPr>
        <w:t xml:space="preserve">The trabecular BV/TV increased by </w:t>
      </w:r>
      <w:r>
        <w:rPr>
          <w:rFonts w:ascii="Arial" w:hAnsi="Arial"/>
          <w:bCs/>
        </w:rPr>
        <w:t>21</w:t>
      </w:r>
      <w:r w:rsidRPr="003B6F9D">
        <w:rPr>
          <w:rFonts w:ascii="Arial" w:hAnsi="Arial"/>
          <w:bCs/>
        </w:rPr>
        <w:t xml:space="preserve">% </w:t>
      </w:r>
      <w:r>
        <w:rPr>
          <w:rFonts w:ascii="Arial" w:hAnsi="Arial"/>
          <w:bCs/>
        </w:rPr>
        <w:t>of</w:t>
      </w:r>
      <w:r w:rsidRPr="003B6F9D">
        <w:rPr>
          <w:rFonts w:ascii="Arial" w:hAnsi="Arial"/>
          <w:bCs/>
        </w:rPr>
        <w:t xml:space="preserve"> the</w:t>
      </w:r>
      <w:r>
        <w:rPr>
          <w:rFonts w:ascii="Arial" w:hAnsi="Arial"/>
          <w:bCs/>
        </w:rPr>
        <w:t xml:space="preserve"> loaded right tibiae in fed group</w:t>
      </w:r>
      <w:r w:rsidRPr="003B6F9D">
        <w:rPr>
          <w:rFonts w:ascii="Arial" w:hAnsi="Arial"/>
          <w:bCs/>
        </w:rPr>
        <w:t xml:space="preserve"> </w:t>
      </w:r>
      <w:r>
        <w:rPr>
          <w:rFonts w:ascii="Arial" w:hAnsi="Arial"/>
          <w:bCs/>
        </w:rPr>
        <w:t>and 40% in fasted fed group</w:t>
      </w:r>
      <w:r w:rsidRPr="003B6F9D">
        <w:rPr>
          <w:rFonts w:ascii="Arial" w:hAnsi="Arial"/>
          <w:bCs/>
        </w:rPr>
        <w:t xml:space="preserve"> </w:t>
      </w:r>
      <w:r>
        <w:rPr>
          <w:rFonts w:ascii="Arial" w:hAnsi="Arial"/>
          <w:bCs/>
        </w:rPr>
        <w:t>compared with</w:t>
      </w:r>
      <w:r w:rsidRPr="003B6F9D">
        <w:rPr>
          <w:rFonts w:ascii="Arial" w:hAnsi="Arial"/>
          <w:bCs/>
        </w:rPr>
        <w:t xml:space="preserve"> the left non-loaded tibiae</w:t>
      </w:r>
      <w:r>
        <w:rPr>
          <w:rFonts w:ascii="Arial" w:hAnsi="Arial"/>
          <w:bCs/>
        </w:rPr>
        <w:t>.</w:t>
      </w:r>
      <w:r w:rsidRPr="000353DA">
        <w:rPr>
          <w:rFonts w:ascii="Arial" w:hAnsi="Arial"/>
          <w:bCs/>
        </w:rPr>
        <w:t xml:space="preserve"> </w:t>
      </w:r>
      <w:r>
        <w:rPr>
          <w:rFonts w:ascii="Arial" w:hAnsi="Arial"/>
          <w:bCs/>
        </w:rPr>
        <w:t xml:space="preserve">When compared with trabecular bone parameters of the contralateral non-loaded tibiae, </w:t>
      </w:r>
      <w:r w:rsidRPr="003B6F9D">
        <w:rPr>
          <w:rFonts w:ascii="Arial" w:hAnsi="Arial"/>
          <w:bCs/>
        </w:rPr>
        <w:t xml:space="preserve">BV/TV </w:t>
      </w:r>
      <w:r>
        <w:rPr>
          <w:rFonts w:ascii="Arial" w:hAnsi="Arial"/>
          <w:bCs/>
        </w:rPr>
        <w:t>of</w:t>
      </w:r>
      <w:r w:rsidRPr="003B6F9D">
        <w:rPr>
          <w:rFonts w:ascii="Arial" w:hAnsi="Arial"/>
          <w:bCs/>
        </w:rPr>
        <w:t xml:space="preserve"> </w:t>
      </w:r>
      <w:r>
        <w:rPr>
          <w:rFonts w:ascii="Arial" w:hAnsi="Arial"/>
          <w:bCs/>
        </w:rPr>
        <w:t>the right loaded tibiae in fasted fed mice</w:t>
      </w:r>
      <w:r w:rsidRPr="003B6F9D">
        <w:rPr>
          <w:rFonts w:ascii="Arial" w:hAnsi="Arial"/>
          <w:bCs/>
        </w:rPr>
        <w:t xml:space="preserve"> </w:t>
      </w:r>
      <w:r>
        <w:rPr>
          <w:rFonts w:ascii="Arial" w:hAnsi="Arial"/>
          <w:bCs/>
        </w:rPr>
        <w:t>(7.1</w:t>
      </w:r>
      <w:r w:rsidRPr="003B6F9D">
        <w:rPr>
          <w:rFonts w:ascii="Arial" w:eastAsia="MS Gothic" w:hAnsi="Arial" w:cs="Arial"/>
          <w:color w:val="000000"/>
        </w:rPr>
        <w:t>±</w:t>
      </w:r>
      <w:r w:rsidRPr="003B6F9D">
        <w:rPr>
          <w:rFonts w:ascii="Arial" w:hAnsi="Arial"/>
          <w:bCs/>
        </w:rPr>
        <w:t>0.5% v</w:t>
      </w:r>
      <w:r>
        <w:rPr>
          <w:rFonts w:ascii="Arial" w:hAnsi="Arial"/>
          <w:bCs/>
        </w:rPr>
        <w:t>ersus 5.1</w:t>
      </w:r>
      <w:r w:rsidRPr="003B6F9D">
        <w:rPr>
          <w:rFonts w:ascii="Arial" w:eastAsia="MS Gothic" w:hAnsi="Arial" w:cs="Arial"/>
          <w:color w:val="000000"/>
        </w:rPr>
        <w:t>±</w:t>
      </w:r>
      <w:r>
        <w:rPr>
          <w:rFonts w:ascii="Arial" w:hAnsi="Arial"/>
          <w:bCs/>
        </w:rPr>
        <w:t>0.4%, p&gt;0.05)</w:t>
      </w:r>
      <w:r w:rsidRPr="003B6F9D">
        <w:rPr>
          <w:rFonts w:ascii="Arial" w:hAnsi="Arial"/>
          <w:bCs/>
        </w:rPr>
        <w:t xml:space="preserve"> </w:t>
      </w:r>
      <w:proofErr w:type="gramStart"/>
      <w:r w:rsidR="00EA4E96">
        <w:rPr>
          <w:rFonts w:ascii="Arial" w:hAnsi="Arial"/>
          <w:bCs/>
        </w:rPr>
        <w:t>was</w:t>
      </w:r>
      <w:proofErr w:type="gramEnd"/>
      <w:r w:rsidR="00EA4E96">
        <w:rPr>
          <w:rFonts w:ascii="Arial" w:hAnsi="Arial"/>
          <w:bCs/>
        </w:rPr>
        <w:t xml:space="preserve"> not significantly increased</w:t>
      </w:r>
      <w:r>
        <w:rPr>
          <w:rFonts w:ascii="Arial" w:hAnsi="Arial"/>
          <w:bCs/>
        </w:rPr>
        <w:t xml:space="preserve"> </w:t>
      </w:r>
      <w:r w:rsidRPr="003B6F9D">
        <w:rPr>
          <w:rFonts w:ascii="Arial" w:hAnsi="Arial"/>
          <w:bCs/>
        </w:rPr>
        <w:t xml:space="preserve">compared with </w:t>
      </w:r>
      <w:r>
        <w:rPr>
          <w:rFonts w:ascii="Arial" w:hAnsi="Arial"/>
          <w:bCs/>
        </w:rPr>
        <w:t xml:space="preserve">ad-lib </w:t>
      </w:r>
      <w:r w:rsidRPr="003B6F9D">
        <w:rPr>
          <w:rFonts w:ascii="Arial" w:hAnsi="Arial"/>
          <w:bCs/>
        </w:rPr>
        <w:t xml:space="preserve">fed </w:t>
      </w:r>
      <w:r>
        <w:rPr>
          <w:rFonts w:ascii="Arial" w:hAnsi="Arial"/>
          <w:bCs/>
        </w:rPr>
        <w:t>mice</w:t>
      </w:r>
      <w:r w:rsidRPr="003B6F9D">
        <w:rPr>
          <w:rFonts w:ascii="Arial" w:hAnsi="Arial"/>
          <w:bCs/>
        </w:rPr>
        <w:t xml:space="preserve"> </w:t>
      </w:r>
      <w:r>
        <w:rPr>
          <w:rFonts w:ascii="Arial" w:hAnsi="Arial"/>
          <w:bCs/>
        </w:rPr>
        <w:t>(7.7</w:t>
      </w:r>
      <w:r w:rsidRPr="003B6F9D">
        <w:rPr>
          <w:rFonts w:ascii="Arial" w:eastAsia="MS Gothic" w:hAnsi="Arial" w:cs="Arial"/>
          <w:color w:val="000000"/>
        </w:rPr>
        <w:t>±</w:t>
      </w:r>
      <w:r>
        <w:rPr>
          <w:rFonts w:ascii="Arial" w:hAnsi="Arial"/>
          <w:bCs/>
        </w:rPr>
        <w:t>0.8</w:t>
      </w:r>
      <w:r w:rsidRPr="003B6F9D">
        <w:rPr>
          <w:rFonts w:ascii="Arial" w:hAnsi="Arial"/>
          <w:bCs/>
        </w:rPr>
        <w:t>% v</w:t>
      </w:r>
      <w:r>
        <w:rPr>
          <w:rFonts w:ascii="Arial" w:hAnsi="Arial"/>
          <w:bCs/>
        </w:rPr>
        <w:t>ersus 6.3</w:t>
      </w:r>
      <w:r w:rsidRPr="003B6F9D">
        <w:rPr>
          <w:rFonts w:ascii="Arial" w:eastAsia="MS Gothic" w:hAnsi="Arial" w:cs="Arial"/>
          <w:color w:val="000000"/>
        </w:rPr>
        <w:t>±</w:t>
      </w:r>
      <w:r>
        <w:rPr>
          <w:rFonts w:ascii="Arial" w:hAnsi="Arial"/>
          <w:bCs/>
        </w:rPr>
        <w:t xml:space="preserve">0.6%, p&gt;0.05) </w:t>
      </w:r>
      <w:r w:rsidR="0058306D">
        <w:rPr>
          <w:rFonts w:ascii="Arial" w:hAnsi="Arial" w:cs="Arial"/>
        </w:rPr>
        <w:t xml:space="preserve">(Figure </w:t>
      </w:r>
      <w:r w:rsidR="002138F2">
        <w:rPr>
          <w:rFonts w:ascii="Arial" w:hAnsi="Arial" w:cs="Arial"/>
        </w:rPr>
        <w:t>49</w:t>
      </w:r>
      <w:r>
        <w:rPr>
          <w:rFonts w:ascii="Arial" w:hAnsi="Arial" w:cs="Arial"/>
        </w:rPr>
        <w:t>A)</w:t>
      </w:r>
      <w:r>
        <w:rPr>
          <w:rFonts w:ascii="Arial" w:hAnsi="Arial"/>
          <w:bCs/>
        </w:rPr>
        <w:t xml:space="preserve">. </w:t>
      </w:r>
    </w:p>
    <w:p w14:paraId="4C4AC4D6" w14:textId="77777777" w:rsidR="001942FC" w:rsidRDefault="001942FC" w:rsidP="00814A1C">
      <w:pPr>
        <w:spacing w:line="480" w:lineRule="auto"/>
        <w:jc w:val="both"/>
        <w:rPr>
          <w:rFonts w:ascii="Arial" w:hAnsi="Arial" w:cs="Arial"/>
          <w:b/>
        </w:rPr>
      </w:pPr>
    </w:p>
    <w:p w14:paraId="6B6E1191" w14:textId="77777777" w:rsidR="00814A1C" w:rsidRDefault="00814A1C" w:rsidP="00814A1C">
      <w:pPr>
        <w:spacing w:line="480" w:lineRule="auto"/>
        <w:jc w:val="both"/>
        <w:rPr>
          <w:rFonts w:ascii="Arial" w:hAnsi="Arial" w:cs="Arial"/>
          <w:b/>
        </w:rPr>
      </w:pPr>
      <w:r>
        <w:rPr>
          <w:rFonts w:ascii="Arial" w:hAnsi="Arial" w:cs="Arial"/>
          <w:b/>
        </w:rPr>
        <w:t xml:space="preserve">Trabecular number (Tb.N) </w:t>
      </w:r>
    </w:p>
    <w:p w14:paraId="78A4E0FB" w14:textId="77777777" w:rsidR="00814A1C" w:rsidRPr="006A6D24" w:rsidRDefault="00814A1C" w:rsidP="00814A1C">
      <w:pPr>
        <w:spacing w:line="480" w:lineRule="auto"/>
        <w:jc w:val="both"/>
        <w:rPr>
          <w:rFonts w:ascii="Arial" w:hAnsi="Arial" w:cs="Arial"/>
        </w:rPr>
      </w:pPr>
      <w:r w:rsidRPr="003A5622">
        <w:rPr>
          <w:rFonts w:ascii="Arial" w:hAnsi="Arial" w:cs="Arial"/>
        </w:rPr>
        <w:t xml:space="preserve">Trabecular number response to mechanical loading </w:t>
      </w:r>
      <w:r>
        <w:rPr>
          <w:rFonts w:ascii="Arial" w:hAnsi="Arial" w:cs="Arial"/>
        </w:rPr>
        <w:t xml:space="preserve">reflected dramatic reduction of trabecular numbers with ageing. </w:t>
      </w:r>
      <w:r w:rsidRPr="004A4965">
        <w:rPr>
          <w:rFonts w:ascii="Arial" w:hAnsi="Arial"/>
          <w:bCs/>
        </w:rPr>
        <w:t xml:space="preserve">There was increase </w:t>
      </w:r>
      <w:r>
        <w:rPr>
          <w:rFonts w:ascii="Arial" w:hAnsi="Arial"/>
          <w:bCs/>
        </w:rPr>
        <w:t>in</w:t>
      </w:r>
      <w:r w:rsidRPr="004A4965">
        <w:rPr>
          <w:rFonts w:ascii="Arial" w:hAnsi="Arial"/>
          <w:bCs/>
        </w:rPr>
        <w:t xml:space="preserve"> Tb.N of loaded right tibiae </w:t>
      </w:r>
      <w:r>
        <w:rPr>
          <w:rFonts w:ascii="Arial" w:hAnsi="Arial"/>
          <w:bCs/>
        </w:rPr>
        <w:t>compared with</w:t>
      </w:r>
      <w:r w:rsidRPr="004A4965">
        <w:rPr>
          <w:rFonts w:ascii="Arial" w:hAnsi="Arial"/>
          <w:bCs/>
        </w:rPr>
        <w:t xml:space="preserve"> the non-loaded left controls in both groups </w:t>
      </w:r>
      <w:r>
        <w:rPr>
          <w:rFonts w:ascii="Arial" w:hAnsi="Arial"/>
          <w:bCs/>
        </w:rPr>
        <w:t>(fasted fed: 1.8</w:t>
      </w:r>
      <w:r>
        <w:rPr>
          <w:rFonts w:ascii="Arial" w:eastAsia="MS Gothic" w:hAnsi="Arial" w:cs="Arial"/>
          <w:color w:val="000000"/>
        </w:rPr>
        <w:t>±0.2</w:t>
      </w:r>
      <w:r w:rsidRPr="004A4965">
        <w:rPr>
          <w:rFonts w:ascii="Arial" w:eastAsia="MS Gothic" w:hAnsi="Arial" w:cs="Arial"/>
          <w:color w:val="000000"/>
        </w:rPr>
        <w:t>mm</w:t>
      </w:r>
      <w:r w:rsidRPr="004A4965">
        <w:rPr>
          <w:rFonts w:ascii="Arial" w:eastAsia="MS Gothic" w:hAnsi="Arial" w:cs="Arial"/>
          <w:color w:val="000000"/>
          <w:vertAlign w:val="superscript"/>
        </w:rPr>
        <w:t xml:space="preserve">-1 </w:t>
      </w:r>
      <w:r>
        <w:rPr>
          <w:rFonts w:ascii="Arial" w:eastAsia="MS Gothic" w:hAnsi="Arial" w:cs="Arial"/>
          <w:color w:val="000000"/>
        </w:rPr>
        <w:t>versus 1.2±0.1</w:t>
      </w:r>
      <w:r w:rsidRPr="004A4965">
        <w:rPr>
          <w:rFonts w:ascii="Arial" w:eastAsia="MS Gothic" w:hAnsi="Arial" w:cs="Arial"/>
          <w:color w:val="000000"/>
        </w:rPr>
        <w:t>mm</w:t>
      </w:r>
      <w:r w:rsidRPr="004A4965">
        <w:rPr>
          <w:rFonts w:ascii="Arial" w:eastAsia="MS Gothic" w:hAnsi="Arial" w:cs="Arial"/>
          <w:color w:val="000000"/>
          <w:vertAlign w:val="superscript"/>
        </w:rPr>
        <w:t>-1</w:t>
      </w:r>
      <w:r w:rsidRPr="004A4965">
        <w:rPr>
          <w:rFonts w:ascii="Arial" w:eastAsia="MS Gothic" w:hAnsi="Arial" w:cs="Arial"/>
          <w:color w:val="000000"/>
        </w:rPr>
        <w:t xml:space="preserve">, </w:t>
      </w:r>
      <w:r>
        <w:rPr>
          <w:rFonts w:ascii="Arial" w:hAnsi="Arial"/>
          <w:bCs/>
        </w:rPr>
        <w:t>p&gt;0.05; fed: 1.9</w:t>
      </w:r>
      <w:r w:rsidRPr="004A4965">
        <w:rPr>
          <w:rFonts w:ascii="Arial" w:eastAsia="MS Gothic" w:hAnsi="Arial" w:cs="Arial"/>
          <w:color w:val="000000"/>
        </w:rPr>
        <w:t>±0.2mm</w:t>
      </w:r>
      <w:r w:rsidRPr="004A4965">
        <w:rPr>
          <w:rFonts w:ascii="Arial" w:eastAsia="MS Gothic" w:hAnsi="Arial" w:cs="Arial"/>
          <w:color w:val="000000"/>
          <w:vertAlign w:val="superscript"/>
        </w:rPr>
        <w:t xml:space="preserve">-1 </w:t>
      </w:r>
      <w:r w:rsidRPr="004A4965">
        <w:rPr>
          <w:rFonts w:ascii="Arial" w:eastAsia="MS Gothic" w:hAnsi="Arial" w:cs="Arial"/>
          <w:color w:val="000000"/>
        </w:rPr>
        <w:t>versus</w:t>
      </w:r>
      <w:r>
        <w:rPr>
          <w:rFonts w:ascii="Arial" w:hAnsi="Arial"/>
          <w:bCs/>
        </w:rPr>
        <w:t xml:space="preserve"> 1.6</w:t>
      </w:r>
      <w:r w:rsidRPr="004A4965">
        <w:rPr>
          <w:rFonts w:ascii="Arial" w:eastAsia="MS Gothic" w:hAnsi="Arial" w:cs="Arial"/>
          <w:color w:val="000000"/>
        </w:rPr>
        <w:t>±0.2mm</w:t>
      </w:r>
      <w:r w:rsidRPr="004A4965">
        <w:rPr>
          <w:rFonts w:ascii="Arial" w:eastAsia="MS Gothic" w:hAnsi="Arial" w:cs="Arial"/>
          <w:color w:val="000000"/>
          <w:vertAlign w:val="superscript"/>
        </w:rPr>
        <w:t>-1</w:t>
      </w:r>
      <w:r>
        <w:rPr>
          <w:rFonts w:ascii="Arial" w:hAnsi="Arial"/>
          <w:bCs/>
        </w:rPr>
        <w:t xml:space="preserve">, p&gt;0.05). </w:t>
      </w:r>
      <w:r w:rsidRPr="008E776B">
        <w:rPr>
          <w:rFonts w:ascii="Arial" w:hAnsi="Arial"/>
          <w:bCs/>
        </w:rPr>
        <w:t>There were no significant differences in Tb.N between the loaded tibiae of fed mice and those fed for 2 hours follo</w:t>
      </w:r>
      <w:r w:rsidR="002138F2">
        <w:rPr>
          <w:rFonts w:ascii="Arial" w:hAnsi="Arial"/>
          <w:bCs/>
        </w:rPr>
        <w:t>wing overnight fasting (Figure 49</w:t>
      </w:r>
      <w:r w:rsidRPr="008E776B">
        <w:rPr>
          <w:rFonts w:ascii="Arial" w:hAnsi="Arial"/>
          <w:bCs/>
        </w:rPr>
        <w:t xml:space="preserve">B). </w:t>
      </w:r>
    </w:p>
    <w:p w14:paraId="68580062" w14:textId="77777777" w:rsidR="00814A1C" w:rsidRPr="004A4965" w:rsidRDefault="00814A1C" w:rsidP="00814A1C">
      <w:pPr>
        <w:spacing w:line="480" w:lineRule="auto"/>
        <w:jc w:val="both"/>
        <w:rPr>
          <w:rFonts w:ascii="Arial" w:hAnsi="Arial"/>
          <w:bCs/>
        </w:rPr>
      </w:pPr>
    </w:p>
    <w:p w14:paraId="13138B8B" w14:textId="77777777" w:rsidR="00814A1C" w:rsidRDefault="00814A1C" w:rsidP="00814A1C">
      <w:pPr>
        <w:spacing w:line="480" w:lineRule="auto"/>
        <w:jc w:val="both"/>
        <w:rPr>
          <w:rFonts w:ascii="Arial" w:hAnsi="Arial" w:cs="Arial"/>
          <w:b/>
        </w:rPr>
      </w:pPr>
      <w:r>
        <w:rPr>
          <w:rFonts w:ascii="Arial" w:hAnsi="Arial" w:cs="Arial"/>
          <w:b/>
        </w:rPr>
        <w:t xml:space="preserve">Trabecular pattern factor (Tb.Pf) </w:t>
      </w:r>
    </w:p>
    <w:p w14:paraId="6FDD0219" w14:textId="77777777" w:rsidR="00814A1C" w:rsidRPr="00BF6418" w:rsidRDefault="00814A1C" w:rsidP="00814A1C">
      <w:pPr>
        <w:spacing w:line="480" w:lineRule="auto"/>
        <w:jc w:val="both"/>
        <w:rPr>
          <w:rFonts w:ascii="Arial" w:hAnsi="Arial"/>
          <w:bCs/>
        </w:rPr>
      </w:pPr>
      <w:r>
        <w:rPr>
          <w:rFonts w:ascii="Arial" w:hAnsi="Arial" w:cs="Arial"/>
        </w:rPr>
        <w:t xml:space="preserve">One of the analysed trabecular parameters, which appeared to have significant mechanical loading induced changes, was the Tb.Pf. In aged ad-lib fed male mice, </w:t>
      </w:r>
      <w:r>
        <w:rPr>
          <w:rFonts w:ascii="Arial" w:hAnsi="Arial"/>
          <w:bCs/>
        </w:rPr>
        <w:t>Tb.Pf of the loaded right tibiae d</w:t>
      </w:r>
      <w:r w:rsidRPr="003B6F9D">
        <w:rPr>
          <w:rFonts w:ascii="Arial" w:hAnsi="Arial"/>
          <w:bCs/>
        </w:rPr>
        <w:t xml:space="preserve">ecreased </w:t>
      </w:r>
      <w:r>
        <w:rPr>
          <w:rFonts w:ascii="Arial" w:hAnsi="Arial"/>
          <w:bCs/>
        </w:rPr>
        <w:t>by 96% and 111% in fasted 2-hour fed aged mice compared with</w:t>
      </w:r>
      <w:r w:rsidRPr="003B6F9D">
        <w:rPr>
          <w:rFonts w:ascii="Arial" w:hAnsi="Arial"/>
          <w:bCs/>
        </w:rPr>
        <w:t xml:space="preserve"> the</w:t>
      </w:r>
      <w:r>
        <w:rPr>
          <w:rFonts w:ascii="Arial" w:hAnsi="Arial"/>
          <w:bCs/>
        </w:rPr>
        <w:t>ir</w:t>
      </w:r>
      <w:r w:rsidRPr="003B6F9D">
        <w:rPr>
          <w:rFonts w:ascii="Arial" w:hAnsi="Arial"/>
          <w:bCs/>
        </w:rPr>
        <w:t xml:space="preserve"> left non-loaded </w:t>
      </w:r>
      <w:r>
        <w:rPr>
          <w:rFonts w:ascii="Arial" w:hAnsi="Arial"/>
          <w:bCs/>
        </w:rPr>
        <w:t xml:space="preserve">controls, however there were no significant changes </w:t>
      </w:r>
      <w:r w:rsidR="007E4FE6">
        <w:rPr>
          <w:rFonts w:ascii="Arial" w:hAnsi="Arial"/>
          <w:bCs/>
        </w:rPr>
        <w:t>between the two groups (Figure 49</w:t>
      </w:r>
      <w:r>
        <w:rPr>
          <w:rFonts w:ascii="Arial" w:hAnsi="Arial"/>
          <w:bCs/>
        </w:rPr>
        <w:t>C)</w:t>
      </w:r>
      <w:r w:rsidRPr="003B6F9D">
        <w:rPr>
          <w:rFonts w:ascii="Arial" w:hAnsi="Arial"/>
          <w:bCs/>
        </w:rPr>
        <w:t>.</w:t>
      </w:r>
      <w:r>
        <w:rPr>
          <w:rFonts w:ascii="Arial" w:hAnsi="Arial" w:cs="Arial"/>
        </w:rPr>
        <w:t xml:space="preserve"> </w:t>
      </w:r>
      <w:r w:rsidRPr="003B6F9D">
        <w:rPr>
          <w:rFonts w:ascii="Arial" w:hAnsi="Arial"/>
          <w:bCs/>
        </w:rPr>
        <w:t xml:space="preserve">Tb.Pf </w:t>
      </w:r>
      <w:r>
        <w:rPr>
          <w:rFonts w:ascii="Arial" w:hAnsi="Arial"/>
          <w:bCs/>
        </w:rPr>
        <w:t>of</w:t>
      </w:r>
      <w:r w:rsidRPr="003B6F9D">
        <w:rPr>
          <w:rFonts w:ascii="Arial" w:hAnsi="Arial"/>
          <w:bCs/>
        </w:rPr>
        <w:t xml:space="preserve"> the loaded right tibiae </w:t>
      </w:r>
      <w:r>
        <w:rPr>
          <w:rFonts w:ascii="Arial" w:hAnsi="Arial"/>
          <w:bCs/>
        </w:rPr>
        <w:t xml:space="preserve">significantly </w:t>
      </w:r>
      <w:r w:rsidRPr="003B6F9D">
        <w:rPr>
          <w:rFonts w:ascii="Arial" w:hAnsi="Arial"/>
          <w:bCs/>
        </w:rPr>
        <w:t xml:space="preserve">decreased in </w:t>
      </w:r>
      <w:r>
        <w:rPr>
          <w:rFonts w:ascii="Arial" w:hAnsi="Arial"/>
          <w:bCs/>
        </w:rPr>
        <w:t xml:space="preserve">both fasted 2-hour </w:t>
      </w:r>
      <w:r w:rsidRPr="003B6F9D">
        <w:rPr>
          <w:rFonts w:ascii="Arial" w:hAnsi="Arial"/>
          <w:bCs/>
        </w:rPr>
        <w:t xml:space="preserve">fed and </w:t>
      </w:r>
      <w:r>
        <w:rPr>
          <w:rFonts w:ascii="Arial" w:hAnsi="Arial"/>
          <w:bCs/>
        </w:rPr>
        <w:t xml:space="preserve">ad-lib </w:t>
      </w:r>
      <w:r w:rsidRPr="003B6F9D">
        <w:rPr>
          <w:rFonts w:ascii="Arial" w:hAnsi="Arial"/>
          <w:bCs/>
        </w:rPr>
        <w:t xml:space="preserve">fed groups compared to the left non-loaded </w:t>
      </w:r>
      <w:r>
        <w:rPr>
          <w:rFonts w:ascii="Arial" w:hAnsi="Arial"/>
          <w:bCs/>
        </w:rPr>
        <w:t>t</w:t>
      </w:r>
      <w:r w:rsidRPr="003B6F9D">
        <w:rPr>
          <w:rFonts w:ascii="Arial" w:hAnsi="Arial"/>
          <w:bCs/>
        </w:rPr>
        <w:t>ibiae</w:t>
      </w:r>
      <w:r>
        <w:rPr>
          <w:rFonts w:ascii="Arial" w:hAnsi="Arial"/>
          <w:bCs/>
        </w:rPr>
        <w:t xml:space="preserve"> (-2.3</w:t>
      </w:r>
      <w:r w:rsidRPr="003B6F9D">
        <w:rPr>
          <w:rFonts w:ascii="Arial" w:eastAsia="MS Gothic" w:hAnsi="Arial" w:cs="Arial"/>
          <w:color w:val="000000"/>
        </w:rPr>
        <w:t>±</w:t>
      </w:r>
      <w:r>
        <w:rPr>
          <w:rFonts w:ascii="Arial" w:eastAsia="MS Gothic" w:hAnsi="Arial" w:cs="Arial"/>
          <w:color w:val="000000"/>
        </w:rPr>
        <w:t>4.3</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vertAlign w:val="superscript"/>
        </w:rPr>
        <w:t xml:space="preserve"> </w:t>
      </w:r>
      <w:r w:rsidRPr="003B6F9D">
        <w:rPr>
          <w:rFonts w:ascii="Arial" w:eastAsia="MS Gothic" w:hAnsi="Arial" w:cs="Arial"/>
          <w:color w:val="000000"/>
        </w:rPr>
        <w:t>v</w:t>
      </w:r>
      <w:r>
        <w:rPr>
          <w:rFonts w:ascii="Arial" w:eastAsia="MS Gothic" w:hAnsi="Arial" w:cs="Arial"/>
          <w:color w:val="000000"/>
        </w:rPr>
        <w:t>ersus 20.8±3.3</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hAnsi="Arial"/>
          <w:bCs/>
        </w:rPr>
        <w:t>, p&lt;0.001 and 0.7</w:t>
      </w:r>
      <w:r>
        <w:rPr>
          <w:rFonts w:ascii="Arial" w:eastAsia="MS Gothic" w:hAnsi="Arial" w:cs="Arial"/>
          <w:color w:val="000000"/>
        </w:rPr>
        <w:t>±3.7</w:t>
      </w:r>
      <w:r w:rsidRPr="003B6F9D">
        <w:rPr>
          <w:rFonts w:ascii="Arial" w:eastAsia="MS Gothic" w:hAnsi="Arial" w:cs="Arial"/>
          <w:color w:val="000000"/>
        </w:rPr>
        <w:t>mm</w:t>
      </w:r>
      <w:r w:rsidRPr="003B6F9D">
        <w:rPr>
          <w:rFonts w:ascii="Arial" w:eastAsia="MS Gothic" w:hAnsi="Arial" w:cs="Arial"/>
          <w:color w:val="000000"/>
          <w:vertAlign w:val="superscript"/>
        </w:rPr>
        <w:t>-1</w:t>
      </w:r>
      <w:r>
        <w:rPr>
          <w:rFonts w:ascii="Arial" w:eastAsia="MS Gothic" w:hAnsi="Arial" w:cs="Arial"/>
          <w:color w:val="000000"/>
          <w:vertAlign w:val="superscript"/>
        </w:rPr>
        <w:t xml:space="preserve"> </w:t>
      </w:r>
      <w:r w:rsidRPr="003B6F9D">
        <w:rPr>
          <w:rFonts w:ascii="Arial" w:eastAsia="MS Gothic" w:hAnsi="Arial" w:cs="Arial"/>
          <w:color w:val="000000"/>
        </w:rPr>
        <w:t>v</w:t>
      </w:r>
      <w:r>
        <w:rPr>
          <w:rFonts w:ascii="Arial" w:eastAsia="MS Gothic" w:hAnsi="Arial" w:cs="Arial"/>
          <w:color w:val="000000"/>
        </w:rPr>
        <w:t>ersus 17.3±1.5</w:t>
      </w:r>
      <w:r w:rsidRPr="003B6F9D">
        <w:rPr>
          <w:rFonts w:ascii="Arial" w:eastAsia="MS Gothic" w:hAnsi="Arial" w:cs="Arial"/>
          <w:color w:val="000000"/>
        </w:rPr>
        <w:t>mm</w:t>
      </w:r>
      <w:r w:rsidRPr="003B6F9D">
        <w:rPr>
          <w:rFonts w:ascii="Arial" w:eastAsia="MS Gothic" w:hAnsi="Arial" w:cs="Arial"/>
          <w:color w:val="000000"/>
          <w:vertAlign w:val="superscript"/>
        </w:rPr>
        <w:t>-1</w:t>
      </w:r>
      <w:r w:rsidR="007E4FE6">
        <w:rPr>
          <w:rFonts w:ascii="Arial" w:hAnsi="Arial"/>
          <w:bCs/>
        </w:rPr>
        <w:t xml:space="preserve"> p&lt;0.01 respectively) (Figure 49</w:t>
      </w:r>
      <w:r>
        <w:rPr>
          <w:rFonts w:ascii="Arial" w:hAnsi="Arial"/>
          <w:bCs/>
        </w:rPr>
        <w:t>C).</w:t>
      </w:r>
    </w:p>
    <w:p w14:paraId="0CA6788A" w14:textId="77777777" w:rsidR="00814A1C" w:rsidRDefault="00814A1C" w:rsidP="00814A1C">
      <w:pPr>
        <w:spacing w:line="480" w:lineRule="auto"/>
        <w:jc w:val="both"/>
        <w:rPr>
          <w:rFonts w:ascii="Arial" w:hAnsi="Arial" w:cs="Arial"/>
          <w:i/>
          <w:sz w:val="22"/>
          <w:szCs w:val="22"/>
        </w:rPr>
      </w:pPr>
    </w:p>
    <w:p w14:paraId="696AF88F" w14:textId="77777777" w:rsidR="00814A1C" w:rsidRDefault="00814A1C" w:rsidP="00814A1C">
      <w:pPr>
        <w:spacing w:line="480" w:lineRule="auto"/>
        <w:jc w:val="both"/>
        <w:rPr>
          <w:rFonts w:ascii="Arial" w:hAnsi="Arial" w:cs="Arial"/>
          <w:i/>
          <w:sz w:val="22"/>
          <w:szCs w:val="22"/>
        </w:rPr>
      </w:pPr>
      <w:r>
        <w:rPr>
          <w:rFonts w:ascii="Arial" w:hAnsi="Arial" w:cs="Arial"/>
          <w:b/>
        </w:rPr>
        <w:lastRenderedPageBreak/>
        <w:t>Trabecular thickness (Tb.Th)</w:t>
      </w:r>
    </w:p>
    <w:p w14:paraId="47CE6927" w14:textId="77777777" w:rsidR="00814A1C" w:rsidRPr="00CB0B46" w:rsidRDefault="00814A1C" w:rsidP="00814A1C">
      <w:pPr>
        <w:spacing w:line="480" w:lineRule="auto"/>
        <w:jc w:val="both"/>
        <w:rPr>
          <w:rFonts w:ascii="Arial" w:hAnsi="Arial" w:cs="Arial"/>
          <w:i/>
          <w:sz w:val="22"/>
          <w:szCs w:val="22"/>
        </w:rPr>
      </w:pPr>
      <w:r w:rsidRPr="00BB77BB">
        <w:rPr>
          <w:rFonts w:ascii="Arial" w:hAnsi="Arial" w:cs="Arial"/>
        </w:rPr>
        <w:t xml:space="preserve">The increase in Tb.Th was reduced in response to the mechanical loading </w:t>
      </w:r>
      <w:r>
        <w:rPr>
          <w:rFonts w:ascii="Arial" w:hAnsi="Arial" w:cs="Arial"/>
        </w:rPr>
        <w:t xml:space="preserve">in aged male mice. </w:t>
      </w:r>
      <w:r>
        <w:rPr>
          <w:rFonts w:ascii="Arial" w:hAnsi="Arial"/>
          <w:bCs/>
        </w:rPr>
        <w:t>Tb.Th of the loaded right tibiae compared with the non-loaded left tibiae was unchanged in</w:t>
      </w:r>
      <w:r w:rsidRPr="003F14B4">
        <w:rPr>
          <w:rFonts w:ascii="Arial" w:hAnsi="Arial"/>
          <w:bCs/>
        </w:rPr>
        <w:t xml:space="preserve"> fed mice </w:t>
      </w:r>
      <w:r>
        <w:rPr>
          <w:rFonts w:ascii="Arial" w:hAnsi="Arial"/>
          <w:bCs/>
        </w:rPr>
        <w:t>(</w:t>
      </w:r>
      <w:r w:rsidRPr="003F14B4">
        <w:rPr>
          <w:rFonts w:ascii="Arial" w:hAnsi="Arial"/>
          <w:bCs/>
        </w:rPr>
        <w:t>0.0</w:t>
      </w:r>
      <w:r>
        <w:rPr>
          <w:rFonts w:ascii="Arial" w:hAnsi="Arial"/>
          <w:bCs/>
        </w:rPr>
        <w:t>4</w:t>
      </w:r>
      <w:r>
        <w:rPr>
          <w:rFonts w:ascii="Arial" w:eastAsia="MS Gothic" w:hAnsi="Arial" w:cs="Arial"/>
          <w:color w:val="000000"/>
        </w:rPr>
        <w:t>±0.001</w:t>
      </w:r>
      <w:r w:rsidRPr="003F14B4">
        <w:rPr>
          <w:rFonts w:ascii="Arial" w:eastAsia="MS Gothic" w:hAnsi="Arial" w:cs="Arial"/>
          <w:color w:val="000000"/>
        </w:rPr>
        <w:t>mm</w:t>
      </w:r>
      <w:r>
        <w:rPr>
          <w:rFonts w:ascii="Arial" w:eastAsia="MS Gothic" w:hAnsi="Arial" w:cs="Arial"/>
          <w:color w:val="000000"/>
        </w:rPr>
        <w:t xml:space="preserve"> versus 0.04mm±0.001mm, p&gt;0.05) and in fasted </w:t>
      </w:r>
      <w:r w:rsidRPr="003F14B4">
        <w:rPr>
          <w:rFonts w:ascii="Arial" w:eastAsia="MS Gothic" w:hAnsi="Arial" w:cs="Arial"/>
          <w:color w:val="000000"/>
        </w:rPr>
        <w:t>fe</w:t>
      </w:r>
      <w:r>
        <w:rPr>
          <w:rFonts w:ascii="Arial" w:eastAsia="MS Gothic" w:hAnsi="Arial" w:cs="Arial"/>
          <w:color w:val="000000"/>
        </w:rPr>
        <w:t>d mice (0.039±0.002mm versus 0.04±0.002mm, p&gt;0.05</w:t>
      </w:r>
      <w:r w:rsidR="00640F4B">
        <w:rPr>
          <w:rFonts w:ascii="Arial" w:eastAsia="MS Gothic" w:hAnsi="Arial" w:cs="Arial"/>
          <w:color w:val="000000"/>
        </w:rPr>
        <w:t>) (Figure 49</w:t>
      </w:r>
      <w:r w:rsidRPr="003F14B4">
        <w:rPr>
          <w:rFonts w:ascii="Arial" w:eastAsia="MS Gothic" w:hAnsi="Arial" w:cs="Arial"/>
          <w:color w:val="000000"/>
        </w:rPr>
        <w:t>D).</w:t>
      </w:r>
      <w:r w:rsidRPr="007D2E06">
        <w:rPr>
          <w:rFonts w:ascii="Arial" w:hAnsi="Arial"/>
          <w:bCs/>
        </w:rPr>
        <w:t xml:space="preserve"> </w:t>
      </w:r>
      <w:r w:rsidRPr="003B6F9D">
        <w:rPr>
          <w:rFonts w:ascii="Arial" w:hAnsi="Arial"/>
          <w:bCs/>
        </w:rPr>
        <w:t xml:space="preserve">There were no significant differences </w:t>
      </w:r>
      <w:r>
        <w:rPr>
          <w:rFonts w:ascii="Arial" w:hAnsi="Arial"/>
          <w:bCs/>
        </w:rPr>
        <w:t xml:space="preserve">in Tb.Th </w:t>
      </w:r>
      <w:r w:rsidRPr="003B6F9D">
        <w:rPr>
          <w:rFonts w:ascii="Arial" w:hAnsi="Arial"/>
          <w:bCs/>
        </w:rPr>
        <w:t xml:space="preserve">between the </w:t>
      </w:r>
      <w:r>
        <w:rPr>
          <w:rFonts w:ascii="Arial" w:hAnsi="Arial"/>
          <w:bCs/>
        </w:rPr>
        <w:t xml:space="preserve">bones of ad-lib </w:t>
      </w:r>
      <w:r w:rsidRPr="003B6F9D">
        <w:rPr>
          <w:rFonts w:ascii="Arial" w:hAnsi="Arial"/>
          <w:bCs/>
        </w:rPr>
        <w:t xml:space="preserve">fed </w:t>
      </w:r>
      <w:r>
        <w:rPr>
          <w:rFonts w:ascii="Arial" w:hAnsi="Arial"/>
          <w:bCs/>
        </w:rPr>
        <w:t xml:space="preserve">aged </w:t>
      </w:r>
      <w:r w:rsidRPr="003B6F9D">
        <w:rPr>
          <w:rFonts w:ascii="Arial" w:hAnsi="Arial"/>
          <w:bCs/>
        </w:rPr>
        <w:t xml:space="preserve">mice and those fed </w:t>
      </w:r>
      <w:r>
        <w:rPr>
          <w:rFonts w:ascii="Arial" w:hAnsi="Arial"/>
          <w:bCs/>
        </w:rPr>
        <w:t xml:space="preserve">for 2 hours </w:t>
      </w:r>
      <w:r w:rsidRPr="003B6F9D">
        <w:rPr>
          <w:rFonts w:ascii="Arial" w:hAnsi="Arial"/>
          <w:bCs/>
        </w:rPr>
        <w:t xml:space="preserve">following overnight fasting </w:t>
      </w:r>
      <w:r w:rsidR="00640F4B">
        <w:rPr>
          <w:rFonts w:ascii="Arial" w:hAnsi="Arial"/>
          <w:bCs/>
        </w:rPr>
        <w:t>(Figure 49</w:t>
      </w:r>
      <w:r>
        <w:rPr>
          <w:rFonts w:ascii="Arial" w:hAnsi="Arial"/>
          <w:bCs/>
        </w:rPr>
        <w:t>D).</w:t>
      </w:r>
    </w:p>
    <w:p w14:paraId="54A4E9E3" w14:textId="77777777" w:rsidR="00814A1C" w:rsidRDefault="00814A1C" w:rsidP="00814A1C">
      <w:pPr>
        <w:rPr>
          <w:rFonts w:ascii="Arial" w:hAnsi="Arial" w:cs="Arial"/>
          <w:i/>
          <w:sz w:val="22"/>
          <w:szCs w:val="22"/>
        </w:rPr>
      </w:pPr>
    </w:p>
    <w:p w14:paraId="55AD98CF" w14:textId="77777777" w:rsidR="00814A1C" w:rsidRDefault="00814A1C" w:rsidP="00814A1C">
      <w:pPr>
        <w:rPr>
          <w:rFonts w:ascii="Arial" w:hAnsi="Arial"/>
        </w:rPr>
      </w:pPr>
    </w:p>
    <w:p w14:paraId="7FCC13E3" w14:textId="77777777" w:rsidR="00814A1C" w:rsidRDefault="00814A1C" w:rsidP="00814A1C">
      <w:pPr>
        <w:rPr>
          <w:rFonts w:ascii="Arial" w:hAnsi="Arial"/>
        </w:rPr>
      </w:pPr>
    </w:p>
    <w:p w14:paraId="5323F1BC" w14:textId="77777777" w:rsidR="001942FC" w:rsidRDefault="001942FC" w:rsidP="00814A1C">
      <w:pPr>
        <w:rPr>
          <w:rFonts w:ascii="Arial" w:hAnsi="Arial"/>
        </w:rPr>
      </w:pPr>
    </w:p>
    <w:p w14:paraId="24FDA652" w14:textId="77777777" w:rsidR="001942FC" w:rsidRPr="001942FC" w:rsidRDefault="001942FC" w:rsidP="001942FC">
      <w:pPr>
        <w:rPr>
          <w:rFonts w:ascii="Arial" w:hAnsi="Arial"/>
        </w:rPr>
      </w:pPr>
    </w:p>
    <w:p w14:paraId="31E25648" w14:textId="77777777" w:rsidR="001942FC" w:rsidRPr="001942FC" w:rsidRDefault="001942FC" w:rsidP="001942FC">
      <w:pPr>
        <w:rPr>
          <w:rFonts w:ascii="Arial" w:hAnsi="Arial"/>
        </w:rPr>
      </w:pPr>
    </w:p>
    <w:p w14:paraId="5314CE5D" w14:textId="77777777" w:rsidR="001942FC" w:rsidRPr="001942FC" w:rsidRDefault="001942FC" w:rsidP="001942FC">
      <w:pPr>
        <w:rPr>
          <w:rFonts w:ascii="Arial" w:hAnsi="Arial"/>
        </w:rPr>
      </w:pPr>
    </w:p>
    <w:p w14:paraId="603DA731" w14:textId="77777777" w:rsidR="001942FC" w:rsidRPr="001942FC" w:rsidRDefault="001942FC" w:rsidP="001942FC">
      <w:pPr>
        <w:rPr>
          <w:rFonts w:ascii="Arial" w:hAnsi="Arial"/>
        </w:rPr>
      </w:pPr>
    </w:p>
    <w:p w14:paraId="3843E1BC" w14:textId="77777777" w:rsidR="001942FC" w:rsidRPr="001942FC" w:rsidRDefault="001942FC" w:rsidP="001942FC">
      <w:pPr>
        <w:rPr>
          <w:rFonts w:ascii="Arial" w:hAnsi="Arial"/>
        </w:rPr>
      </w:pPr>
    </w:p>
    <w:p w14:paraId="1F37C875" w14:textId="77777777" w:rsidR="001942FC" w:rsidRPr="001942FC" w:rsidRDefault="001942FC" w:rsidP="001942FC">
      <w:pPr>
        <w:rPr>
          <w:rFonts w:ascii="Arial" w:hAnsi="Arial"/>
        </w:rPr>
      </w:pPr>
    </w:p>
    <w:p w14:paraId="3A11FE35" w14:textId="77777777" w:rsidR="001942FC" w:rsidRPr="001942FC" w:rsidRDefault="001942FC" w:rsidP="001942FC">
      <w:pPr>
        <w:rPr>
          <w:rFonts w:ascii="Arial" w:hAnsi="Arial"/>
        </w:rPr>
      </w:pPr>
    </w:p>
    <w:p w14:paraId="5F51F897" w14:textId="77777777" w:rsidR="001942FC" w:rsidRPr="001942FC" w:rsidRDefault="001942FC" w:rsidP="001942FC">
      <w:pPr>
        <w:rPr>
          <w:rFonts w:ascii="Arial" w:hAnsi="Arial"/>
        </w:rPr>
      </w:pPr>
    </w:p>
    <w:p w14:paraId="66BAA1AE" w14:textId="77777777" w:rsidR="001942FC" w:rsidRPr="001942FC" w:rsidRDefault="001942FC" w:rsidP="001942FC">
      <w:pPr>
        <w:rPr>
          <w:rFonts w:ascii="Arial" w:hAnsi="Arial"/>
        </w:rPr>
      </w:pPr>
    </w:p>
    <w:p w14:paraId="20D96E79" w14:textId="77777777" w:rsidR="001942FC" w:rsidRPr="001942FC" w:rsidRDefault="001942FC" w:rsidP="001942FC">
      <w:pPr>
        <w:rPr>
          <w:rFonts w:ascii="Arial" w:hAnsi="Arial"/>
        </w:rPr>
      </w:pPr>
    </w:p>
    <w:p w14:paraId="506FDEC3" w14:textId="77777777" w:rsidR="001942FC" w:rsidRPr="001942FC" w:rsidRDefault="001942FC" w:rsidP="001942FC">
      <w:pPr>
        <w:rPr>
          <w:rFonts w:ascii="Arial" w:hAnsi="Arial"/>
        </w:rPr>
      </w:pPr>
    </w:p>
    <w:p w14:paraId="6EC1D1A1" w14:textId="77777777" w:rsidR="001942FC" w:rsidRPr="001942FC" w:rsidRDefault="001942FC" w:rsidP="001942FC">
      <w:pPr>
        <w:rPr>
          <w:rFonts w:ascii="Arial" w:hAnsi="Arial"/>
        </w:rPr>
      </w:pPr>
    </w:p>
    <w:p w14:paraId="1C93F1D2" w14:textId="77777777" w:rsidR="001942FC" w:rsidRPr="001942FC" w:rsidRDefault="001942FC" w:rsidP="001942FC">
      <w:pPr>
        <w:rPr>
          <w:rFonts w:ascii="Arial" w:hAnsi="Arial"/>
        </w:rPr>
      </w:pPr>
    </w:p>
    <w:p w14:paraId="72B0C127" w14:textId="77777777" w:rsidR="001942FC" w:rsidRPr="001942FC" w:rsidRDefault="001942FC" w:rsidP="001942FC">
      <w:pPr>
        <w:rPr>
          <w:rFonts w:ascii="Arial" w:hAnsi="Arial"/>
        </w:rPr>
      </w:pPr>
    </w:p>
    <w:p w14:paraId="01EEFA65" w14:textId="77777777" w:rsidR="001942FC" w:rsidRPr="001942FC" w:rsidRDefault="001942FC" w:rsidP="001942FC">
      <w:pPr>
        <w:rPr>
          <w:rFonts w:ascii="Arial" w:hAnsi="Arial"/>
        </w:rPr>
      </w:pPr>
    </w:p>
    <w:p w14:paraId="4808A6AB" w14:textId="77777777" w:rsidR="001942FC" w:rsidRPr="001942FC" w:rsidRDefault="001942FC" w:rsidP="001942FC">
      <w:pPr>
        <w:rPr>
          <w:rFonts w:ascii="Arial" w:hAnsi="Arial"/>
        </w:rPr>
      </w:pPr>
    </w:p>
    <w:p w14:paraId="0EEECDE3" w14:textId="77777777" w:rsidR="001942FC" w:rsidRPr="001942FC" w:rsidRDefault="001942FC" w:rsidP="001942FC">
      <w:pPr>
        <w:rPr>
          <w:rFonts w:ascii="Arial" w:hAnsi="Arial"/>
        </w:rPr>
      </w:pPr>
    </w:p>
    <w:p w14:paraId="7A5D26D2" w14:textId="77777777" w:rsidR="001942FC" w:rsidRPr="001942FC" w:rsidRDefault="001942FC" w:rsidP="001942FC">
      <w:pPr>
        <w:rPr>
          <w:rFonts w:ascii="Arial" w:hAnsi="Arial"/>
        </w:rPr>
      </w:pPr>
    </w:p>
    <w:p w14:paraId="62A750AE" w14:textId="77777777" w:rsidR="001942FC" w:rsidRPr="001942FC" w:rsidRDefault="001942FC" w:rsidP="001942FC">
      <w:pPr>
        <w:rPr>
          <w:rFonts w:ascii="Arial" w:hAnsi="Arial"/>
        </w:rPr>
      </w:pPr>
    </w:p>
    <w:p w14:paraId="47CF0FEF" w14:textId="77777777" w:rsidR="001942FC" w:rsidRPr="001942FC" w:rsidRDefault="001942FC" w:rsidP="001942FC">
      <w:pPr>
        <w:rPr>
          <w:rFonts w:ascii="Arial" w:hAnsi="Arial"/>
        </w:rPr>
      </w:pPr>
    </w:p>
    <w:p w14:paraId="6DA30CCD" w14:textId="77777777" w:rsidR="001942FC" w:rsidRPr="001942FC" w:rsidRDefault="001942FC" w:rsidP="001942FC">
      <w:pPr>
        <w:rPr>
          <w:rFonts w:ascii="Arial" w:hAnsi="Arial"/>
        </w:rPr>
      </w:pPr>
    </w:p>
    <w:p w14:paraId="232F1188" w14:textId="77777777" w:rsidR="001942FC" w:rsidRPr="001942FC" w:rsidRDefault="001942FC" w:rsidP="001942FC">
      <w:pPr>
        <w:rPr>
          <w:rFonts w:ascii="Arial" w:hAnsi="Arial"/>
        </w:rPr>
      </w:pPr>
    </w:p>
    <w:p w14:paraId="5FC04806" w14:textId="77777777" w:rsidR="001942FC" w:rsidRPr="001942FC" w:rsidRDefault="001942FC" w:rsidP="001942FC">
      <w:pPr>
        <w:rPr>
          <w:rFonts w:ascii="Arial" w:hAnsi="Arial"/>
        </w:rPr>
      </w:pPr>
    </w:p>
    <w:p w14:paraId="6E98022B" w14:textId="77777777" w:rsidR="001942FC" w:rsidRPr="001942FC" w:rsidRDefault="001942FC" w:rsidP="001942FC">
      <w:pPr>
        <w:rPr>
          <w:rFonts w:ascii="Arial" w:hAnsi="Arial"/>
        </w:rPr>
      </w:pPr>
    </w:p>
    <w:p w14:paraId="58980C5A" w14:textId="77777777" w:rsidR="001942FC" w:rsidRPr="001942FC" w:rsidRDefault="001942FC" w:rsidP="001942FC">
      <w:pPr>
        <w:rPr>
          <w:rFonts w:ascii="Arial" w:hAnsi="Arial"/>
        </w:rPr>
      </w:pPr>
    </w:p>
    <w:p w14:paraId="5C1EC5B7" w14:textId="77777777" w:rsidR="001942FC" w:rsidRPr="001942FC" w:rsidRDefault="001942FC" w:rsidP="001942FC">
      <w:pPr>
        <w:rPr>
          <w:rFonts w:ascii="Arial" w:hAnsi="Arial"/>
        </w:rPr>
      </w:pPr>
    </w:p>
    <w:p w14:paraId="2393E256" w14:textId="77777777" w:rsidR="001942FC" w:rsidRPr="001942FC" w:rsidRDefault="001942FC" w:rsidP="001942FC">
      <w:pPr>
        <w:rPr>
          <w:rFonts w:ascii="Arial" w:hAnsi="Arial"/>
        </w:rPr>
      </w:pPr>
    </w:p>
    <w:p w14:paraId="7B5EC372" w14:textId="77777777" w:rsidR="001942FC" w:rsidRPr="001942FC" w:rsidRDefault="001942FC" w:rsidP="001942FC">
      <w:pPr>
        <w:rPr>
          <w:rFonts w:ascii="Arial" w:hAnsi="Arial"/>
        </w:rPr>
      </w:pPr>
    </w:p>
    <w:p w14:paraId="7D7CF42E" w14:textId="77777777" w:rsidR="001942FC" w:rsidRPr="001942FC" w:rsidRDefault="001942FC" w:rsidP="001942FC">
      <w:pPr>
        <w:rPr>
          <w:rFonts w:ascii="Arial" w:hAnsi="Arial"/>
        </w:rPr>
      </w:pPr>
    </w:p>
    <w:p w14:paraId="3DB08E02" w14:textId="77777777" w:rsidR="001942FC" w:rsidRPr="001942FC" w:rsidRDefault="001942FC" w:rsidP="001942FC">
      <w:pPr>
        <w:rPr>
          <w:rFonts w:ascii="Arial" w:hAnsi="Arial"/>
        </w:rPr>
      </w:pPr>
    </w:p>
    <w:p w14:paraId="3944C1F6" w14:textId="77777777" w:rsidR="001942FC" w:rsidRPr="001942FC" w:rsidRDefault="001942FC" w:rsidP="001942FC">
      <w:pPr>
        <w:rPr>
          <w:rFonts w:ascii="Arial" w:hAnsi="Arial"/>
        </w:rPr>
      </w:pPr>
    </w:p>
    <w:p w14:paraId="1DD1CF0A" w14:textId="77777777" w:rsidR="001942FC" w:rsidRPr="001942FC" w:rsidRDefault="001942FC" w:rsidP="001942FC">
      <w:pPr>
        <w:rPr>
          <w:rFonts w:ascii="Arial" w:hAnsi="Arial"/>
        </w:rPr>
      </w:pPr>
    </w:p>
    <w:p w14:paraId="15006FDA" w14:textId="77777777" w:rsidR="00814A1C" w:rsidRDefault="001942FC" w:rsidP="001942FC">
      <w:pPr>
        <w:tabs>
          <w:tab w:val="left" w:pos="6293"/>
        </w:tabs>
        <w:rPr>
          <w:rFonts w:ascii="Arial" w:hAnsi="Arial"/>
        </w:rPr>
      </w:pPr>
      <w:r>
        <w:rPr>
          <w:rFonts w:ascii="Arial" w:hAnsi="Arial"/>
        </w:rPr>
        <w:tab/>
      </w:r>
    </w:p>
    <w:p w14:paraId="4CCFC108" w14:textId="77777777" w:rsidR="001942FC" w:rsidRDefault="001942FC" w:rsidP="001942FC">
      <w:pPr>
        <w:tabs>
          <w:tab w:val="left" w:pos="6293"/>
        </w:tabs>
        <w:rPr>
          <w:rFonts w:ascii="Arial" w:hAnsi="Arial"/>
        </w:rPr>
      </w:pPr>
    </w:p>
    <w:p w14:paraId="592D2AA5" w14:textId="77777777" w:rsidR="001942FC" w:rsidRPr="001942FC" w:rsidRDefault="001942FC" w:rsidP="001942FC">
      <w:pPr>
        <w:tabs>
          <w:tab w:val="left" w:pos="6293"/>
        </w:tabs>
        <w:rPr>
          <w:rFonts w:ascii="Arial" w:hAnsi="Arial"/>
        </w:rPr>
      </w:pPr>
    </w:p>
    <w:p w14:paraId="34C9D482" w14:textId="77777777" w:rsidR="00814A1C" w:rsidRDefault="00814A1C" w:rsidP="00204988">
      <w:pPr>
        <w:pStyle w:val="TOCHeading"/>
      </w:pPr>
      <w:r>
        <w:drawing>
          <wp:inline distT="0" distB="0" distL="0" distR="0" wp14:anchorId="5FE78EE6" wp14:editId="5161EA9D">
            <wp:extent cx="3199130" cy="2936240"/>
            <wp:effectExtent l="0" t="0" r="1270" b="10160"/>
            <wp:docPr id="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99130" cy="2936240"/>
                    </a:xfrm>
                    <a:prstGeom prst="rect">
                      <a:avLst/>
                    </a:prstGeom>
                    <a:noFill/>
                    <a:ln>
                      <a:noFill/>
                    </a:ln>
                  </pic:spPr>
                </pic:pic>
              </a:graphicData>
            </a:graphic>
          </wp:inline>
        </w:drawing>
      </w:r>
      <w:r w:rsidRPr="00F15E18">
        <w:t xml:space="preserve"> </w:t>
      </w:r>
      <w:r>
        <w:drawing>
          <wp:inline distT="0" distB="0" distL="0" distR="0" wp14:anchorId="347279CE" wp14:editId="26B7957A">
            <wp:extent cx="2854712" cy="2743010"/>
            <wp:effectExtent l="0" t="0" r="0" b="635"/>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55329" cy="2743603"/>
                    </a:xfrm>
                    <a:prstGeom prst="rect">
                      <a:avLst/>
                    </a:prstGeom>
                    <a:noFill/>
                    <a:ln>
                      <a:noFill/>
                    </a:ln>
                  </pic:spPr>
                </pic:pic>
              </a:graphicData>
            </a:graphic>
          </wp:inline>
        </w:drawing>
      </w:r>
    </w:p>
    <w:p w14:paraId="3DEA4D87" w14:textId="77777777" w:rsidR="0058306D" w:rsidRDefault="00814A1C" w:rsidP="000F628F">
      <w:pPr>
        <w:pStyle w:val="TOCHeading"/>
        <w:ind w:firstLine="360"/>
      </w:pPr>
      <w:r>
        <w:drawing>
          <wp:inline distT="0" distB="0" distL="0" distR="0" wp14:anchorId="6BEE214A" wp14:editId="29800806">
            <wp:extent cx="2862147" cy="2499360"/>
            <wp:effectExtent l="0" t="0" r="8255" b="0"/>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62147" cy="2499360"/>
                    </a:xfrm>
                    <a:prstGeom prst="rect">
                      <a:avLst/>
                    </a:prstGeom>
                    <a:noFill/>
                    <a:ln>
                      <a:noFill/>
                    </a:ln>
                  </pic:spPr>
                </pic:pic>
              </a:graphicData>
            </a:graphic>
          </wp:inline>
        </w:drawing>
      </w:r>
      <w:r w:rsidRPr="002E7283">
        <w:t xml:space="preserve"> </w:t>
      </w:r>
      <w:r>
        <w:drawing>
          <wp:inline distT="0" distB="0" distL="0" distR="0" wp14:anchorId="2FC096A3" wp14:editId="0A5FB77F">
            <wp:extent cx="2914185" cy="2498725"/>
            <wp:effectExtent l="0" t="0" r="6985" b="0"/>
            <wp:docPr id="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14926" cy="2499360"/>
                    </a:xfrm>
                    <a:prstGeom prst="rect">
                      <a:avLst/>
                    </a:prstGeom>
                    <a:noFill/>
                    <a:ln>
                      <a:noFill/>
                    </a:ln>
                  </pic:spPr>
                </pic:pic>
              </a:graphicData>
            </a:graphic>
          </wp:inline>
        </w:drawing>
      </w:r>
    </w:p>
    <w:p w14:paraId="60AD06C3" w14:textId="77777777" w:rsidR="0058306D" w:rsidRDefault="0058306D" w:rsidP="0058306D">
      <w:pPr>
        <w:pStyle w:val="Caption"/>
        <w:jc w:val="both"/>
      </w:pPr>
    </w:p>
    <w:p w14:paraId="68E9550F" w14:textId="77777777" w:rsidR="002C3DD5" w:rsidRPr="002C3DD5" w:rsidRDefault="002C3DD5" w:rsidP="002C3DD5"/>
    <w:p w14:paraId="5A7101B4" w14:textId="77777777" w:rsidR="00814A1C" w:rsidRPr="007B4930" w:rsidRDefault="0058306D" w:rsidP="007B4930">
      <w:pPr>
        <w:pStyle w:val="Caption"/>
        <w:spacing w:line="360" w:lineRule="auto"/>
        <w:jc w:val="both"/>
        <w:rPr>
          <w:rFonts w:ascii="Arial" w:hAnsi="Arial" w:cs="Arial"/>
          <w:color w:val="244061" w:themeColor="accent1" w:themeShade="80"/>
          <w:sz w:val="24"/>
          <w:szCs w:val="24"/>
        </w:rPr>
      </w:pPr>
      <w:bookmarkStart w:id="150" w:name="_Toc383544640"/>
      <w:r w:rsidRPr="007B4930">
        <w:rPr>
          <w:rFonts w:ascii="Arial" w:hAnsi="Arial" w:cs="Arial"/>
          <w:color w:val="244061" w:themeColor="accent1" w:themeShade="80"/>
          <w:sz w:val="24"/>
          <w:szCs w:val="24"/>
        </w:rPr>
        <w:t xml:space="preserve">Figure </w:t>
      </w:r>
      <w:r w:rsidRPr="007B4930">
        <w:rPr>
          <w:rFonts w:ascii="Arial" w:hAnsi="Arial" w:cs="Arial"/>
          <w:color w:val="244061" w:themeColor="accent1" w:themeShade="80"/>
          <w:sz w:val="24"/>
          <w:szCs w:val="24"/>
        </w:rPr>
        <w:fldChar w:fldCharType="begin"/>
      </w:r>
      <w:r w:rsidRPr="007B4930">
        <w:rPr>
          <w:rFonts w:ascii="Arial" w:hAnsi="Arial" w:cs="Arial"/>
          <w:color w:val="244061" w:themeColor="accent1" w:themeShade="80"/>
          <w:sz w:val="24"/>
          <w:szCs w:val="24"/>
        </w:rPr>
        <w:instrText xml:space="preserve"> SEQ Figure \* ARABIC </w:instrText>
      </w:r>
      <w:r w:rsidRPr="007B4930">
        <w:rPr>
          <w:rFonts w:ascii="Arial" w:hAnsi="Arial" w:cs="Arial"/>
          <w:color w:val="244061" w:themeColor="accent1" w:themeShade="80"/>
          <w:sz w:val="24"/>
          <w:szCs w:val="24"/>
        </w:rPr>
        <w:fldChar w:fldCharType="separate"/>
      </w:r>
      <w:r w:rsidR="0091638B">
        <w:rPr>
          <w:rFonts w:ascii="Arial" w:hAnsi="Arial" w:cs="Arial"/>
          <w:noProof/>
          <w:color w:val="244061" w:themeColor="accent1" w:themeShade="80"/>
          <w:sz w:val="24"/>
          <w:szCs w:val="24"/>
        </w:rPr>
        <w:t>49</w:t>
      </w:r>
      <w:r w:rsidRPr="007B4930">
        <w:rPr>
          <w:rFonts w:ascii="Arial" w:hAnsi="Arial" w:cs="Arial"/>
          <w:color w:val="244061" w:themeColor="accent1" w:themeShade="80"/>
          <w:sz w:val="24"/>
          <w:szCs w:val="24"/>
        </w:rPr>
        <w:fldChar w:fldCharType="end"/>
      </w:r>
      <w:r w:rsidR="00814A1C" w:rsidRPr="007B4930">
        <w:rPr>
          <w:rFonts w:ascii="Arial" w:hAnsi="Arial" w:cs="Arial"/>
          <w:color w:val="244061" w:themeColor="accent1" w:themeShade="80"/>
          <w:sz w:val="24"/>
          <w:szCs w:val="24"/>
        </w:rPr>
        <w:t xml:space="preserve"> Trabecular bone mass and architecture measured at the proximal region of the </w:t>
      </w:r>
      <w:r w:rsidR="00814A1C" w:rsidRPr="007B4930">
        <w:rPr>
          <w:rFonts w:ascii="Arial" w:eastAsiaTheme="minorHAnsi" w:hAnsi="Arial" w:cs="Arial"/>
          <w:bCs w:val="0"/>
          <w:color w:val="244061" w:themeColor="accent1" w:themeShade="80"/>
          <w:sz w:val="24"/>
          <w:szCs w:val="24"/>
          <w:lang w:val="en-US"/>
        </w:rPr>
        <w:t xml:space="preserve">left non-loaded (control) and </w:t>
      </w:r>
      <w:r w:rsidR="00814A1C" w:rsidRPr="007B4930">
        <w:rPr>
          <w:rFonts w:ascii="Arial" w:hAnsi="Arial" w:cs="Arial"/>
          <w:color w:val="244061" w:themeColor="accent1" w:themeShade="80"/>
          <w:sz w:val="24"/>
          <w:szCs w:val="24"/>
        </w:rPr>
        <w:t xml:space="preserve">right </w:t>
      </w:r>
      <w:r w:rsidR="00814A1C" w:rsidRPr="007B4930">
        <w:rPr>
          <w:rFonts w:ascii="Arial" w:eastAsiaTheme="minorHAnsi" w:hAnsi="Arial" w:cs="Arial"/>
          <w:bCs w:val="0"/>
          <w:color w:val="244061" w:themeColor="accent1" w:themeShade="80"/>
          <w:sz w:val="24"/>
          <w:szCs w:val="24"/>
          <w:lang w:val="en-US"/>
        </w:rPr>
        <w:t>loaded tibiae with maximal loading regimen of 20-month-old fed (n=8) or overnight fasted 2-hour fed (n=8) male mice</w:t>
      </w:r>
      <w:bookmarkEnd w:id="150"/>
      <w:r w:rsidR="00814A1C" w:rsidRPr="007B4930">
        <w:rPr>
          <w:rFonts w:ascii="Arial" w:eastAsiaTheme="minorHAnsi" w:hAnsi="Arial" w:cs="Arial"/>
          <w:bCs w:val="0"/>
          <w:color w:val="244061" w:themeColor="accent1" w:themeShade="80"/>
          <w:sz w:val="24"/>
          <w:szCs w:val="24"/>
          <w:lang w:val="en-US"/>
        </w:rPr>
        <w:t xml:space="preserve"> </w:t>
      </w:r>
    </w:p>
    <w:p w14:paraId="3C5B4DC0" w14:textId="77777777" w:rsidR="00814A1C" w:rsidRPr="004469F6" w:rsidRDefault="00814A1C" w:rsidP="00814A1C">
      <w:pPr>
        <w:spacing w:line="360" w:lineRule="auto"/>
        <w:jc w:val="both"/>
        <w:rPr>
          <w:rFonts w:ascii="Arial" w:eastAsiaTheme="minorHAnsi" w:hAnsi="Arial" w:cs="Arial"/>
          <w:sz w:val="22"/>
          <w:szCs w:val="22"/>
        </w:rPr>
      </w:pPr>
      <w:r>
        <w:rPr>
          <w:rFonts w:ascii="Arial" w:eastAsiaTheme="minorHAnsi" w:hAnsi="Arial" w:cs="Arial"/>
          <w:sz w:val="22"/>
          <w:szCs w:val="22"/>
        </w:rPr>
        <w:t xml:space="preserve">Mechanical loading induced </w:t>
      </w:r>
      <w:r w:rsidRPr="004469F6">
        <w:rPr>
          <w:rFonts w:ascii="Arial" w:eastAsiaTheme="minorHAnsi" w:hAnsi="Arial" w:cs="Arial"/>
          <w:sz w:val="22"/>
          <w:szCs w:val="22"/>
        </w:rPr>
        <w:t>significant decrease in Tb.Pf in the right loaded tibiae compared with the left unloade</w:t>
      </w:r>
      <w:r>
        <w:rPr>
          <w:rFonts w:ascii="Arial" w:eastAsiaTheme="minorHAnsi" w:hAnsi="Arial" w:cs="Arial"/>
          <w:sz w:val="22"/>
          <w:szCs w:val="22"/>
        </w:rPr>
        <w:t>d tibiae in both groups (C</w:t>
      </w:r>
      <w:r w:rsidRPr="004469F6">
        <w:rPr>
          <w:rFonts w:ascii="Arial" w:eastAsiaTheme="minorHAnsi" w:hAnsi="Arial" w:cs="Arial"/>
          <w:sz w:val="22"/>
          <w:szCs w:val="22"/>
        </w:rPr>
        <w:t>),</w:t>
      </w:r>
      <w:r>
        <w:rPr>
          <w:rFonts w:ascii="Arial" w:eastAsiaTheme="minorHAnsi" w:hAnsi="Arial" w:cs="Arial"/>
          <w:sz w:val="22"/>
          <w:szCs w:val="22"/>
        </w:rPr>
        <w:t xml:space="preserve"> but </w:t>
      </w:r>
      <w:r w:rsidRPr="004469F6">
        <w:rPr>
          <w:rFonts w:ascii="Arial" w:hAnsi="Arial"/>
          <w:bCs/>
          <w:sz w:val="22"/>
          <w:szCs w:val="22"/>
        </w:rPr>
        <w:t>there were no significant differences between the two groups</w:t>
      </w:r>
      <w:r w:rsidRPr="004469F6">
        <w:rPr>
          <w:rFonts w:ascii="Arial" w:eastAsiaTheme="minorHAnsi" w:hAnsi="Arial" w:cs="Arial"/>
          <w:sz w:val="22"/>
          <w:szCs w:val="22"/>
        </w:rPr>
        <w:t>. There was no</w:t>
      </w:r>
      <w:r>
        <w:rPr>
          <w:rFonts w:ascii="Arial" w:eastAsiaTheme="minorHAnsi" w:hAnsi="Arial" w:cs="Arial"/>
          <w:sz w:val="22"/>
          <w:szCs w:val="22"/>
        </w:rPr>
        <w:t>n</w:t>
      </w:r>
      <w:r w:rsidRPr="004469F6">
        <w:rPr>
          <w:rFonts w:ascii="Arial" w:eastAsiaTheme="minorHAnsi" w:hAnsi="Arial" w:cs="Arial"/>
          <w:sz w:val="22"/>
          <w:szCs w:val="22"/>
        </w:rPr>
        <w:t xml:space="preserve">-significant increase in </w:t>
      </w:r>
      <w:r>
        <w:rPr>
          <w:rFonts w:ascii="Arial" w:eastAsiaTheme="minorHAnsi" w:hAnsi="Arial" w:cs="Arial"/>
          <w:sz w:val="22"/>
          <w:szCs w:val="22"/>
        </w:rPr>
        <w:t>trabecular BV/TV and Tb.N</w:t>
      </w:r>
      <w:r w:rsidRPr="004469F6">
        <w:rPr>
          <w:rFonts w:ascii="Arial" w:eastAsiaTheme="minorHAnsi" w:hAnsi="Arial" w:cs="Arial"/>
          <w:sz w:val="22"/>
          <w:szCs w:val="22"/>
        </w:rPr>
        <w:t xml:space="preserve"> measured within and between the experimental groups (</w:t>
      </w:r>
      <w:r>
        <w:rPr>
          <w:rFonts w:ascii="Arial" w:eastAsiaTheme="minorHAnsi" w:hAnsi="Arial" w:cs="Arial"/>
          <w:sz w:val="22"/>
          <w:szCs w:val="22"/>
        </w:rPr>
        <w:t xml:space="preserve">A, </w:t>
      </w:r>
      <w:r w:rsidRPr="004469F6">
        <w:rPr>
          <w:rFonts w:ascii="Arial" w:eastAsiaTheme="minorHAnsi" w:hAnsi="Arial" w:cs="Arial"/>
          <w:sz w:val="22"/>
          <w:szCs w:val="22"/>
        </w:rPr>
        <w:t>B)</w:t>
      </w:r>
      <w:r>
        <w:rPr>
          <w:rFonts w:ascii="Arial" w:eastAsiaTheme="minorHAnsi" w:hAnsi="Arial" w:cs="Arial"/>
          <w:sz w:val="22"/>
          <w:szCs w:val="22"/>
        </w:rPr>
        <w:t>, whereas Tb.Th remained relatively unchanged (D)</w:t>
      </w:r>
      <w:r w:rsidR="007B4930">
        <w:rPr>
          <w:rFonts w:ascii="Arial" w:eastAsiaTheme="minorHAnsi" w:hAnsi="Arial" w:cs="Arial"/>
          <w:sz w:val="22"/>
          <w:szCs w:val="22"/>
        </w:rPr>
        <w:t xml:space="preserve">. Bars </w:t>
      </w:r>
      <w:r w:rsidRPr="004469F6">
        <w:rPr>
          <w:rFonts w:ascii="Arial" w:eastAsiaTheme="minorHAnsi" w:hAnsi="Arial" w:cs="Arial"/>
          <w:sz w:val="22"/>
          <w:szCs w:val="22"/>
        </w:rPr>
        <w:t>represent mean</w:t>
      </w:r>
      <w:r w:rsidRPr="004469F6">
        <w:rPr>
          <w:rFonts w:ascii="Arial" w:eastAsia="MS Gothic" w:hAnsi="Arial" w:cs="Arial"/>
          <w:sz w:val="22"/>
          <w:szCs w:val="22"/>
        </w:rPr>
        <w:t>±</w:t>
      </w:r>
      <w:r w:rsidRPr="004469F6">
        <w:rPr>
          <w:rFonts w:ascii="Arial" w:eastAsiaTheme="minorHAnsi" w:hAnsi="Arial" w:cs="Arial"/>
          <w:sz w:val="22"/>
          <w:szCs w:val="22"/>
        </w:rPr>
        <w:t xml:space="preserve">SE. </w:t>
      </w:r>
      <w:r>
        <w:rPr>
          <w:rFonts w:ascii="Arial" w:eastAsiaTheme="minorHAnsi" w:hAnsi="Arial" w:cs="Arial"/>
          <w:sz w:val="22"/>
          <w:szCs w:val="22"/>
        </w:rPr>
        <w:t xml:space="preserve">** </w:t>
      </w:r>
      <w:proofErr w:type="gramStart"/>
      <w:r>
        <w:rPr>
          <w:rFonts w:ascii="Arial" w:eastAsiaTheme="minorHAnsi" w:hAnsi="Arial" w:cs="Arial"/>
          <w:sz w:val="22"/>
          <w:szCs w:val="22"/>
        </w:rPr>
        <w:t>p</w:t>
      </w:r>
      <w:proofErr w:type="gramEnd"/>
      <w:r>
        <w:rPr>
          <w:rFonts w:ascii="Arial" w:eastAsiaTheme="minorHAnsi" w:hAnsi="Arial" w:cs="Arial"/>
          <w:sz w:val="22"/>
          <w:szCs w:val="22"/>
        </w:rPr>
        <w:t>&lt;0.01, *** p&lt;0.00</w:t>
      </w:r>
      <w:r w:rsidRPr="004469F6">
        <w:rPr>
          <w:rFonts w:ascii="Arial" w:eastAsiaTheme="minorHAnsi" w:hAnsi="Arial" w:cs="Arial"/>
          <w:sz w:val="22"/>
          <w:szCs w:val="22"/>
        </w:rPr>
        <w:t>1</w:t>
      </w:r>
    </w:p>
    <w:p w14:paraId="15C2A627" w14:textId="77777777" w:rsidR="00682BD7" w:rsidRDefault="00814A1C" w:rsidP="00D40E59">
      <w:pPr>
        <w:pStyle w:val="Heading2"/>
      </w:pPr>
      <w:bookmarkStart w:id="151" w:name="_Toc383723922"/>
      <w:r>
        <w:lastRenderedPageBreak/>
        <w:t>6.3 Discussion</w:t>
      </w:r>
      <w:bookmarkEnd w:id="151"/>
      <w:r>
        <w:t xml:space="preserve"> </w:t>
      </w:r>
    </w:p>
    <w:p w14:paraId="676CF31E" w14:textId="77777777" w:rsidR="00814A1C" w:rsidRPr="00682BD7" w:rsidRDefault="00814A1C" w:rsidP="00682BD7">
      <w:pPr>
        <w:spacing w:line="480" w:lineRule="auto"/>
        <w:jc w:val="both"/>
        <w:rPr>
          <w:rFonts w:ascii="Arial" w:hAnsi="Arial" w:cs="Arial"/>
        </w:rPr>
      </w:pPr>
      <w:r w:rsidRPr="00682BD7">
        <w:rPr>
          <w:rFonts w:ascii="Arial" w:hAnsi="Arial" w:cs="Arial"/>
        </w:rPr>
        <w:t>In this chapter we determined the effect of ageing on bone adaptatio</w:t>
      </w:r>
      <w:r w:rsidR="006E21D1">
        <w:rPr>
          <w:rFonts w:ascii="Arial" w:hAnsi="Arial" w:cs="Arial"/>
        </w:rPr>
        <w:t>n to me</w:t>
      </w:r>
      <w:r w:rsidRPr="00682BD7">
        <w:rPr>
          <w:rFonts w:ascii="Arial" w:hAnsi="Arial" w:cs="Arial"/>
        </w:rPr>
        <w:t>chanical loading i</w:t>
      </w:r>
      <w:r w:rsidR="00A51DC7">
        <w:rPr>
          <w:rFonts w:ascii="Arial" w:hAnsi="Arial" w:cs="Arial"/>
        </w:rPr>
        <w:t>n fed and fasted fed aged mice. Studies</w:t>
      </w:r>
      <w:r w:rsidR="006E21D1" w:rsidRPr="00682BD7">
        <w:rPr>
          <w:rFonts w:ascii="Arial" w:hAnsi="Arial" w:cs="Arial"/>
        </w:rPr>
        <w:t xml:space="preserve"> showed that ageing in fed and fasted fed male mice impaired cortical bone’s adaptation to two-week axial m</w:t>
      </w:r>
      <w:r w:rsidR="006E21D1">
        <w:rPr>
          <w:rFonts w:ascii="Arial" w:hAnsi="Arial" w:cs="Arial"/>
        </w:rPr>
        <w:t xml:space="preserve">echanical loading of the tibiae. </w:t>
      </w:r>
      <w:r w:rsidRPr="00682BD7">
        <w:rPr>
          <w:rFonts w:ascii="Arial" w:hAnsi="Arial" w:cs="Arial"/>
        </w:rPr>
        <w:t xml:space="preserve">In the trabecular bone, loading-related decrease in trabecular pattern factor was not affected by ageing.  However, there was an age-related impairment in an increase of the other trabecular parameters. </w:t>
      </w:r>
    </w:p>
    <w:p w14:paraId="59B7B4A4" w14:textId="77777777" w:rsidR="00814A1C" w:rsidRPr="00A907A1" w:rsidRDefault="00814A1C" w:rsidP="00A907A1">
      <w:pPr>
        <w:pStyle w:val="Heading3"/>
        <w:spacing w:line="480" w:lineRule="auto"/>
        <w:jc w:val="both"/>
        <w:rPr>
          <w:rFonts w:ascii="Arial" w:hAnsi="Arial" w:cs="Arial"/>
          <w:color w:val="auto"/>
        </w:rPr>
      </w:pPr>
      <w:bookmarkStart w:id="152" w:name="_Toc383723923"/>
      <w:r w:rsidRPr="00A907A1">
        <w:rPr>
          <w:rFonts w:ascii="Arial" w:hAnsi="Arial" w:cs="Arial"/>
          <w:color w:val="auto"/>
        </w:rPr>
        <w:t>6.3.1 Differences in feeding behaviour of fed and overnight fasted aged male mice</w:t>
      </w:r>
      <w:bookmarkEnd w:id="152"/>
      <w:r w:rsidRPr="00A907A1">
        <w:rPr>
          <w:rFonts w:ascii="Arial" w:hAnsi="Arial" w:cs="Arial"/>
          <w:color w:val="auto"/>
        </w:rPr>
        <w:t xml:space="preserve"> </w:t>
      </w:r>
    </w:p>
    <w:p w14:paraId="7799E33F" w14:textId="77777777" w:rsidR="00814A1C" w:rsidRDefault="00814A1C" w:rsidP="00814A1C">
      <w:pPr>
        <w:spacing w:line="480" w:lineRule="auto"/>
        <w:jc w:val="both"/>
        <w:rPr>
          <w:rFonts w:ascii="Arial" w:hAnsi="Arial"/>
          <w:color w:val="000000"/>
        </w:rPr>
      </w:pPr>
      <w:r>
        <w:rPr>
          <w:rFonts w:ascii="Arial" w:hAnsi="Arial"/>
          <w:color w:val="000000"/>
        </w:rPr>
        <w:t xml:space="preserve">Similar to young adult mice, overnight fasting for 16 hours had an impact on feeding </w:t>
      </w:r>
      <w:r w:rsidR="00684EBD">
        <w:rPr>
          <w:rFonts w:ascii="Arial" w:hAnsi="Arial"/>
          <w:color w:val="000000"/>
        </w:rPr>
        <w:t>behaviour</w:t>
      </w:r>
      <w:r>
        <w:rPr>
          <w:rFonts w:ascii="Arial" w:hAnsi="Arial"/>
          <w:color w:val="000000"/>
        </w:rPr>
        <w:t xml:space="preserve"> of aged mice </w:t>
      </w:r>
      <w:r>
        <w:rPr>
          <w:rFonts w:ascii="Arial" w:hAnsi="Arial"/>
        </w:rPr>
        <w:t>although a</w:t>
      </w:r>
      <w:r w:rsidRPr="00234A98">
        <w:rPr>
          <w:rFonts w:ascii="Arial" w:hAnsi="Arial"/>
        </w:rPr>
        <w:t xml:space="preserve">ged male mice were heavier than young adults </w:t>
      </w:r>
      <w:r>
        <w:rPr>
          <w:rFonts w:ascii="Arial" w:hAnsi="Arial"/>
        </w:rPr>
        <w:t>(see section 3.2.1)</w:t>
      </w:r>
      <w:r>
        <w:rPr>
          <w:rFonts w:ascii="Arial" w:hAnsi="Arial"/>
          <w:color w:val="000000"/>
        </w:rPr>
        <w:t>. Consistent</w:t>
      </w:r>
      <w:r w:rsidRPr="006D6524">
        <w:rPr>
          <w:rFonts w:ascii="Arial" w:hAnsi="Arial"/>
          <w:color w:val="000000"/>
        </w:rPr>
        <w:t xml:space="preserve"> with </w:t>
      </w:r>
      <w:r>
        <w:rPr>
          <w:rFonts w:ascii="Arial" w:hAnsi="Arial"/>
          <w:color w:val="000000"/>
        </w:rPr>
        <w:t>the previous</w:t>
      </w:r>
      <w:r w:rsidRPr="006D6524">
        <w:rPr>
          <w:rFonts w:ascii="Arial" w:hAnsi="Arial"/>
          <w:color w:val="000000"/>
        </w:rPr>
        <w:t xml:space="preserve"> observations</w:t>
      </w:r>
      <w:r>
        <w:rPr>
          <w:rFonts w:ascii="Arial" w:hAnsi="Arial"/>
          <w:color w:val="000000"/>
        </w:rPr>
        <w:t>, overnight prolonged food deprivation reduced body weights</w:t>
      </w:r>
      <w:r w:rsidRPr="006D6524">
        <w:rPr>
          <w:rFonts w:ascii="Arial" w:hAnsi="Arial"/>
          <w:color w:val="000000"/>
        </w:rPr>
        <w:t xml:space="preserve"> of </w:t>
      </w:r>
      <w:r>
        <w:rPr>
          <w:rFonts w:ascii="Arial" w:hAnsi="Arial"/>
          <w:color w:val="000000"/>
        </w:rPr>
        <w:t>aged C57BL/6 mice</w:t>
      </w:r>
      <w:r w:rsidRPr="006D6524">
        <w:rPr>
          <w:rFonts w:ascii="Arial" w:hAnsi="Arial"/>
          <w:color w:val="000000"/>
        </w:rPr>
        <w:t xml:space="preserve"> by a</w:t>
      </w:r>
      <w:r>
        <w:rPr>
          <w:rFonts w:ascii="Arial" w:hAnsi="Arial"/>
          <w:color w:val="000000"/>
        </w:rPr>
        <w:t>round</w:t>
      </w:r>
      <w:r w:rsidRPr="006D6524">
        <w:rPr>
          <w:rFonts w:ascii="Arial" w:hAnsi="Arial"/>
          <w:color w:val="000000"/>
        </w:rPr>
        <w:t xml:space="preserve"> </w:t>
      </w:r>
      <w:r>
        <w:rPr>
          <w:rFonts w:ascii="Arial" w:hAnsi="Arial"/>
          <w:color w:val="000000"/>
        </w:rPr>
        <w:t>7%</w:t>
      </w:r>
      <w:r w:rsidRPr="006D6524">
        <w:rPr>
          <w:rFonts w:ascii="Arial" w:hAnsi="Arial"/>
          <w:color w:val="000000"/>
        </w:rPr>
        <w:t xml:space="preserve"> </w:t>
      </w:r>
      <w:r w:rsidR="00D0746B">
        <w:rPr>
          <w:rFonts w:ascii="Arial" w:hAnsi="Arial"/>
          <w:color w:val="000000"/>
        </w:rPr>
        <w:fldChar w:fldCharType="begin">
          <w:fldData xml:space="preserve">PEVuZE5vdGU+PENpdGU+PEF1dGhvcj5WZXJtZXVsZW48L0F1dGhvcj48WWVhcj4xOTk3PC9ZZWFy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</w:fldData>
        </w:fldChar>
      </w:r>
      <w:r w:rsidR="0000415D">
        <w:rPr>
          <w:rFonts w:ascii="Arial" w:hAnsi="Arial"/>
          <w:color w:val="000000"/>
        </w:rPr>
        <w:instrText xml:space="preserve"> ADDIN EN.CITE </w:instrText>
      </w:r>
      <w:r w:rsidR="0000415D">
        <w:rPr>
          <w:rFonts w:ascii="Arial" w:hAnsi="Arial"/>
          <w:color w:val="000000"/>
        </w:rPr>
        <w:fldChar w:fldCharType="begin">
          <w:fldData xml:space="preserve">PEVuZE5vdGU+PENpdGU+PEF1dGhvcj5WZXJtZXVsZW48L0F1dGhvcj48WWVhcj4xOTk3PC9ZZWFy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</w:fldData>
        </w:fldChar>
      </w:r>
      <w:r w:rsidR="0000415D">
        <w:rPr>
          <w:rFonts w:ascii="Arial" w:hAnsi="Arial"/>
          <w:color w:val="000000"/>
        </w:rPr>
        <w:instrText xml:space="preserve"> ADDIN EN.CITE.DATA </w:instrText>
      </w:r>
      <w:r w:rsidR="0000415D">
        <w:rPr>
          <w:rFonts w:ascii="Arial" w:hAnsi="Arial"/>
          <w:color w:val="000000"/>
        </w:rPr>
      </w:r>
      <w:r w:rsidR="0000415D">
        <w:rPr>
          <w:rFonts w:ascii="Arial" w:hAnsi="Arial"/>
          <w:color w:val="000000"/>
        </w:rPr>
        <w:fldChar w:fldCharType="end"/>
      </w:r>
      <w:r w:rsidR="00D0746B">
        <w:rPr>
          <w:rFonts w:ascii="Arial" w:hAnsi="Arial"/>
          <w:color w:val="000000"/>
        </w:rPr>
      </w:r>
      <w:r w:rsidR="00D0746B">
        <w:rPr>
          <w:rFonts w:ascii="Arial" w:hAnsi="Arial"/>
          <w:color w:val="000000"/>
        </w:rPr>
        <w:fldChar w:fldCharType="separate"/>
      </w:r>
      <w:r w:rsidR="00D0746B">
        <w:rPr>
          <w:rFonts w:ascii="Arial" w:hAnsi="Arial"/>
          <w:noProof/>
          <w:color w:val="000000"/>
        </w:rPr>
        <w:t>(Vermeulen et al., 1997, Ayala et al., 2006, Wehkamp et al., 2007)</w:t>
      </w:r>
      <w:r w:rsidR="00D0746B">
        <w:rPr>
          <w:rFonts w:ascii="Arial" w:hAnsi="Arial"/>
          <w:color w:val="000000"/>
        </w:rPr>
        <w:fldChar w:fldCharType="end"/>
      </w:r>
      <w:r>
        <w:rPr>
          <w:rFonts w:ascii="Arial" w:hAnsi="Arial"/>
          <w:color w:val="000000"/>
        </w:rPr>
        <w:t xml:space="preserve">, but the relative weight loss was less severe compared with that in the young adult mice, which could be due to age-related changes in energy metabolism. The mice lost weight due to overnight food deprivation since the bedding material, wood shavings were removed from the cages prior the fasting as the hungry mice may consume them.  </w:t>
      </w:r>
    </w:p>
    <w:p w14:paraId="65AFE8C3" w14:textId="77777777" w:rsidR="00814A1C" w:rsidRDefault="00814A1C" w:rsidP="00814A1C">
      <w:pPr>
        <w:spacing w:line="480" w:lineRule="auto"/>
        <w:jc w:val="both"/>
        <w:rPr>
          <w:rFonts w:ascii="Arial" w:hAnsi="Arial"/>
          <w:color w:val="000000"/>
        </w:rPr>
      </w:pPr>
    </w:p>
    <w:p w14:paraId="28816ADD" w14:textId="77777777" w:rsidR="00814A1C" w:rsidRPr="00FA0B9B" w:rsidRDefault="00814A1C" w:rsidP="00814A1C">
      <w:pPr>
        <w:spacing w:line="480" w:lineRule="auto"/>
        <w:jc w:val="both"/>
        <w:rPr>
          <w:rFonts w:ascii="Arial" w:hAnsi="Arial"/>
          <w:color w:val="000000"/>
        </w:rPr>
      </w:pPr>
      <w:r w:rsidRPr="006D6524">
        <w:rPr>
          <w:rFonts w:ascii="Arial" w:hAnsi="Arial"/>
          <w:color w:val="000000"/>
        </w:rPr>
        <w:t>Increased food intake</w:t>
      </w:r>
      <w:r>
        <w:rPr>
          <w:rFonts w:ascii="Arial" w:hAnsi="Arial"/>
          <w:color w:val="000000"/>
        </w:rPr>
        <w:t xml:space="preserve">, </w:t>
      </w:r>
      <w:r w:rsidRPr="006D6524">
        <w:rPr>
          <w:rFonts w:ascii="Arial" w:hAnsi="Arial"/>
          <w:color w:val="000000"/>
        </w:rPr>
        <w:t>known as a hyperphagic response</w:t>
      </w:r>
      <w:r>
        <w:rPr>
          <w:rFonts w:ascii="Arial" w:hAnsi="Arial"/>
          <w:color w:val="000000"/>
        </w:rPr>
        <w:t xml:space="preserve"> incited by catabolic state, </w:t>
      </w:r>
      <w:r w:rsidR="00052D66">
        <w:rPr>
          <w:rFonts w:ascii="Arial" w:hAnsi="Arial"/>
          <w:color w:val="000000"/>
        </w:rPr>
        <w:t>was observed for 2</w:t>
      </w:r>
      <w:r w:rsidRPr="006D6524">
        <w:rPr>
          <w:rFonts w:ascii="Arial" w:hAnsi="Arial"/>
          <w:color w:val="000000"/>
        </w:rPr>
        <w:t xml:space="preserve"> hours during re-feeding period</w:t>
      </w:r>
      <w:r>
        <w:rPr>
          <w:rFonts w:ascii="Arial" w:hAnsi="Arial"/>
          <w:color w:val="000000"/>
        </w:rPr>
        <w:t xml:space="preserve"> in 16-hour fasted mice compared with mice that had free access to maint</w:t>
      </w:r>
      <w:r w:rsidR="00D64755">
        <w:rPr>
          <w:rFonts w:ascii="Arial" w:hAnsi="Arial"/>
          <w:color w:val="000000"/>
        </w:rPr>
        <w:t>enance diet ad libitum, Figure 44</w:t>
      </w:r>
      <w:r w:rsidRPr="006D6524">
        <w:rPr>
          <w:rFonts w:ascii="Arial" w:hAnsi="Arial"/>
          <w:color w:val="000000"/>
        </w:rPr>
        <w:t>.</w:t>
      </w:r>
      <w:r>
        <w:rPr>
          <w:rFonts w:ascii="Arial" w:hAnsi="Arial"/>
          <w:color w:val="000000"/>
        </w:rPr>
        <w:t xml:space="preserve"> </w:t>
      </w:r>
      <w:r w:rsidRPr="00E75AB6">
        <w:rPr>
          <w:rFonts w:ascii="Arial" w:hAnsi="Arial"/>
          <w:color w:val="000000"/>
        </w:rPr>
        <w:t>As energy stores were replenished</w:t>
      </w:r>
      <w:r w:rsidRPr="001751CC">
        <w:rPr>
          <w:rFonts w:ascii="Arial" w:hAnsi="Arial"/>
          <w:i/>
          <w:color w:val="000000"/>
        </w:rPr>
        <w:t xml:space="preserve"> </w:t>
      </w:r>
      <w:r w:rsidRPr="00E75AB6">
        <w:rPr>
          <w:rFonts w:ascii="Arial" w:hAnsi="Arial"/>
          <w:color w:val="000000"/>
        </w:rPr>
        <w:t>and body weights increased,</w:t>
      </w:r>
      <w:r w:rsidRPr="001751CC">
        <w:rPr>
          <w:rFonts w:ascii="Arial" w:hAnsi="Arial"/>
          <w:i/>
          <w:color w:val="000000"/>
        </w:rPr>
        <w:t xml:space="preserve"> </w:t>
      </w:r>
      <w:r w:rsidRPr="00E75AB6">
        <w:rPr>
          <w:rFonts w:ascii="Arial" w:hAnsi="Arial"/>
          <w:color w:val="000000"/>
        </w:rPr>
        <w:t xml:space="preserve">the food intake of fasted </w:t>
      </w:r>
      <w:r>
        <w:rPr>
          <w:rFonts w:ascii="Arial" w:hAnsi="Arial"/>
          <w:color w:val="000000"/>
        </w:rPr>
        <w:t xml:space="preserve">aged </w:t>
      </w:r>
      <w:r w:rsidRPr="00E75AB6">
        <w:rPr>
          <w:rFonts w:ascii="Arial" w:hAnsi="Arial"/>
          <w:color w:val="000000"/>
        </w:rPr>
        <w:t>mice</w:t>
      </w:r>
      <w:r w:rsidRPr="001751CC">
        <w:rPr>
          <w:rFonts w:ascii="Arial" w:hAnsi="Arial"/>
          <w:i/>
          <w:color w:val="000000"/>
        </w:rPr>
        <w:t xml:space="preserve"> </w:t>
      </w:r>
      <w:r w:rsidRPr="00E75AB6">
        <w:rPr>
          <w:rFonts w:ascii="Arial" w:hAnsi="Arial"/>
          <w:color w:val="000000"/>
        </w:rPr>
        <w:t>was</w:t>
      </w:r>
      <w:r>
        <w:rPr>
          <w:rFonts w:ascii="Arial" w:hAnsi="Arial"/>
          <w:i/>
          <w:color w:val="000000"/>
        </w:rPr>
        <w:t xml:space="preserve"> </w:t>
      </w:r>
      <w:r w:rsidRPr="00E75AB6">
        <w:rPr>
          <w:rFonts w:ascii="Arial" w:hAnsi="Arial"/>
          <w:color w:val="000000"/>
        </w:rPr>
        <w:t>reduced</w:t>
      </w:r>
      <w:r>
        <w:rPr>
          <w:rFonts w:ascii="Arial" w:hAnsi="Arial"/>
          <w:color w:val="000000"/>
        </w:rPr>
        <w:t xml:space="preserve"> returning to normal, whereas food intake of ad-lib fed mice was relatively continuous throughout the experiment</w:t>
      </w:r>
      <w:r>
        <w:rPr>
          <w:rFonts w:ascii="Arial" w:hAnsi="Arial"/>
          <w:i/>
          <w:color w:val="000000"/>
        </w:rPr>
        <w:t xml:space="preserve">. </w:t>
      </w:r>
      <w:r w:rsidRPr="00E75AB6">
        <w:rPr>
          <w:rFonts w:ascii="Arial" w:hAnsi="Arial"/>
          <w:color w:val="000000"/>
        </w:rPr>
        <w:t>This</w:t>
      </w:r>
      <w:r w:rsidRPr="001751CC">
        <w:rPr>
          <w:rFonts w:ascii="Arial" w:hAnsi="Arial"/>
          <w:i/>
          <w:color w:val="000000"/>
        </w:rPr>
        <w:t xml:space="preserve"> </w:t>
      </w:r>
      <w:r w:rsidRPr="00E75AB6">
        <w:rPr>
          <w:rFonts w:ascii="Arial" w:hAnsi="Arial"/>
          <w:color w:val="000000"/>
        </w:rPr>
        <w:t xml:space="preserve">process </w:t>
      </w:r>
      <w:r>
        <w:rPr>
          <w:rFonts w:ascii="Arial" w:hAnsi="Arial"/>
          <w:color w:val="000000"/>
        </w:rPr>
        <w:t xml:space="preserve">is </w:t>
      </w:r>
      <w:r w:rsidRPr="00E75AB6">
        <w:rPr>
          <w:rFonts w:ascii="Arial" w:hAnsi="Arial"/>
          <w:color w:val="000000"/>
        </w:rPr>
        <w:t>described as a homeostatic feeding response</w:t>
      </w:r>
      <w:r>
        <w:rPr>
          <w:rFonts w:ascii="Arial" w:hAnsi="Arial"/>
          <w:color w:val="000000"/>
        </w:rPr>
        <w:t>,</w:t>
      </w:r>
      <w:r w:rsidRPr="001751CC">
        <w:rPr>
          <w:rFonts w:ascii="Arial" w:hAnsi="Arial"/>
          <w:i/>
          <w:color w:val="000000"/>
        </w:rPr>
        <w:t xml:space="preserve"> </w:t>
      </w:r>
      <w:r>
        <w:rPr>
          <w:rFonts w:ascii="Arial" w:hAnsi="Arial"/>
          <w:color w:val="000000"/>
        </w:rPr>
        <w:t xml:space="preserve">similar response was observed in young adult mice </w:t>
      </w:r>
      <w:r w:rsidR="00D0746B">
        <w:rPr>
          <w:rFonts w:ascii="Arial" w:hAnsi="Arial"/>
          <w:color w:val="000000"/>
        </w:rPr>
        <w:fldChar w:fldCharType="begin"/>
      </w:r>
      <w:r w:rsidR="00D0746B">
        <w:rPr>
          <w:rFonts w:ascii="Arial" w:hAnsi="Arial"/>
          <w:color w:val="000000"/>
        </w:rPr>
        <w:instrText xml:space="preserve"> ADDIN EN.CITE &lt;EndNote&gt;&lt;Cite&gt;&lt;Author&gt;Ellacott&lt;/Author&gt;&lt;Year&gt;2010&lt;/Year&gt;&lt;RecNum&gt;4&lt;/RecNum&gt;&lt;DisplayText&gt;(Ellacott et al., 2010)&lt;/DisplayText&gt;&lt;record&gt;&lt;rec-number&gt;4&lt;/rec-number&gt;&lt;foreign-keys&gt;&lt;key app="EN" db-id="ae9rewfrpdttrheppfxxv0p4950wpd25r09x" timestamp="1520657380"&gt;4&lt;/key&gt;&lt;key app="ENWeb" db-id=""&gt;0&lt;/key&gt;&lt;/foreign-keys&gt;&lt;ref-type name="Journal Article"&gt;17&lt;/ref-type&gt;&lt;contributors&gt;&lt;authors&gt;&lt;author&gt;Ellacott, Kate L. J.&lt;/author&gt;&lt;author&gt;Morton, Gregory J.&lt;/author&gt;&lt;author&gt;Schwartz, Michael W.&lt;/author&gt;&lt;author&gt;Tso, Patrick&lt;/author&gt;&lt;author&gt;Woods, Stephen C.&lt;/author&gt;&lt;/authors&gt;&lt;/contributors&gt;&lt;titles&gt;&lt;title&gt;Assessment of Feeding Behavior in Laboratory Mice&lt;/title&gt;&lt;secondary-title&gt;Cell metabolism&lt;/secondary-title&gt;&lt;/titles&gt;&lt;periodical&gt;&lt;full-title&gt;Cell metabolism&lt;/full-title&gt;&lt;/periodical&gt;&lt;pages&gt;10-18&lt;/pages&gt;&lt;volume&gt;12&lt;/volume&gt;&lt;number&gt;1&lt;/number&gt;&lt;dates&gt;&lt;year&gt;2010&lt;/year&gt;&lt;/dates&gt;&lt;isbn&gt;1550-4131&lt;/isbn&gt;&lt;urls&gt;&lt;/urls&gt;&lt;/record&gt;&lt;/Cite&gt;&lt;/EndNote&gt;</w:instrText>
      </w:r>
      <w:r w:rsidR="00D0746B">
        <w:rPr>
          <w:rFonts w:ascii="Arial" w:hAnsi="Arial"/>
          <w:color w:val="000000"/>
        </w:rPr>
        <w:fldChar w:fldCharType="separate"/>
      </w:r>
      <w:r w:rsidR="00D0746B">
        <w:rPr>
          <w:rFonts w:ascii="Arial" w:hAnsi="Arial"/>
          <w:noProof/>
          <w:color w:val="000000"/>
        </w:rPr>
        <w:t>(Ellacott et al., 2010)</w:t>
      </w:r>
      <w:r w:rsidR="00D0746B">
        <w:rPr>
          <w:rFonts w:ascii="Arial" w:hAnsi="Arial"/>
          <w:color w:val="000000"/>
        </w:rPr>
        <w:fldChar w:fldCharType="end"/>
      </w:r>
      <w:r w:rsidR="00D64755">
        <w:rPr>
          <w:rFonts w:ascii="Arial" w:hAnsi="Arial"/>
          <w:color w:val="000000"/>
        </w:rPr>
        <w:t xml:space="preserve">. </w:t>
      </w:r>
      <w:r>
        <w:rPr>
          <w:rFonts w:ascii="Arial" w:hAnsi="Arial"/>
          <w:color w:val="000000"/>
        </w:rPr>
        <w:t xml:space="preserve">The hyperphagia, observed during re-feeding period in aged mice, was to correct negative </w:t>
      </w:r>
      <w:r>
        <w:rPr>
          <w:rFonts w:ascii="Arial" w:hAnsi="Arial"/>
          <w:color w:val="000000"/>
        </w:rPr>
        <w:lastRenderedPageBreak/>
        <w:t xml:space="preserve">energy balance, and failure to consume large food would indicate a deficiency in the homeostatic response.  All the mice were acclimatised for a week and housed individually, which reduced the experimental stress and influence of the social </w:t>
      </w:r>
      <w:r w:rsidR="00D64755">
        <w:rPr>
          <w:rFonts w:ascii="Arial" w:hAnsi="Arial"/>
          <w:color w:val="000000"/>
        </w:rPr>
        <w:t>behaviour</w:t>
      </w:r>
      <w:r>
        <w:rPr>
          <w:rFonts w:ascii="Arial" w:hAnsi="Arial"/>
          <w:color w:val="000000"/>
        </w:rPr>
        <w:t xml:space="preserve"> on feeding </w:t>
      </w:r>
      <w:r w:rsidR="00D0746B">
        <w:rPr>
          <w:rFonts w:ascii="Arial" w:hAnsi="Arial"/>
          <w:color w:val="000000"/>
        </w:rPr>
        <w:fldChar w:fldCharType="begin"/>
      </w:r>
      <w:r w:rsidR="0000415D">
        <w:rPr>
          <w:rFonts w:ascii="Arial" w:hAnsi="Arial"/>
          <w:color w:val="000000"/>
        </w:rPr>
        <w:instrText xml:space="preserve"> ADDIN EN.CITE &lt;EndNote&gt;&lt;Cite&gt;&lt;Author&gt;Tamashiro&lt;/Author&gt;&lt;Year&gt;2007&lt;/Year&gt;&lt;RecNum&gt;535&lt;/RecNum&gt;&lt;DisplayText&gt;(Tamashiro et al., 2007)&lt;/DisplayText&gt;&lt;record&gt;&lt;rec-number&gt;535&lt;/rec-number&gt;&lt;foreign-keys&gt;&lt;key app="EN" db-id="ae9rewfrpdttrheppfxxv0p4950wpd25r09x" timestamp="1520969435"&gt;535&lt;/key&gt;&lt;/foreign-keys&gt;&lt;ref-type name="Journal Article"&gt;17&lt;/ref-type&gt;&lt;contributors&gt;&lt;authors&gt;&lt;author&gt;Tamashiro, Kellie L. K.&lt;/author&gt;&lt;author&gt;Nguyen, Mary M. N.&lt;/author&gt;&lt;author&gt;Ostrander, Michelle M.&lt;/author&gt;&lt;author&gt;Gardner, Stacy R.&lt;/author&gt;&lt;author&gt;Ma, Li Yun&lt;/author&gt;&lt;author&gt;Woods, Stephen C.&lt;/author&gt;&lt;author&gt;Sakai, Randall R.&lt;/author&gt;&lt;/authors&gt;&lt;/contributors&gt;&lt;titles&gt;&lt;title&gt;Social stress and recovery: implications for body weight and body composition&lt;/title&gt;&lt;secondary-title&gt;American Journal of Physiology. Regulatory, Integrative and Comparative Physiology&lt;/secondary-title&gt;&lt;/titles&gt;&lt;periodical&gt;&lt;full-title&gt;American journal of physiology. Regulatory, integrative and comparative physiology&lt;/full-title&gt;&lt;/periodical&gt;&lt;pages&gt;R1864-R74&lt;/pages&gt;&lt;volume&gt;293&lt;/volume&gt;&lt;number&gt;5&lt;/number&gt;&lt;keywords&gt;&lt;keyword&gt;Body Composition -- Physiology&lt;/keyword&gt;&lt;keyword&gt;Body Weight -- Physiology&lt;/keyword&gt;&lt;keyword&gt;Stress, Psychological -- Physiopathology&lt;/keyword&gt;&lt;/keywords&gt;&lt;dates&gt;&lt;year&gt;2007&lt;/year&gt;&lt;/dates&gt;&lt;isbn&gt;0363-6119&lt;/isbn&gt;&lt;urls&gt;&lt;/urls&gt;&lt;electronic-resource-num&gt;10.1152/ajpregu.00371.2007&lt;/electronic-resource-num&gt;&lt;/record&gt;&lt;/Cite&gt;&lt;/EndNote&gt;</w:instrText>
      </w:r>
      <w:r w:rsidR="00D0746B">
        <w:rPr>
          <w:rFonts w:ascii="Arial" w:hAnsi="Arial"/>
          <w:color w:val="000000"/>
        </w:rPr>
        <w:fldChar w:fldCharType="separate"/>
      </w:r>
      <w:r w:rsidR="00D0746B">
        <w:rPr>
          <w:rFonts w:ascii="Arial" w:hAnsi="Arial"/>
          <w:noProof/>
          <w:color w:val="000000"/>
        </w:rPr>
        <w:t>(Tamashiro et al., 2007)</w:t>
      </w:r>
      <w:r w:rsidR="00D0746B">
        <w:rPr>
          <w:rFonts w:ascii="Arial" w:hAnsi="Arial"/>
          <w:color w:val="000000"/>
        </w:rPr>
        <w:fldChar w:fldCharType="end"/>
      </w:r>
      <w:r>
        <w:rPr>
          <w:rFonts w:ascii="Arial" w:hAnsi="Arial"/>
          <w:color w:val="000000"/>
        </w:rPr>
        <w:t xml:space="preserve">. </w:t>
      </w:r>
      <w:r>
        <w:rPr>
          <w:rFonts w:ascii="Arial" w:hAnsi="Arial"/>
        </w:rPr>
        <w:t>We observed mice drinking infrequently without food since</w:t>
      </w:r>
      <w:r w:rsidRPr="008E2A7A">
        <w:rPr>
          <w:rFonts w:ascii="Arial" w:hAnsi="Arial"/>
        </w:rPr>
        <w:t xml:space="preserve"> </w:t>
      </w:r>
      <w:r>
        <w:rPr>
          <w:rFonts w:ascii="Arial" w:hAnsi="Arial"/>
        </w:rPr>
        <w:t xml:space="preserve">feeding and drinking events are synchronised </w:t>
      </w:r>
      <w:r w:rsidR="00D0746B">
        <w:rPr>
          <w:rFonts w:ascii="Arial" w:hAnsi="Arial"/>
        </w:rPr>
        <w:fldChar w:fldCharType="begin"/>
      </w:r>
      <w:r w:rsidR="0000415D">
        <w:rPr>
          <w:rFonts w:ascii="Arial" w:hAnsi="Arial"/>
        </w:rPr>
        <w:instrText xml:space="preserve"> ADDIN EN.CITE &lt;EndNote&gt;&lt;Cite&gt;&lt;Author&gt;Kurokawa&lt;/Author&gt;&lt;Year&gt;2000&lt;/Year&gt;&lt;RecNum&gt;536&lt;/RecNum&gt;&lt;DisplayText&gt;(Kurokawa et al., 2000)&lt;/DisplayText&gt;&lt;record&gt;&lt;rec-number&gt;536&lt;/rec-number&gt;&lt;foreign-keys&gt;&lt;key app="EN" db-id="ae9rewfrpdttrheppfxxv0p4950wpd25r09x" timestamp="1520969862"&gt;536&lt;/key&gt;&lt;/foreign-keys&gt;&lt;ref-type name="Journal Article"&gt;17&lt;/ref-type&gt;&lt;contributors&gt;&lt;authors&gt;&lt;author&gt;Kurokawa, Mamoru&lt;/author&gt;&lt;author&gt;Akino, Kozo&lt;/author&gt;&lt;author&gt;Kanda, Ken&lt;/author&gt;&lt;/authors&gt;&lt;/contributors&gt;&lt;titles&gt;&lt;title&gt;A new apparatus for studying feeding and drinking in the mouse&lt;/title&gt;&lt;secondary-title&gt;Physiology and Behavior&lt;/secondary-title&gt;&lt;/titles&gt;&lt;periodical&gt;&lt;full-title&gt;Physiology and Behavior&lt;/full-title&gt;&lt;/periodical&gt;&lt;pages&gt;105-112&lt;/pages&gt;&lt;volume&gt;70&lt;/volume&gt;&lt;number&gt;1&lt;/number&gt;&lt;keywords&gt;&lt;keyword&gt;Mouse&lt;/keyword&gt;&lt;keyword&gt;Feeding Pattern&lt;/keyword&gt;&lt;keyword&gt;New Apparatus&lt;/keyword&gt;&lt;keyword&gt;Circadian Rhythm&lt;/keyword&gt;&lt;keyword&gt;Ultradian Rhythm&lt;/keyword&gt;&lt;/keywords&gt;&lt;dates&gt;&lt;year&gt;2000&lt;/year&gt;&lt;/dates&gt;&lt;isbn&gt;0031-9384&lt;/isbn&gt;&lt;urls&gt;&lt;/urls&gt;&lt;electronic-resource-num&gt;10.1016/S0031-9384(00)00226-2&lt;/electronic-resource-num&gt;&lt;/record&gt;&lt;/Cite&gt;&lt;/EndNote&gt;</w:instrText>
      </w:r>
      <w:r w:rsidR="00D0746B">
        <w:rPr>
          <w:rFonts w:ascii="Arial" w:hAnsi="Arial"/>
        </w:rPr>
        <w:fldChar w:fldCharType="separate"/>
      </w:r>
      <w:r w:rsidR="00D0746B">
        <w:rPr>
          <w:rFonts w:ascii="Arial" w:hAnsi="Arial"/>
          <w:noProof/>
        </w:rPr>
        <w:t>(Kurokawa et al., 2000)</w:t>
      </w:r>
      <w:r w:rsidR="00D0746B">
        <w:rPr>
          <w:rFonts w:ascii="Arial" w:hAnsi="Arial"/>
        </w:rPr>
        <w:fldChar w:fldCharType="end"/>
      </w:r>
      <w:r>
        <w:rPr>
          <w:rFonts w:ascii="Arial" w:hAnsi="Arial"/>
        </w:rPr>
        <w:t xml:space="preserve">. </w:t>
      </w:r>
    </w:p>
    <w:p w14:paraId="07ED7AF4" w14:textId="77777777" w:rsidR="00814A1C" w:rsidRDefault="00814A1C" w:rsidP="00814A1C">
      <w:pPr>
        <w:spacing w:line="480" w:lineRule="auto"/>
        <w:jc w:val="both"/>
        <w:rPr>
          <w:rFonts w:ascii="Arial" w:hAnsi="Arial"/>
        </w:rPr>
      </w:pPr>
    </w:p>
    <w:p w14:paraId="3C928DE0" w14:textId="77777777" w:rsidR="00814A1C" w:rsidRPr="009E1781" w:rsidRDefault="00814A1C" w:rsidP="00814A1C">
      <w:pPr>
        <w:spacing w:line="480" w:lineRule="auto"/>
        <w:jc w:val="both"/>
        <w:rPr>
          <w:rFonts w:ascii="Arial" w:hAnsi="Arial"/>
        </w:rPr>
      </w:pPr>
      <w:r>
        <w:rPr>
          <w:rFonts w:ascii="Arial" w:hAnsi="Arial"/>
        </w:rPr>
        <w:t xml:space="preserve">Information </w:t>
      </w:r>
      <w:r w:rsidR="008A57A5">
        <w:rPr>
          <w:rFonts w:ascii="Arial" w:hAnsi="Arial"/>
        </w:rPr>
        <w:t>obtained</w:t>
      </w:r>
      <w:r>
        <w:rPr>
          <w:rFonts w:ascii="Arial" w:hAnsi="Arial"/>
        </w:rPr>
        <w:t xml:space="preserve"> from </w:t>
      </w:r>
      <w:r w:rsidR="00D85966">
        <w:rPr>
          <w:rFonts w:ascii="Arial" w:hAnsi="Arial"/>
        </w:rPr>
        <w:t xml:space="preserve">the </w:t>
      </w:r>
      <w:r w:rsidR="002841A3">
        <w:rPr>
          <w:rFonts w:ascii="Arial" w:hAnsi="Arial"/>
        </w:rPr>
        <w:t>studies</w:t>
      </w:r>
      <w:r>
        <w:rPr>
          <w:rFonts w:ascii="Arial" w:hAnsi="Arial"/>
        </w:rPr>
        <w:t xml:space="preserve"> of feeding behaviour in aged mice undoubtedly sheds light on human physiology and pathophysiology. </w:t>
      </w:r>
      <w:r w:rsidR="00EA0C7B">
        <w:rPr>
          <w:rFonts w:ascii="Arial" w:hAnsi="Arial"/>
        </w:rPr>
        <w:t>However, a</w:t>
      </w:r>
      <w:r>
        <w:rPr>
          <w:rFonts w:ascii="Arial" w:hAnsi="Arial"/>
        </w:rPr>
        <w:t>s discussed in the Chapter 3 there are differences in feeding behaviour between mice and humans,</w:t>
      </w:r>
      <w:r w:rsidRPr="0081417C">
        <w:rPr>
          <w:rFonts w:ascii="Arial" w:hAnsi="Arial"/>
          <w:color w:val="000000"/>
        </w:rPr>
        <w:t xml:space="preserve"> </w:t>
      </w:r>
      <w:r>
        <w:rPr>
          <w:rFonts w:ascii="Arial" w:hAnsi="Arial"/>
          <w:color w:val="000000"/>
        </w:rPr>
        <w:t>which should be accounted for when using mice as a model of human eating behaviour</w:t>
      </w:r>
      <w:r>
        <w:rPr>
          <w:rFonts w:ascii="Arial" w:hAnsi="Arial"/>
        </w:rPr>
        <w:t xml:space="preserve">. Mice </w:t>
      </w:r>
      <w:proofErr w:type="gramStart"/>
      <w:r>
        <w:rPr>
          <w:rFonts w:ascii="Arial" w:hAnsi="Arial"/>
        </w:rPr>
        <w:t>consume</w:t>
      </w:r>
      <w:proofErr w:type="gramEnd"/>
      <w:r>
        <w:rPr>
          <w:rFonts w:ascii="Arial" w:hAnsi="Arial"/>
        </w:rPr>
        <w:t xml:space="preserve"> more food and water during scotophase (dark period) than during photophase (light period) according to the nocturnal pattern </w:t>
      </w:r>
      <w:r w:rsidR="00D0746B">
        <w:rPr>
          <w:rFonts w:ascii="Arial" w:hAnsi="Arial"/>
        </w:rPr>
        <w:fldChar w:fldCharType="begin">
          <w:fldData xml:space="preserve">PEVuZE5vdGU+PENpdGU+PEF1dGhvcj5HYW5ub248L0F1dGhvcj48WWVhcj4xOTkyPC9ZZWFyPjxS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</w:fldData>
        </w:fldChar>
      </w:r>
      <w:r w:rsidR="0000415D">
        <w:rPr>
          <w:rFonts w:ascii="Arial" w:hAnsi="Arial"/>
        </w:rPr>
        <w:instrText xml:space="preserve"> ADDIN EN.CITE </w:instrText>
      </w:r>
      <w:r w:rsidR="0000415D">
        <w:rPr>
          <w:rFonts w:ascii="Arial" w:hAnsi="Arial"/>
        </w:rPr>
        <w:fldChar w:fldCharType="begin">
          <w:fldData xml:space="preserve">PEVuZE5vdGU+PENpdGU+PEF1dGhvcj5HYW5ub248L0F1dGhvcj48WWVhcj4xOTkyPC9ZZWFyPjxS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00D0746B">
        <w:rPr>
          <w:rFonts w:ascii="Arial" w:hAnsi="Arial"/>
        </w:rPr>
      </w:r>
      <w:r w:rsidR="00D0746B">
        <w:rPr>
          <w:rFonts w:ascii="Arial" w:hAnsi="Arial"/>
        </w:rPr>
        <w:fldChar w:fldCharType="separate"/>
      </w:r>
      <w:r w:rsidR="00D0746B">
        <w:rPr>
          <w:rFonts w:ascii="Arial" w:hAnsi="Arial"/>
          <w:noProof/>
        </w:rPr>
        <w:t>(Gannon et al., 1992, Kurokawa et al., 2000, Ayala et al., 2006)</w:t>
      </w:r>
      <w:r w:rsidR="00D0746B">
        <w:rPr>
          <w:rFonts w:ascii="Arial" w:hAnsi="Arial"/>
        </w:rPr>
        <w:fldChar w:fldCharType="end"/>
      </w:r>
      <w:r w:rsidR="00EA0C7B">
        <w:rPr>
          <w:rFonts w:ascii="Arial" w:hAnsi="Arial"/>
        </w:rPr>
        <w:t xml:space="preserve">. </w:t>
      </w:r>
      <w:r>
        <w:rPr>
          <w:rFonts w:ascii="Arial" w:hAnsi="Arial"/>
        </w:rPr>
        <w:t xml:space="preserve">Additionally, mice have higher surface area to volume ratio </w:t>
      </w:r>
      <w:r w:rsidR="00EE1530">
        <w:rPr>
          <w:rFonts w:ascii="Arial" w:hAnsi="Arial"/>
        </w:rPr>
        <w:t xml:space="preserve">compared to </w:t>
      </w:r>
      <w:r>
        <w:rPr>
          <w:rFonts w:ascii="Arial" w:hAnsi="Arial"/>
        </w:rPr>
        <w:t>humans meaning mice spend more energy to maintain their core body temperature. Fasting-induced torpor could trigger adaptive increase of</w:t>
      </w:r>
      <w:r w:rsidR="00D0746B">
        <w:rPr>
          <w:rFonts w:ascii="Arial" w:hAnsi="Arial"/>
        </w:rPr>
        <w:t xml:space="preserve"> food intake observed </w:t>
      </w:r>
      <w:r>
        <w:rPr>
          <w:rFonts w:ascii="Arial" w:hAnsi="Arial"/>
        </w:rPr>
        <w:t xml:space="preserve">in mice fasted for 24 hours due to progressive drop of the body temperature </w:t>
      </w:r>
      <w:r w:rsidR="00D0746B">
        <w:rPr>
          <w:rFonts w:ascii="Arial" w:hAnsi="Arial"/>
        </w:rPr>
        <w:fldChar w:fldCharType="begin"/>
      </w:r>
      <w:r w:rsidR="0000415D">
        <w:rPr>
          <w:rFonts w:ascii="Arial" w:hAnsi="Arial"/>
        </w:rPr>
        <w:instrText xml:space="preserve"> ADDIN EN.CITE &lt;EndNote&gt;&lt;Cite&gt;&lt;Author&gt;Kanizsai&lt;/Author&gt;&lt;Year&gt;2009&lt;/Year&gt;&lt;RecNum&gt;538&lt;/RecNum&gt;&lt;DisplayText&gt;(Kanizsai et al., 2009)&lt;/DisplayText&gt;&lt;record&gt;&lt;rec-number&gt;538&lt;/rec-number&gt;&lt;foreign-keys&gt;&lt;key app="EN" db-id="ae9rewfrpdttrheppfxxv0p4950wpd25r09x" timestamp="1520970609"&gt;538&lt;/key&gt;&lt;/foreign-keys&gt;&lt;ref-type name="Journal Article"&gt;17&lt;/ref-type&gt;&lt;contributors&gt;&lt;authors&gt;&lt;author&gt;Kanizsai, P.&lt;/author&gt;&lt;author&gt;Garami, A.&lt;/author&gt;&lt;author&gt;Solymár, M.&lt;/author&gt;&lt;author&gt;Szolcsányi, J.&lt;/author&gt;&lt;author&gt;Szelényi, Z.&lt;/author&gt;&lt;/authors&gt;&lt;/contributors&gt;&lt;titles&gt;&lt;title&gt;Energetics of fasting heterothermia in TRPV1- KO and wild type mice&lt;/title&gt;&lt;secondary-title&gt;Physiology and Behavior&lt;/secondary-title&gt;&lt;/titles&gt;&lt;periodical&gt;&lt;full-title&gt;Physiology and Behavior&lt;/full-title&gt;&lt;/periodical&gt;&lt;pages&gt;149-154&lt;/pages&gt;&lt;volume&gt;96&lt;/volume&gt;&lt;number&gt;1&lt;/number&gt;&lt;keywords&gt;&lt;keyword&gt;Trpv1- Ko Mouse&lt;/keyword&gt;&lt;keyword&gt;Fasting&lt;/keyword&gt;&lt;keyword&gt;Core Temperature&lt;/keyword&gt;&lt;keyword&gt;Locomotor Activity&lt;/keyword&gt;&lt;keyword&gt;Heterothermia&lt;/keyword&gt;&lt;/keywords&gt;&lt;dates&gt;&lt;year&gt;2009&lt;/year&gt;&lt;/dates&gt;&lt;isbn&gt;0031-9384&lt;/isbn&gt;&lt;urls&gt;&lt;/urls&gt;&lt;electronic-resource-num&gt;10.1016/j.physbeh.2008.09.023&lt;/electronic-resource-num&gt;&lt;/record&gt;&lt;/Cite&gt;&lt;/EndNote&gt;</w:instrText>
      </w:r>
      <w:r w:rsidR="00D0746B">
        <w:rPr>
          <w:rFonts w:ascii="Arial" w:hAnsi="Arial"/>
        </w:rPr>
        <w:fldChar w:fldCharType="separate"/>
      </w:r>
      <w:r w:rsidR="00D0746B">
        <w:rPr>
          <w:rFonts w:ascii="Arial" w:hAnsi="Arial"/>
          <w:noProof/>
        </w:rPr>
        <w:t>(Kanizsai et al., 2009)</w:t>
      </w:r>
      <w:r w:rsidR="00D0746B">
        <w:rPr>
          <w:rFonts w:ascii="Arial" w:hAnsi="Arial"/>
        </w:rPr>
        <w:fldChar w:fldCharType="end"/>
      </w:r>
      <w:r w:rsidR="008736AB">
        <w:rPr>
          <w:rFonts w:ascii="Arial" w:hAnsi="Arial"/>
        </w:rPr>
        <w:t>. H</w:t>
      </w:r>
      <w:r>
        <w:rPr>
          <w:rFonts w:ascii="Arial" w:hAnsi="Arial"/>
        </w:rPr>
        <w:t xml:space="preserve">owever aged mice in our experiment were fasted for 16 hours, therefore, torpor </w:t>
      </w:r>
      <w:r>
        <w:rPr>
          <w:rFonts w:ascii="Arial" w:hAnsi="Arial"/>
          <w:color w:val="000000"/>
        </w:rPr>
        <w:t>should not have affected interpretation of our results.</w:t>
      </w:r>
      <w:r>
        <w:rPr>
          <w:rFonts w:ascii="Arial" w:hAnsi="Arial"/>
        </w:rPr>
        <w:t xml:space="preserve"> Nevertheless, </w:t>
      </w:r>
      <w:r>
        <w:rPr>
          <w:rFonts w:ascii="Arial" w:hAnsi="Arial"/>
          <w:color w:val="000000"/>
        </w:rPr>
        <w:t>t</w:t>
      </w:r>
      <w:r w:rsidRPr="00A30BB5">
        <w:rPr>
          <w:rFonts w:ascii="Arial" w:hAnsi="Arial"/>
          <w:color w:val="000000"/>
        </w:rPr>
        <w:t xml:space="preserve">he primary purpose of this study was to assess the feeding behaviour of prolonged fasted fed </w:t>
      </w:r>
      <w:r>
        <w:rPr>
          <w:rFonts w:ascii="Arial" w:hAnsi="Arial"/>
          <w:color w:val="000000"/>
        </w:rPr>
        <w:t>aged</w:t>
      </w:r>
      <w:r w:rsidRPr="00A30BB5">
        <w:rPr>
          <w:rFonts w:ascii="Arial" w:hAnsi="Arial"/>
          <w:color w:val="000000"/>
        </w:rPr>
        <w:t xml:space="preserve"> male mice and ultimately the timing of feeding required for fasted mice to deplete </w:t>
      </w:r>
      <w:r>
        <w:rPr>
          <w:rFonts w:ascii="Arial" w:hAnsi="Arial"/>
          <w:color w:val="000000"/>
        </w:rPr>
        <w:t>standard</w:t>
      </w:r>
      <w:r w:rsidRPr="00A30BB5">
        <w:rPr>
          <w:rFonts w:ascii="Arial" w:hAnsi="Arial"/>
          <w:color w:val="000000"/>
        </w:rPr>
        <w:t xml:space="preserve"> chow following overnight food restriction.</w:t>
      </w:r>
      <w:r>
        <w:rPr>
          <w:rFonts w:ascii="Arial" w:hAnsi="Arial"/>
          <w:color w:val="000000"/>
        </w:rPr>
        <w:t xml:space="preserve"> F</w:t>
      </w:r>
      <w:r w:rsidRPr="00C46B31">
        <w:rPr>
          <w:rFonts w:ascii="Arial" w:hAnsi="Arial"/>
          <w:color w:val="000000"/>
        </w:rPr>
        <w:t xml:space="preserve">urther studies </w:t>
      </w:r>
      <w:r>
        <w:rPr>
          <w:rFonts w:ascii="Arial" w:hAnsi="Arial"/>
          <w:color w:val="000000"/>
        </w:rPr>
        <w:t xml:space="preserve">could expand to include female aged mice since, like humans, body compositions and fat distribution </w:t>
      </w:r>
      <w:r w:rsidR="00CF41FF">
        <w:rPr>
          <w:rFonts w:ascii="Arial" w:hAnsi="Arial"/>
          <w:color w:val="000000"/>
        </w:rPr>
        <w:t>are different</w:t>
      </w:r>
      <w:r>
        <w:rPr>
          <w:rFonts w:ascii="Arial" w:hAnsi="Arial"/>
          <w:color w:val="000000"/>
        </w:rPr>
        <w:t xml:space="preserve"> between male and female mice. Additionally hormonal variations due to estrous cycle may affect the energy balance in female mice </w:t>
      </w:r>
      <w:r w:rsidR="00D0746B">
        <w:rPr>
          <w:rFonts w:ascii="Arial" w:hAnsi="Arial"/>
          <w:color w:val="000000"/>
        </w:rPr>
        <w:fldChar w:fldCharType="begin">
          <w:fldData xml:space="preserve">PEVuZE5vdGU+PENpdGU+PEF1dGhvcj5Bc2FyaWFuPC9BdXRob3I+PFllYXI+MjAwNjwvWWVhcj48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</w:fldData>
        </w:fldChar>
      </w:r>
      <w:r w:rsidR="00651EFF">
        <w:rPr>
          <w:rFonts w:ascii="Arial" w:hAnsi="Arial"/>
          <w:color w:val="000000"/>
        </w:rPr>
        <w:instrText xml:space="preserve"> ADDIN EN.CITE </w:instrText>
      </w:r>
      <w:r w:rsidR="00651EFF">
        <w:rPr>
          <w:rFonts w:ascii="Arial" w:hAnsi="Arial"/>
          <w:color w:val="000000"/>
        </w:rPr>
        <w:fldChar w:fldCharType="begin">
          <w:fldData xml:space="preserve">PEVuZE5vdGU+PENpdGU+PEF1dGhvcj5Bc2FyaWFuPC9BdXRob3I+PFllYXI+MjAwNjwvWWVhcj48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</w:fldData>
        </w:fldChar>
      </w:r>
      <w:r w:rsidR="00651EFF">
        <w:rPr>
          <w:rFonts w:ascii="Arial" w:hAnsi="Arial"/>
          <w:color w:val="000000"/>
        </w:rPr>
        <w:instrText xml:space="preserve"> ADDIN EN.CITE.DATA </w:instrText>
      </w:r>
      <w:r w:rsidR="00651EFF">
        <w:rPr>
          <w:rFonts w:ascii="Arial" w:hAnsi="Arial"/>
          <w:color w:val="000000"/>
        </w:rPr>
      </w:r>
      <w:r w:rsidR="00651EFF">
        <w:rPr>
          <w:rFonts w:ascii="Arial" w:hAnsi="Arial"/>
          <w:color w:val="000000"/>
        </w:rPr>
        <w:fldChar w:fldCharType="end"/>
      </w:r>
      <w:r w:rsidR="00D0746B">
        <w:rPr>
          <w:rFonts w:ascii="Arial" w:hAnsi="Arial"/>
          <w:color w:val="000000"/>
        </w:rPr>
      </w:r>
      <w:r w:rsidR="00D0746B">
        <w:rPr>
          <w:rFonts w:ascii="Arial" w:hAnsi="Arial"/>
          <w:color w:val="000000"/>
        </w:rPr>
        <w:fldChar w:fldCharType="separate"/>
      </w:r>
      <w:r w:rsidR="00D0746B">
        <w:rPr>
          <w:rFonts w:ascii="Arial" w:hAnsi="Arial"/>
          <w:noProof/>
          <w:color w:val="000000"/>
        </w:rPr>
        <w:t>(Asarian, 2006, Hill et al., 2008)</w:t>
      </w:r>
      <w:r w:rsidR="00D0746B">
        <w:rPr>
          <w:rFonts w:ascii="Arial" w:hAnsi="Arial"/>
          <w:color w:val="000000"/>
        </w:rPr>
        <w:fldChar w:fldCharType="end"/>
      </w:r>
      <w:r>
        <w:rPr>
          <w:rFonts w:ascii="Arial" w:hAnsi="Arial"/>
          <w:color w:val="000000"/>
        </w:rPr>
        <w:t xml:space="preserve">. </w:t>
      </w:r>
    </w:p>
    <w:p w14:paraId="5D599CCB" w14:textId="77777777" w:rsidR="00B55250" w:rsidRPr="00B55250" w:rsidRDefault="00814A1C" w:rsidP="00B55250">
      <w:pPr>
        <w:pStyle w:val="Heading3"/>
        <w:spacing w:line="480" w:lineRule="auto"/>
        <w:jc w:val="both"/>
        <w:rPr>
          <w:rFonts w:ascii="Arial" w:hAnsi="Arial"/>
          <w:color w:val="auto"/>
        </w:rPr>
      </w:pPr>
      <w:bookmarkStart w:id="153" w:name="_Toc383723924"/>
      <w:r w:rsidRPr="00B55250">
        <w:rPr>
          <w:rFonts w:ascii="Arial" w:hAnsi="Arial"/>
          <w:color w:val="auto"/>
        </w:rPr>
        <w:lastRenderedPageBreak/>
        <w:t xml:space="preserve">6.3.2 </w:t>
      </w:r>
      <w:proofErr w:type="gramStart"/>
      <w:r w:rsidR="00B55250" w:rsidRPr="00B55250">
        <w:rPr>
          <w:rFonts w:ascii="Arial" w:hAnsi="Arial"/>
          <w:color w:val="auto"/>
        </w:rPr>
        <w:t>The</w:t>
      </w:r>
      <w:proofErr w:type="gramEnd"/>
      <w:r w:rsidR="00B55250" w:rsidRPr="00B55250">
        <w:rPr>
          <w:rFonts w:ascii="Arial" w:hAnsi="Arial"/>
          <w:color w:val="auto"/>
        </w:rPr>
        <w:t xml:space="preserve"> effect of ageing on cortical bone’s response to mechanical loading</w:t>
      </w:r>
      <w:bookmarkEnd w:id="153"/>
    </w:p>
    <w:p w14:paraId="51E11074" w14:textId="77777777" w:rsidR="00417CFB" w:rsidRDefault="00D54990" w:rsidP="00DD12E8">
      <w:pPr>
        <w:spacing w:line="480" w:lineRule="auto"/>
        <w:jc w:val="both"/>
        <w:rPr>
          <w:rFonts w:ascii="Arial" w:hAnsi="Arial" w:cs="Arial"/>
        </w:rPr>
      </w:pPr>
      <w:r>
        <w:rPr>
          <w:rFonts w:ascii="Arial" w:hAnsi="Arial" w:cs="Arial"/>
        </w:rPr>
        <w:t xml:space="preserve">In this study we report that aged mice </w:t>
      </w:r>
      <w:r w:rsidR="00417CFB">
        <w:rPr>
          <w:rFonts w:ascii="Arial" w:hAnsi="Arial" w:cs="Arial"/>
        </w:rPr>
        <w:t xml:space="preserve">had less robust changes in </w:t>
      </w:r>
      <w:r>
        <w:rPr>
          <w:rFonts w:ascii="Arial" w:hAnsi="Arial" w:cs="Arial"/>
        </w:rPr>
        <w:t xml:space="preserve">cortical </w:t>
      </w:r>
      <w:r w:rsidR="00417CFB">
        <w:rPr>
          <w:rFonts w:ascii="Arial" w:hAnsi="Arial" w:cs="Arial"/>
        </w:rPr>
        <w:t xml:space="preserve">and trabecular </w:t>
      </w:r>
      <w:r>
        <w:rPr>
          <w:rFonts w:ascii="Arial" w:hAnsi="Arial" w:cs="Arial"/>
        </w:rPr>
        <w:t xml:space="preserve">bone mass and architecture in response to the maximal mechanical loading than young mice </w:t>
      </w:r>
      <w:r w:rsidR="00D0746B">
        <w:rPr>
          <w:rFonts w:ascii="Arial" w:hAnsi="Arial" w:cs="Arial"/>
        </w:rPr>
        <w:fldChar w:fldCharType="begin">
          <w:fldData xml:space="preserve">PEVuZE5vdGU+PENpdGU+PEF1dGhvcj5SdWJpbjwvQXV0aG9yPjxZZWFyPjE5OTI8L1llYXI+PFJl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PEVuZE5vdGU+PENpdGU+PEF1dGhvcj5SdWJpbjwvQXV0aG9yPjxZZWFyPjE5OTI8L1llYXI+PFJl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D0746B">
        <w:rPr>
          <w:rFonts w:ascii="Arial" w:hAnsi="Arial" w:cs="Arial"/>
        </w:rPr>
      </w:r>
      <w:r w:rsidR="00D0746B">
        <w:rPr>
          <w:rFonts w:ascii="Arial" w:hAnsi="Arial" w:cs="Arial"/>
        </w:rPr>
        <w:fldChar w:fldCharType="separate"/>
      </w:r>
      <w:r w:rsidR="00D0746B">
        <w:rPr>
          <w:rFonts w:ascii="Arial" w:hAnsi="Arial" w:cs="Arial"/>
          <w:noProof/>
        </w:rPr>
        <w:t>(Rubin et al., 1992, Turner et al., 1995, Srinivasan et al., 2003, Willie et al., 2013, Meakin et al., 2014)</w:t>
      </w:r>
      <w:r w:rsidR="00D0746B">
        <w:rPr>
          <w:rFonts w:ascii="Arial" w:hAnsi="Arial" w:cs="Arial"/>
        </w:rPr>
        <w:fldChar w:fldCharType="end"/>
      </w:r>
      <w:r w:rsidR="00F56A1C">
        <w:rPr>
          <w:rFonts w:ascii="Arial" w:hAnsi="Arial" w:cs="Arial"/>
        </w:rPr>
        <w:t xml:space="preserve">. </w:t>
      </w:r>
    </w:p>
    <w:p w14:paraId="424123E2" w14:textId="77777777" w:rsidR="00417CFB" w:rsidRDefault="00417CFB" w:rsidP="00DD12E8">
      <w:pPr>
        <w:spacing w:line="480" w:lineRule="auto"/>
        <w:jc w:val="both"/>
        <w:rPr>
          <w:rFonts w:ascii="Arial" w:hAnsi="Arial" w:cs="Arial"/>
        </w:rPr>
      </w:pPr>
    </w:p>
    <w:p w14:paraId="580A6499" w14:textId="77777777" w:rsidR="00417CFB" w:rsidRDefault="00DD12E8" w:rsidP="00417CFB">
      <w:pPr>
        <w:spacing w:line="480" w:lineRule="auto"/>
        <w:jc w:val="both"/>
        <w:rPr>
          <w:rFonts w:ascii="Arial" w:hAnsi="Arial" w:cs="Arial"/>
        </w:rPr>
      </w:pPr>
      <w:r w:rsidRPr="00234A98">
        <w:rPr>
          <w:rFonts w:ascii="Arial" w:hAnsi="Arial"/>
        </w:rPr>
        <w:t>Aged male mice</w:t>
      </w:r>
      <w:r>
        <w:rPr>
          <w:rFonts w:ascii="Arial" w:hAnsi="Arial"/>
        </w:rPr>
        <w:t xml:space="preserve"> were heavier than young adults, </w:t>
      </w:r>
      <w:r w:rsidRPr="00234A98">
        <w:rPr>
          <w:rFonts w:ascii="Arial" w:hAnsi="Arial"/>
        </w:rPr>
        <w:t xml:space="preserve">therefore </w:t>
      </w:r>
      <w:r>
        <w:rPr>
          <w:rFonts w:ascii="Arial" w:hAnsi="Arial"/>
        </w:rPr>
        <w:t>implying greater body</w:t>
      </w:r>
      <w:r w:rsidRPr="00234A98">
        <w:rPr>
          <w:rFonts w:ascii="Arial" w:hAnsi="Arial"/>
        </w:rPr>
        <w:t>weight engendered strains on the long bones. However</w:t>
      </w:r>
      <w:r>
        <w:rPr>
          <w:rFonts w:ascii="Arial" w:hAnsi="Arial"/>
        </w:rPr>
        <w:t>,</w:t>
      </w:r>
      <w:r w:rsidRPr="00234A98">
        <w:rPr>
          <w:rFonts w:ascii="Arial" w:hAnsi="Arial"/>
        </w:rPr>
        <w:t xml:space="preserve"> bone mass </w:t>
      </w:r>
      <w:r>
        <w:rPr>
          <w:rFonts w:ascii="Arial" w:hAnsi="Arial"/>
        </w:rPr>
        <w:t xml:space="preserve">measures </w:t>
      </w:r>
      <w:r w:rsidRPr="00234A98">
        <w:rPr>
          <w:rFonts w:ascii="Arial" w:hAnsi="Arial"/>
        </w:rPr>
        <w:t>are ge</w:t>
      </w:r>
      <w:r>
        <w:rPr>
          <w:rFonts w:ascii="Arial" w:hAnsi="Arial"/>
        </w:rPr>
        <w:t xml:space="preserve">nerally lower in older animals, indicating failure of the mechanostat as it </w:t>
      </w:r>
      <w:r>
        <w:rPr>
          <w:rFonts w:ascii="Arial" w:hAnsi="Arial" w:cs="Arial"/>
          <w:color w:val="000000"/>
          <w:shd w:val="clear" w:color="auto" w:fill="FFFFFF"/>
        </w:rPr>
        <w:t xml:space="preserve">functions </w:t>
      </w:r>
      <w:r w:rsidR="00287844">
        <w:rPr>
          <w:rFonts w:ascii="Arial" w:hAnsi="Arial" w:cs="Arial"/>
          <w:color w:val="000000"/>
          <w:shd w:val="clear" w:color="auto" w:fill="FFFFFF"/>
        </w:rPr>
        <w:t>to optimis</w:t>
      </w:r>
      <w:r w:rsidRPr="0066417A">
        <w:rPr>
          <w:rFonts w:ascii="Arial" w:hAnsi="Arial" w:cs="Arial"/>
          <w:color w:val="000000"/>
          <w:shd w:val="clear" w:color="auto" w:fill="FFFFFF"/>
        </w:rPr>
        <w:t xml:space="preserve">e bone mass and architecture based on </w:t>
      </w:r>
      <w:r>
        <w:rPr>
          <w:rFonts w:ascii="Arial" w:hAnsi="Arial" w:cs="Arial"/>
          <w:color w:val="000000"/>
          <w:shd w:val="clear" w:color="auto" w:fill="FFFFFF"/>
        </w:rPr>
        <w:t xml:space="preserve">the </w:t>
      </w:r>
      <w:r w:rsidR="00F56A1C">
        <w:rPr>
          <w:rFonts w:ascii="Arial" w:hAnsi="Arial" w:cs="Arial"/>
          <w:color w:val="000000"/>
          <w:shd w:val="clear" w:color="auto" w:fill="FFFFFF"/>
        </w:rPr>
        <w:t xml:space="preserve">prevailing </w:t>
      </w:r>
      <w:r w:rsidRPr="0066417A">
        <w:rPr>
          <w:rFonts w:ascii="Arial" w:hAnsi="Arial" w:cs="Arial"/>
          <w:color w:val="000000"/>
          <w:shd w:val="clear" w:color="auto" w:fill="FFFFFF"/>
        </w:rPr>
        <w:t>strains</w:t>
      </w:r>
      <w:r>
        <w:rPr>
          <w:rFonts w:ascii="Arial" w:hAnsi="Arial" w:cs="Arial"/>
          <w:color w:val="000000"/>
          <w:shd w:val="clear" w:color="auto" w:fill="FFFFFF"/>
        </w:rPr>
        <w:t xml:space="preserve"> and induce adaptive skeletal response </w:t>
      </w:r>
      <w:r w:rsidR="00D0746B">
        <w:rPr>
          <w:rFonts w:ascii="Arial" w:hAnsi="Arial" w:cs="Arial"/>
          <w:color w:val="000000"/>
          <w:shd w:val="clear" w:color="auto" w:fill="FFFFFF"/>
        </w:rPr>
        <w:fldChar w:fldCharType="begin"/>
      </w:r>
      <w:r w:rsidR="00651EFF">
        <w:rPr>
          <w:rFonts w:ascii="Arial" w:hAnsi="Arial" w:cs="Arial"/>
          <w:color w:val="000000"/>
          <w:shd w:val="clear" w:color="auto" w:fill="FFFFFF"/>
        </w:rPr>
        <w:instrText xml:space="preserve"> ADDIN EN.CITE &lt;EndNote&gt;&lt;Cite&gt;&lt;Author&gt;Iwaniec&lt;/Author&gt;&lt;Year&gt;2016&lt;/Year&gt;&lt;RecNum&gt;543&lt;/RecNum&gt;&lt;DisplayText&gt;(Iwaniec and Turner, 2016)&lt;/DisplayText&gt;&lt;record&gt;&lt;rec-number&gt;543&lt;/rec-number&gt;&lt;foreign-keys&gt;&lt;key app="EN" db-id="ae9rewfrpdttrheppfxxv0p4950wpd25r09x" timestamp="1520974383"&gt;543&lt;/key&gt;&lt;/foreign-keys&gt;&lt;ref-type name="Journal Article"&gt;17&lt;/ref-type&gt;&lt;contributors&gt;&lt;authors&gt;&lt;author&gt;Iwaniec, Ut&lt;/author&gt;&lt;author&gt;Turner, Rt&lt;/author&gt;&lt;/authors&gt;&lt;/contributors&gt;&lt;titles&gt;&lt;title&gt;Influence of body weight on bone mass, architecture and turnover&lt;/title&gt;&lt;secondary-title&gt;The Journal of Endocrinology&lt;/secondary-title&gt;&lt;/titles&gt;&lt;periodical&gt;&lt;full-title&gt;The Journal of endocrinology&lt;/full-title&gt;&lt;/periodical&gt;&lt;pages&gt;R115-R130&lt;/pages&gt;&lt;volume&gt;230&lt;/volume&gt;&lt;keywords&gt;&lt;keyword&gt;Fracture Risk&lt;/keyword&gt;&lt;keyword&gt;Leptin&lt;/keyword&gt;&lt;keyword&gt;Mechanical Strain&lt;/keyword&gt;&lt;keyword&gt;Osteoporosis&lt;/keyword&gt;&lt;keyword&gt;Weight Change&lt;/keyword&gt;&lt;keyword&gt;Body Weight -- Physiology&lt;/keyword&gt;&lt;/keywords&gt;&lt;dates&gt;&lt;year&gt;2016&lt;/year&gt;&lt;/dates&gt;&lt;isbn&gt;0022-0795&lt;/isbn&gt;&lt;urls&gt;&lt;/urls&gt;&lt;electronic-resource-num&gt;10.1530/JOE-16-0089&lt;/electronic-resource-num&gt;&lt;/record&gt;&lt;/Cite&gt;&lt;/EndNote&gt;</w:instrText>
      </w:r>
      <w:r w:rsidR="00D0746B">
        <w:rPr>
          <w:rFonts w:ascii="Arial" w:hAnsi="Arial" w:cs="Arial"/>
          <w:color w:val="000000"/>
          <w:shd w:val="clear" w:color="auto" w:fill="FFFFFF"/>
        </w:rPr>
        <w:fldChar w:fldCharType="separate"/>
      </w:r>
      <w:r w:rsidR="00D0746B">
        <w:rPr>
          <w:rFonts w:ascii="Arial" w:hAnsi="Arial" w:cs="Arial"/>
          <w:noProof/>
          <w:color w:val="000000"/>
          <w:shd w:val="clear" w:color="auto" w:fill="FFFFFF"/>
        </w:rPr>
        <w:t>(Iwaniec and Turner, 2016)</w:t>
      </w:r>
      <w:r w:rsidR="00D0746B">
        <w:rPr>
          <w:rFonts w:ascii="Arial" w:hAnsi="Arial" w:cs="Arial"/>
          <w:color w:val="000000"/>
          <w:shd w:val="clear" w:color="auto" w:fill="FFFFFF"/>
        </w:rPr>
        <w:fldChar w:fldCharType="end"/>
      </w:r>
      <w:r w:rsidR="00F56A1C">
        <w:rPr>
          <w:rFonts w:ascii="Arial" w:hAnsi="Arial" w:cs="Arial"/>
          <w:color w:val="000000"/>
          <w:shd w:val="clear" w:color="auto" w:fill="FFFFFF"/>
        </w:rPr>
        <w:t xml:space="preserve">. </w:t>
      </w:r>
      <w:r>
        <w:rPr>
          <w:rFonts w:ascii="Arial" w:hAnsi="Arial"/>
        </w:rPr>
        <w:t xml:space="preserve">It has been previously shown strong correlation between bodyweights and bone mass </w:t>
      </w:r>
      <w:r w:rsidR="00D0746B">
        <w:rPr>
          <w:rFonts w:ascii="Arial" w:hAnsi="Arial"/>
        </w:rPr>
        <w:fldChar w:fldCharType="begin"/>
      </w:r>
      <w:r w:rsidR="00D0746B">
        <w:rPr>
          <w:rFonts w:ascii="Arial" w:hAnsi="Arial"/>
        </w:rPr>
        <w:instrText xml:space="preserve"> ADDIN EN.CITE &lt;EndNote&gt;&lt;Cite&gt;&lt;Author&gt;Saxon&lt;/Author&gt;&lt;Year&gt;2012&lt;/Year&gt;&lt;RecNum&gt;544&lt;/RecNum&gt;&lt;DisplayText&gt;(Saxon et al., 2012)&lt;/DisplayText&gt;&lt;record&gt;&lt;rec-number&gt;544&lt;/rec-number&gt;&lt;foreign-keys&gt;&lt;key app="EN" db-id="ae9rewfrpdttrheppfxxv0p4950wpd25r09x" timestamp="1520974801"&gt;544&lt;/key&gt;&lt;/foreign-keys&gt;&lt;ref-type name="Journal Article"&gt;17&lt;/ref-type&gt;&lt;contributors&gt;&lt;authors&gt;&lt;author&gt;Saxon, L.&lt;/author&gt;&lt;author&gt;Galea, G.&lt;/author&gt;&lt;author&gt;Meakin, L.&lt;/author&gt;&lt;author&gt;Price, J.&lt;/author&gt;&lt;author&gt;Lanyon, Le&lt;/author&gt;&lt;/authors&gt;&lt;secondary-authors&gt;&lt;author&gt;Saxon, L.&lt;/author&gt;&lt;/secondary-authors&gt;&lt;/contributors&gt;&lt;titles&gt;&lt;title&gt;Estrogen Receptors alpha and beta Have Different Gender-Dependent Effects on the Adaptive Responses to Load Bearing in Cancellous and Cortical Bone&lt;/title&gt;&lt;secondary-title&gt;Endocrinology&lt;/secondary-title&gt;&lt;/titles&gt;&lt;periodical&gt;&lt;full-title&gt;Endocrinology&lt;/full-title&gt;&lt;/periodical&gt;&lt;pages&gt;2254-2266&lt;/pages&gt;&lt;volume&gt;153&lt;/volume&gt;&lt;number&gt;5&lt;/number&gt;&lt;keywords&gt;&lt;keyword&gt;Bone (Cancellous)&lt;/keyword&gt;&lt;keyword&gt;Loading&lt;/keyword&gt;&lt;keyword&gt;Bone (Cortical)&lt;/keyword&gt;&lt;keyword&gt;Computed Tomography&lt;/keyword&gt;&lt;keyword&gt;Bone Loss&lt;/keyword&gt;&lt;keyword&gt;Genotypes&lt;/keyword&gt;&lt;keyword&gt;Estrogen Receptors&lt;/keyword&gt;&lt;keyword&gt;Bone (Cancellous)&lt;/keyword&gt;&lt;keyword&gt;Bone (Cortical)&lt;/keyword&gt;&lt;keyword&gt;Bone Loss&lt;/keyword&gt;&lt;keyword&gt;Computed Tomography&lt;/keyword&gt;&lt;keyword&gt;Estrogen Receptors&lt;/keyword&gt;&lt;keyword&gt;Genotypes&lt;/keyword&gt;&lt;keyword&gt;Loading&lt;/keyword&gt;&lt;keyword&gt;Bone and Bone Diseases&lt;/keyword&gt;&lt;/keywords&gt;&lt;dates&gt;&lt;year&gt;2012&lt;/year&gt;&lt;/dates&gt;&lt;isbn&gt;0013-7227&lt;/isbn&gt;&lt;urls&gt;&lt;/urls&gt;&lt;electronic-resource-num&gt;10.1210/en.2011-1977&lt;/electronic-resource-num&gt;&lt;/record&gt;&lt;/Cite&gt;&lt;/EndNote&gt;</w:instrText>
      </w:r>
      <w:r w:rsidR="00D0746B">
        <w:rPr>
          <w:rFonts w:ascii="Arial" w:hAnsi="Arial"/>
        </w:rPr>
        <w:fldChar w:fldCharType="separate"/>
      </w:r>
      <w:r w:rsidR="00D0746B">
        <w:rPr>
          <w:rFonts w:ascii="Arial" w:hAnsi="Arial"/>
          <w:noProof/>
        </w:rPr>
        <w:t>(Saxon et al., 2012)</w:t>
      </w:r>
      <w:r w:rsidR="00D0746B">
        <w:rPr>
          <w:rFonts w:ascii="Arial" w:hAnsi="Arial"/>
        </w:rPr>
        <w:fldChar w:fldCharType="end"/>
      </w:r>
      <w:r>
        <w:rPr>
          <w:rFonts w:ascii="Arial" w:hAnsi="Arial"/>
        </w:rPr>
        <w:t>.</w:t>
      </w:r>
      <w:r w:rsidRPr="006128D3">
        <w:rPr>
          <w:rFonts w:ascii="Arial" w:hAnsi="Arial"/>
        </w:rPr>
        <w:t xml:space="preserve"> </w:t>
      </w:r>
    </w:p>
    <w:p w14:paraId="21C23712" w14:textId="77777777" w:rsidR="00417CFB" w:rsidRDefault="00417CFB" w:rsidP="00417CFB">
      <w:pPr>
        <w:spacing w:line="480" w:lineRule="auto"/>
        <w:jc w:val="both"/>
        <w:rPr>
          <w:rFonts w:ascii="Arial" w:hAnsi="Arial" w:cs="Arial"/>
        </w:rPr>
      </w:pPr>
    </w:p>
    <w:p w14:paraId="32C78030" w14:textId="77777777" w:rsidR="00417CFB" w:rsidRPr="00417CFB" w:rsidRDefault="00417CFB" w:rsidP="00417CFB">
      <w:pPr>
        <w:spacing w:line="480" w:lineRule="auto"/>
        <w:jc w:val="both"/>
        <w:rPr>
          <w:rFonts w:ascii="Arial" w:hAnsi="Arial" w:cs="Arial"/>
        </w:rPr>
      </w:pPr>
      <w:r w:rsidRPr="00061C7A">
        <w:rPr>
          <w:rFonts w:ascii="Arial" w:hAnsi="Arial" w:cs="Arial"/>
        </w:rPr>
        <w:t xml:space="preserve">The experimental procedures </w:t>
      </w:r>
      <w:r>
        <w:rPr>
          <w:rFonts w:ascii="Arial" w:hAnsi="Arial" w:cs="Arial"/>
        </w:rPr>
        <w:t>did not affect</w:t>
      </w:r>
      <w:r w:rsidRPr="00061C7A">
        <w:rPr>
          <w:rFonts w:ascii="Arial" w:hAnsi="Arial" w:cs="Arial"/>
        </w:rPr>
        <w:t xml:space="preserve"> </w:t>
      </w:r>
      <w:r>
        <w:rPr>
          <w:rFonts w:ascii="Arial" w:hAnsi="Arial"/>
          <w:bCs/>
        </w:rPr>
        <w:t xml:space="preserve">longitudinal </w:t>
      </w:r>
      <w:r w:rsidRPr="00061C7A">
        <w:rPr>
          <w:rFonts w:ascii="Arial" w:hAnsi="Arial" w:cs="Arial"/>
        </w:rPr>
        <w:t xml:space="preserve">tibial length </w:t>
      </w:r>
      <w:r>
        <w:rPr>
          <w:rFonts w:ascii="Arial" w:hAnsi="Arial" w:cs="Arial"/>
        </w:rPr>
        <w:t xml:space="preserve">of </w:t>
      </w:r>
      <w:r>
        <w:rPr>
          <w:rFonts w:ascii="Arial" w:hAnsi="Arial"/>
          <w:bCs/>
        </w:rPr>
        <w:t xml:space="preserve">left control and right loaded tibiae of </w:t>
      </w:r>
      <w:r>
        <w:rPr>
          <w:rFonts w:ascii="Arial" w:hAnsi="Arial" w:cs="Arial"/>
        </w:rPr>
        <w:t xml:space="preserve">aged male mice within and between the fed and fasted fed groups as expected (Figure 45). Longitudinal bone growth does not end at sexual maturity in mice (6-8 weeks of age) but slows to very low levels, in contrast, cartilage deposition ceases and longitudinal appositional growth stops with puberty in humans </w:t>
      </w:r>
      <w:r w:rsidR="00D0746B">
        <w:rPr>
          <w:rFonts w:ascii="Arial" w:hAnsi="Arial" w:cs="Arial"/>
        </w:rPr>
        <w:fldChar w:fldCharType="begin"/>
      </w:r>
      <w:r w:rsidR="00D0746B">
        <w:rPr>
          <w:rFonts w:ascii="Arial" w:hAnsi="Arial" w:cs="Arial"/>
        </w:rPr>
        <w:instrText xml:space="preserve"> ADDIN EN.CITE &lt;EndNote&gt;&lt;Cite&gt;&lt;Author&gt;Parfitt&lt;/Author&gt;&lt;Year&gt;2002&lt;/Year&gt;&lt;RecNum&gt;545&lt;/RecNum&gt;&lt;DisplayText&gt;(Parfitt, 2002, Jilka, 2013)&lt;/DisplayText&gt;&lt;record&gt;&lt;rec-number&gt;545&lt;/rec-number&gt;&lt;foreign-keys&gt;&lt;key app="EN" db-id="ae9rewfrpdttrheppfxxv0p4950wpd25r09x" timestamp="1520975333"&gt;545&lt;/key&gt;&lt;/foreign-keys&gt;&lt;ref-type name="Journal Article"&gt;17&lt;/ref-type&gt;&lt;contributors&gt;&lt;authors&gt;&lt;author&gt;Parfitt, A. M.&lt;/author&gt;&lt;/authors&gt;&lt;/contributors&gt;&lt;titles&gt;&lt;title&gt;Misconceptions (1): epiphyseal fusion causes cessation of growth&lt;/title&gt;&lt;secondary-title&gt;Bone&lt;/secondary-title&gt;&lt;/titles&gt;&lt;periodical&gt;&lt;full-title&gt;Bone&lt;/full-title&gt;&lt;/periodical&gt;&lt;pages&gt;337-339&lt;/pages&gt;&lt;volume&gt;30&lt;/volume&gt;&lt;number&gt;2&lt;/number&gt;&lt;keywords&gt;&lt;keyword&gt;Bone Growth&lt;/keyword&gt;&lt;keyword&gt;Epiphysis&lt;/keyword&gt;&lt;keyword&gt;Bone Growth and Remodelling&lt;/keyword&gt;&lt;/keywords&gt;&lt;dates&gt;&lt;year&gt;2002&lt;/year&gt;&lt;/dates&gt;&lt;isbn&gt;8756-3282&lt;/isbn&gt;&lt;urls&gt;&lt;/urls&gt;&lt;electronic-resource-num&gt;10.1016/S8756-3282(01)00668-8&lt;/electronic-resource-num&gt;&lt;/record&gt;&lt;/Cite&gt;&lt;Cite&gt;&lt;Author&gt;Jilka&lt;/Author&gt;&lt;Year&gt;2013&lt;/Year&gt;&lt;RecNum&gt;546&lt;/RecNum&gt;&lt;record&gt;&lt;rec-number&gt;546&lt;/rec-number&gt;&lt;foreign-keys&gt;&lt;key app="EN" db-id="ae9rewfrpdttrheppfxxv0p4950wpd25r09x" timestamp="1520975477"&gt;546&lt;/key&gt;&lt;/foreign-keys&gt;&lt;ref-type name="Journal Article"&gt;17&lt;/ref-type&gt;&lt;contributors&gt;&lt;authors&gt;&lt;author&gt;Jilka, Robert L.&lt;/author&gt;&lt;/authors&gt;&lt;/contributors&gt;&lt;titles&gt;&lt;title&gt;The Relevance of Mouse Models for Investigating Age-Related Bone Loss in Humans&lt;/title&gt;&lt;secondary-title&gt;Journals of Gerontology Series A: Biomedical Sciences and Medical Sciences&lt;/secondary-title&gt;&lt;/titles&gt;&lt;periodical&gt;&lt;full-title&gt;Journals of Gerontology Series A: Biomedical Sciences and Medical Sciences&lt;/full-title&gt;&lt;/periodical&gt;&lt;pages&gt;1209-1217&lt;/pages&gt;&lt;volume&gt;68&lt;/volume&gt;&lt;number&gt;10&lt;/number&gt;&lt;keywords&gt;&lt;keyword&gt;Bones&lt;/keyword&gt;&lt;keyword&gt;Aging&lt;/keyword&gt;&lt;keyword&gt;Osteoporosis&lt;/keyword&gt;&lt;/keywords&gt;&lt;dates&gt;&lt;year&gt;2013&lt;/year&gt;&lt;/dates&gt;&lt;isbn&gt;1079-5006&lt;/isbn&gt;&lt;urls&gt;&lt;/urls&gt;&lt;electronic-resource-num&gt;10.1093/gerona/glt046&lt;/electronic-resource-num&gt;&lt;/record&gt;&lt;/Cite&gt;&lt;/EndNote&gt;</w:instrText>
      </w:r>
      <w:r w:rsidR="00D0746B">
        <w:rPr>
          <w:rFonts w:ascii="Arial" w:hAnsi="Arial" w:cs="Arial"/>
        </w:rPr>
        <w:fldChar w:fldCharType="separate"/>
      </w:r>
      <w:r w:rsidR="00D0746B">
        <w:rPr>
          <w:rFonts w:ascii="Arial" w:hAnsi="Arial" w:cs="Arial"/>
          <w:noProof/>
        </w:rPr>
        <w:t>(Parfitt, 2002, Jilka, 2013)</w:t>
      </w:r>
      <w:r w:rsidR="00D0746B">
        <w:rPr>
          <w:rFonts w:ascii="Arial" w:hAnsi="Arial" w:cs="Arial"/>
        </w:rPr>
        <w:fldChar w:fldCharType="end"/>
      </w:r>
      <w:r w:rsidR="004554B6">
        <w:rPr>
          <w:rFonts w:ascii="Arial" w:hAnsi="Arial" w:cs="Arial"/>
        </w:rPr>
        <w:t xml:space="preserve">. </w:t>
      </w:r>
      <w:r>
        <w:rPr>
          <w:rFonts w:ascii="Arial" w:hAnsi="Arial" w:cs="Arial"/>
        </w:rPr>
        <w:t xml:space="preserve">This difference should be accounted for when using a mouse as a model of human skeletal ageing. However, it was shown that the body lengths of C57BL/6 mice, an index of bone growth in axial skeleton, did not change between 12 and 24 months of age </w:t>
      </w:r>
      <w:r w:rsidR="00D0746B">
        <w:rPr>
          <w:rFonts w:ascii="Arial" w:hAnsi="Arial" w:cs="Arial"/>
        </w:rPr>
        <w:fldChar w:fldCharType="begin"/>
      </w:r>
      <w:r w:rsidR="00651EFF">
        <w:rPr>
          <w:rFonts w:ascii="Arial" w:hAnsi="Arial" w:cs="Arial"/>
        </w:rPr>
        <w:instrText xml:space="preserve"> ADDIN EN.CITE &lt;EndNote&gt;&lt;Cite&gt;&lt;Author&gt;Courtland&lt;/Author&gt;&lt;Year&gt;2013&lt;/Year&gt;&lt;RecNum&gt;541&lt;/RecNum&gt;&lt;DisplayText&gt;(Courtland et al., 2013)&lt;/DisplayText&gt;&lt;record&gt;&lt;rec-number&gt;541&lt;/rec-number&gt;&lt;foreign-keys&gt;&lt;key app="EN" db-id="ae9rewfrpdttrheppfxxv0p4950wpd25r09x" timestamp="1520973375"&gt;541&lt;/key&gt;&lt;/foreign-keys&gt;&lt;ref-type name="Journal Article"&gt;17&lt;/ref-type&gt;&lt;contributors&gt;&lt;authors&gt;&lt;author&gt;Courtland, Hayden-William&lt;/author&gt;&lt;author&gt;Kennedy, Oran D.&lt;/author&gt;&lt;author&gt;Wu, Yingjie&lt;/author&gt;&lt;author&gt;Gao, Ying&lt;/author&gt;&lt;author&gt;Sun, Hui&lt;/author&gt;&lt;author&gt;Schaffler, Mitchell B.&lt;/author&gt;&lt;author&gt;Yakar, Shoshana&lt;/author&gt;&lt;/authors&gt;&lt;/contributors&gt;&lt;titles&gt;&lt;title&gt;Low levels of plasma IGF-1 inhibit intracortical bone remodeling during aging&lt;/title&gt;&lt;secondary-title&gt;Age (Dordrecht, Netherlands)&lt;/secondary-title&gt;&lt;/titles&gt;&lt;periodical&gt;&lt;full-title&gt;Age (Dordrecht, Netherlands)&lt;/full-title&gt;&lt;/periodical&gt;&lt;pages&gt;1691-1703&lt;/pages&gt;&lt;volume&gt;35&lt;/volume&gt;&lt;number&gt;5&lt;/number&gt;&lt;keywords&gt;&lt;keyword&gt;Bone Remodeling&lt;/keyword&gt;&lt;keyword&gt;Aging -- Physiology&lt;/keyword&gt;&lt;keyword&gt;Insulin-Like Growth Factor I -- Metabolism&lt;/keyword&gt;&lt;keyword&gt;Osteoclasts -- Metabolism&lt;/keyword&gt;&lt;keyword&gt;Osteoporosis -- Blood&lt;/keyword&gt;&lt;/keywords&gt;&lt;dates&gt;&lt;year&gt;2013&lt;/year&gt;&lt;/dates&gt;&lt;urls&gt;&lt;/urls&gt;&lt;electronic-resource-num&gt;10.1007/s11357-012-9469-8&lt;/electronic-resource-num&gt;&lt;/record&gt;&lt;/Cite&gt;&lt;/EndNote&gt;</w:instrText>
      </w:r>
      <w:r w:rsidR="00D0746B">
        <w:rPr>
          <w:rFonts w:ascii="Arial" w:hAnsi="Arial" w:cs="Arial"/>
        </w:rPr>
        <w:fldChar w:fldCharType="separate"/>
      </w:r>
      <w:r w:rsidR="00D0746B">
        <w:rPr>
          <w:rFonts w:ascii="Arial" w:hAnsi="Arial" w:cs="Arial"/>
          <w:noProof/>
        </w:rPr>
        <w:t>(Courtland et al., 2013)</w:t>
      </w:r>
      <w:r w:rsidR="00D0746B">
        <w:rPr>
          <w:rFonts w:ascii="Arial" w:hAnsi="Arial" w:cs="Arial"/>
        </w:rPr>
        <w:fldChar w:fldCharType="end"/>
      </w:r>
      <w:r w:rsidR="00803A9A">
        <w:rPr>
          <w:rFonts w:ascii="Arial" w:hAnsi="Arial" w:cs="Arial"/>
        </w:rPr>
        <w:t>.</w:t>
      </w:r>
      <w:r>
        <w:rPr>
          <w:rFonts w:ascii="Arial" w:hAnsi="Arial" w:cs="Arial"/>
        </w:rPr>
        <w:t xml:space="preserve"> </w:t>
      </w:r>
    </w:p>
    <w:p w14:paraId="2A8D7254" w14:textId="77777777" w:rsidR="00417CFB" w:rsidRDefault="00417CFB" w:rsidP="00B55250">
      <w:pPr>
        <w:spacing w:line="480" w:lineRule="auto"/>
        <w:jc w:val="both"/>
        <w:rPr>
          <w:rFonts w:ascii="Arial" w:hAnsi="Arial" w:cs="Arial"/>
          <w:color w:val="000000" w:themeColor="text1"/>
        </w:rPr>
      </w:pPr>
    </w:p>
    <w:p w14:paraId="0F67BF89" w14:textId="77777777" w:rsidR="00B55250" w:rsidRPr="00C20DB3" w:rsidRDefault="00B55250" w:rsidP="00B55250">
      <w:pPr>
        <w:spacing w:line="480" w:lineRule="auto"/>
        <w:jc w:val="both"/>
        <w:rPr>
          <w:rFonts w:ascii="Arial" w:hAnsi="Arial" w:cs="Arial"/>
        </w:rPr>
      </w:pPr>
      <w:r w:rsidRPr="006635E8">
        <w:rPr>
          <w:rFonts w:ascii="Arial" w:hAnsi="Arial" w:cs="Arial"/>
          <w:color w:val="000000" w:themeColor="text1"/>
        </w:rPr>
        <w:sym w:font="Symbol" w:char="F06D"/>
      </w:r>
      <w:r>
        <w:rPr>
          <w:rFonts w:ascii="Arial" w:hAnsi="Arial" w:cs="Arial"/>
        </w:rPr>
        <w:t xml:space="preserve">CT imaging of tibiae of 20-month-old C57BL/6 mice at high resolution revealed </w:t>
      </w:r>
      <w:r>
        <w:rPr>
          <w:rFonts w:ascii="Arial" w:hAnsi="Arial" w:cs="Arial"/>
          <w:color w:val="000000" w:themeColor="text1"/>
        </w:rPr>
        <w:t xml:space="preserve">that </w:t>
      </w:r>
      <w:r>
        <w:rPr>
          <w:rFonts w:ascii="Arial" w:hAnsi="Arial" w:cs="Arial"/>
        </w:rPr>
        <w:t xml:space="preserve">cortical bone became thinner and </w:t>
      </w:r>
      <w:r w:rsidR="00383EB8">
        <w:rPr>
          <w:rFonts w:ascii="Arial" w:hAnsi="Arial" w:cs="Arial"/>
        </w:rPr>
        <w:t>appeared more</w:t>
      </w:r>
      <w:r>
        <w:rPr>
          <w:rFonts w:ascii="Arial" w:hAnsi="Arial" w:cs="Arial"/>
        </w:rPr>
        <w:t xml:space="preserve"> porous with advancing age as previous studies have already demonstrated </w:t>
      </w:r>
      <w:r w:rsidR="00D0746B">
        <w:rPr>
          <w:rFonts w:ascii="Arial" w:hAnsi="Arial" w:cs="Arial"/>
        </w:rPr>
        <w:fldChar w:fldCharType="begin">
          <w:fldData xml:space="preserve">PEVuZE5vdGU+PENpdGU+PEF1dGhvcj5XZWlzczwvQXV0aG9yPjxZZWFyPjE5OTE8L1llYXI+PFJl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</w:fldData>
        </w:fldChar>
      </w:r>
      <w:r w:rsidR="00651EFF">
        <w:rPr>
          <w:rFonts w:ascii="Arial" w:hAnsi="Arial" w:cs="Arial"/>
        </w:rPr>
        <w:instrText xml:space="preserve"> ADDIN EN.CITE </w:instrText>
      </w:r>
      <w:r w:rsidR="00651EFF">
        <w:rPr>
          <w:rFonts w:ascii="Arial" w:hAnsi="Arial" w:cs="Arial"/>
        </w:rPr>
        <w:fldChar w:fldCharType="begin">
          <w:fldData xml:space="preserve">PEVuZE5vdGU+PENpdGU+PEF1dGhvcj5XZWlzczwvQXV0aG9yPjxZZWFyPjE5OTE8L1llYXI+PFJl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</w:fldData>
        </w:fldChar>
      </w:r>
      <w:r w:rsidR="00651EFF">
        <w:rPr>
          <w:rFonts w:ascii="Arial" w:hAnsi="Arial" w:cs="Arial"/>
        </w:rPr>
        <w:instrText xml:space="preserve"> ADDIN EN.CITE.DATA </w:instrText>
      </w:r>
      <w:r w:rsidR="00651EFF">
        <w:rPr>
          <w:rFonts w:ascii="Arial" w:hAnsi="Arial" w:cs="Arial"/>
        </w:rPr>
      </w:r>
      <w:r w:rsidR="00651EFF">
        <w:rPr>
          <w:rFonts w:ascii="Arial" w:hAnsi="Arial" w:cs="Arial"/>
        </w:rPr>
        <w:fldChar w:fldCharType="end"/>
      </w:r>
      <w:r w:rsidR="00D0746B">
        <w:rPr>
          <w:rFonts w:ascii="Arial" w:hAnsi="Arial" w:cs="Arial"/>
        </w:rPr>
      </w:r>
      <w:r w:rsidR="00D0746B">
        <w:rPr>
          <w:rFonts w:ascii="Arial" w:hAnsi="Arial" w:cs="Arial"/>
        </w:rPr>
        <w:fldChar w:fldCharType="separate"/>
      </w:r>
      <w:r w:rsidR="00D0746B">
        <w:rPr>
          <w:rFonts w:ascii="Arial" w:hAnsi="Arial" w:cs="Arial"/>
          <w:noProof/>
        </w:rPr>
        <w:t xml:space="preserve">(Weiss et al., 1991, Ferguson et al., 2003, Courtland </w:t>
      </w:r>
      <w:r w:rsidR="00D0746B">
        <w:rPr>
          <w:rFonts w:ascii="Arial" w:hAnsi="Arial" w:cs="Arial"/>
          <w:noProof/>
        </w:rPr>
        <w:lastRenderedPageBreak/>
        <w:t>et al., 2013)</w:t>
      </w:r>
      <w:r w:rsidR="00D0746B">
        <w:rPr>
          <w:rFonts w:ascii="Arial" w:hAnsi="Arial" w:cs="Arial"/>
        </w:rPr>
        <w:fldChar w:fldCharType="end"/>
      </w:r>
      <w:r w:rsidR="005039AF">
        <w:rPr>
          <w:rFonts w:ascii="Arial" w:hAnsi="Arial" w:cs="Arial"/>
        </w:rPr>
        <w:t xml:space="preserve">, </w:t>
      </w:r>
      <w:r w:rsidR="002710F7">
        <w:rPr>
          <w:rFonts w:ascii="Arial" w:hAnsi="Arial" w:cs="Arial"/>
        </w:rPr>
        <w:t>(Figure 46</w:t>
      </w:r>
      <w:r>
        <w:rPr>
          <w:rFonts w:ascii="Arial" w:hAnsi="Arial" w:cs="Arial"/>
        </w:rPr>
        <w:t xml:space="preserve">). </w:t>
      </w:r>
      <w:r>
        <w:rPr>
          <w:rFonts w:ascii="Arial" w:hAnsi="Arial" w:cs="Arial"/>
          <w:color w:val="000000" w:themeColor="text1"/>
        </w:rPr>
        <w:t xml:space="preserve">In cortical bone, it became more apparent that ageing impaired the magnitude of bones’ adaptive response to mechanical loading, which was consistent with the previous findings </w:t>
      </w:r>
      <w:r w:rsidR="00D0746B">
        <w:rPr>
          <w:rFonts w:ascii="Arial" w:hAnsi="Arial" w:cs="Arial"/>
          <w:color w:val="000000" w:themeColor="text1"/>
        </w:rPr>
        <w:fldChar w:fldCharType="begin">
          <w:fldData xml:space="preserve">PEVuZE5vdGU+PENpdGU+PEF1dGhvcj5NZWFraW48L0F1dGhvcj48WWVhcj4yMDE0PC9ZZWFyPjxS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</w:fldData>
        </w:fldChar>
      </w:r>
      <w:r w:rsidR="0000415D">
        <w:rPr>
          <w:rFonts w:ascii="Arial" w:hAnsi="Arial" w:cs="Arial"/>
          <w:color w:val="000000" w:themeColor="text1"/>
        </w:rPr>
        <w:instrText xml:space="preserve"> ADDIN EN.CITE </w:instrText>
      </w:r>
      <w:r w:rsidR="0000415D">
        <w:rPr>
          <w:rFonts w:ascii="Arial" w:hAnsi="Arial" w:cs="Arial"/>
          <w:color w:val="000000" w:themeColor="text1"/>
        </w:rPr>
        <w:fldChar w:fldCharType="begin">
          <w:fldData xml:space="preserve">PEVuZE5vdGU+PENpdGU+PEF1dGhvcj5NZWFraW48L0F1dGhvcj48WWVhcj4yMDE0PC9ZZWFyPjxS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</w:fldData>
        </w:fldChar>
      </w:r>
      <w:r w:rsidR="0000415D">
        <w:rPr>
          <w:rFonts w:ascii="Arial" w:hAnsi="Arial" w:cs="Arial"/>
          <w:color w:val="000000" w:themeColor="text1"/>
        </w:rPr>
        <w:instrText xml:space="preserve"> ADDIN EN.CITE.DATA </w:instrText>
      </w:r>
      <w:r w:rsidR="0000415D">
        <w:rPr>
          <w:rFonts w:ascii="Arial" w:hAnsi="Arial" w:cs="Arial"/>
          <w:color w:val="000000" w:themeColor="text1"/>
        </w:rPr>
      </w:r>
      <w:r w:rsidR="0000415D">
        <w:rPr>
          <w:rFonts w:ascii="Arial" w:hAnsi="Arial" w:cs="Arial"/>
          <w:color w:val="000000" w:themeColor="text1"/>
        </w:rPr>
        <w:fldChar w:fldCharType="end"/>
      </w:r>
      <w:r w:rsidR="00D0746B">
        <w:rPr>
          <w:rFonts w:ascii="Arial" w:hAnsi="Arial" w:cs="Arial"/>
          <w:color w:val="000000" w:themeColor="text1"/>
        </w:rPr>
      </w:r>
      <w:r w:rsidR="00D0746B">
        <w:rPr>
          <w:rFonts w:ascii="Arial" w:hAnsi="Arial" w:cs="Arial"/>
          <w:color w:val="000000" w:themeColor="text1"/>
        </w:rPr>
        <w:fldChar w:fldCharType="separate"/>
      </w:r>
      <w:r w:rsidR="00D0746B">
        <w:rPr>
          <w:rFonts w:ascii="Arial" w:hAnsi="Arial" w:cs="Arial"/>
          <w:noProof/>
          <w:color w:val="000000" w:themeColor="text1"/>
        </w:rPr>
        <w:t>(Meakin et al., 2014, Meakin et al., 2015)</w:t>
      </w:r>
      <w:r w:rsidR="00D0746B">
        <w:rPr>
          <w:rFonts w:ascii="Arial" w:hAnsi="Arial" w:cs="Arial"/>
          <w:color w:val="000000" w:themeColor="text1"/>
        </w:rPr>
        <w:fldChar w:fldCharType="end"/>
      </w:r>
      <w:r>
        <w:rPr>
          <w:rFonts w:ascii="Arial" w:hAnsi="Arial" w:cs="Arial"/>
          <w:color w:val="000000" w:themeColor="text1"/>
        </w:rPr>
        <w:t xml:space="preserve">. </w:t>
      </w:r>
    </w:p>
    <w:p w14:paraId="1A2B9508" w14:textId="77777777" w:rsidR="00B55250" w:rsidRPr="007C18F3" w:rsidRDefault="00B55250" w:rsidP="00B55250">
      <w:pPr>
        <w:spacing w:line="480" w:lineRule="auto"/>
        <w:jc w:val="both"/>
        <w:rPr>
          <w:rFonts w:ascii="Arial" w:hAnsi="Arial" w:cs="Arial"/>
        </w:rPr>
      </w:pPr>
    </w:p>
    <w:p w14:paraId="15011878" w14:textId="77777777" w:rsidR="00B55250" w:rsidRPr="008C0C3A" w:rsidRDefault="00B55250" w:rsidP="00B55250">
      <w:pPr>
        <w:spacing w:line="480" w:lineRule="auto"/>
        <w:jc w:val="both"/>
        <w:rPr>
          <w:rFonts w:ascii="Arial" w:hAnsi="Arial" w:cs="Arial"/>
          <w:color w:val="000000" w:themeColor="text1"/>
        </w:rPr>
      </w:pPr>
      <w:r>
        <w:rPr>
          <w:rFonts w:ascii="Arial" w:hAnsi="Arial" w:cs="Arial"/>
          <w:color w:val="000000" w:themeColor="text1"/>
        </w:rPr>
        <w:t>The respon</w:t>
      </w:r>
      <w:r w:rsidR="00403ABE">
        <w:rPr>
          <w:rFonts w:ascii="Arial" w:hAnsi="Arial" w:cs="Arial"/>
          <w:color w:val="000000" w:themeColor="text1"/>
        </w:rPr>
        <w:t>se of cortical bone area</w:t>
      </w:r>
      <w:r>
        <w:rPr>
          <w:rFonts w:ascii="Arial" w:hAnsi="Arial" w:cs="Arial"/>
          <w:color w:val="000000" w:themeColor="text1"/>
        </w:rPr>
        <w:t xml:space="preserve"> to mechanical loading regimen with 10N force was reduced in aged ad-lib fed and fasted 2-hour fed male mice compared with that in young adults. </w:t>
      </w:r>
      <w:r w:rsidRPr="00C20DB3">
        <w:rPr>
          <w:rFonts w:ascii="Arial" w:hAnsi="Arial" w:cs="Arial"/>
        </w:rPr>
        <w:t>In aged mice</w:t>
      </w:r>
      <w:r>
        <w:rPr>
          <w:rFonts w:ascii="Arial" w:hAnsi="Arial" w:cs="Arial"/>
        </w:rPr>
        <w:t>, there was a small, but significant increase in Ct.Ar and Ct.Th between the left control and right loaded tibiae, but there were no significant differences between the loaded tibiae of fasted 2-hour fed mice and those who had free acc</w:t>
      </w:r>
      <w:r w:rsidR="002710F7">
        <w:rPr>
          <w:rFonts w:ascii="Arial" w:hAnsi="Arial" w:cs="Arial"/>
        </w:rPr>
        <w:t xml:space="preserve">ess to food ad libitum (Figure 47A, </w:t>
      </w:r>
      <w:r>
        <w:rPr>
          <w:rFonts w:ascii="Arial" w:hAnsi="Arial" w:cs="Arial"/>
        </w:rPr>
        <w:t xml:space="preserve">D). </w:t>
      </w:r>
      <w:r w:rsidRPr="00C20DB3">
        <w:rPr>
          <w:rFonts w:ascii="Arial" w:hAnsi="Arial" w:cs="Arial"/>
          <w:bCs/>
        </w:rPr>
        <w:t xml:space="preserve">The age-related loss of </w:t>
      </w:r>
      <w:r>
        <w:rPr>
          <w:rFonts w:ascii="Arial" w:hAnsi="Arial" w:cs="Arial"/>
          <w:bCs/>
        </w:rPr>
        <w:t>t</w:t>
      </w:r>
      <w:r w:rsidRPr="00C20DB3">
        <w:rPr>
          <w:rFonts w:ascii="Arial" w:hAnsi="Arial" w:cs="Arial"/>
          <w:bCs/>
        </w:rPr>
        <w:t xml:space="preserve">he cortical bone area was primarily due to increase in </w:t>
      </w:r>
      <w:r w:rsidR="00403ABE">
        <w:rPr>
          <w:rFonts w:ascii="Arial" w:hAnsi="Arial" w:cs="Arial"/>
          <w:bCs/>
        </w:rPr>
        <w:t>marrow area</w:t>
      </w:r>
      <w:r w:rsidRPr="00C20DB3">
        <w:rPr>
          <w:rFonts w:ascii="Arial" w:hAnsi="Arial" w:cs="Arial"/>
          <w:bCs/>
        </w:rPr>
        <w:t xml:space="preserve"> in aged male mice.</w:t>
      </w:r>
      <w:r>
        <w:rPr>
          <w:rFonts w:ascii="Arial" w:hAnsi="Arial" w:cs="Arial"/>
          <w:bCs/>
        </w:rPr>
        <w:t xml:space="preserve"> No significant decrease in Ma.Ar or overall increase </w:t>
      </w:r>
      <w:r w:rsidRPr="00AA2BD3">
        <w:rPr>
          <w:rFonts w:ascii="Arial" w:hAnsi="Arial" w:cs="Arial"/>
          <w:color w:val="000000" w:themeColor="text1"/>
        </w:rPr>
        <w:t xml:space="preserve">in total cross-sectional </w:t>
      </w:r>
      <w:r>
        <w:rPr>
          <w:rFonts w:ascii="Arial" w:hAnsi="Arial" w:cs="Arial"/>
          <w:color w:val="000000" w:themeColor="text1"/>
        </w:rPr>
        <w:t xml:space="preserve">tissue </w:t>
      </w:r>
      <w:r w:rsidRPr="00AA2BD3">
        <w:rPr>
          <w:rFonts w:ascii="Arial" w:hAnsi="Arial" w:cs="Arial"/>
          <w:color w:val="000000" w:themeColor="text1"/>
        </w:rPr>
        <w:t>area inside the periosteal envelope</w:t>
      </w:r>
      <w:r>
        <w:rPr>
          <w:rFonts w:ascii="Arial" w:hAnsi="Arial" w:cs="Arial"/>
          <w:color w:val="000000" w:themeColor="text1"/>
        </w:rPr>
        <w:t xml:space="preserve"> (Tt.Ar) </w:t>
      </w:r>
      <w:r>
        <w:rPr>
          <w:rFonts w:ascii="Arial" w:hAnsi="Arial" w:cs="Arial"/>
          <w:bCs/>
        </w:rPr>
        <w:t>of the loaded tibiae were detected compared with the non-loaded tibiae in both ad-lib fed a</w:t>
      </w:r>
      <w:r w:rsidR="002710F7">
        <w:rPr>
          <w:rFonts w:ascii="Arial" w:hAnsi="Arial" w:cs="Arial"/>
          <w:bCs/>
        </w:rPr>
        <w:t xml:space="preserve">nd fasted fed aged mice (Figue 47C, </w:t>
      </w:r>
      <w:r>
        <w:rPr>
          <w:rFonts w:ascii="Arial" w:hAnsi="Arial" w:cs="Arial"/>
          <w:bCs/>
        </w:rPr>
        <w:t xml:space="preserve">B). Furthermore, there were no significant differences in any measured cortical bone parameters between the two experimental groups.  </w:t>
      </w:r>
    </w:p>
    <w:p w14:paraId="66146EC9" w14:textId="77777777" w:rsidR="00814A1C" w:rsidRPr="00DD12E8" w:rsidRDefault="005039AF" w:rsidP="00DD12E8">
      <w:pPr>
        <w:pStyle w:val="Heading3"/>
        <w:spacing w:line="480" w:lineRule="auto"/>
        <w:jc w:val="both"/>
        <w:rPr>
          <w:rFonts w:ascii="Arial" w:hAnsi="Arial"/>
          <w:color w:val="auto"/>
          <w:sz w:val="28"/>
          <w:szCs w:val="28"/>
        </w:rPr>
      </w:pPr>
      <w:bookmarkStart w:id="154" w:name="_Toc383723925"/>
      <w:r w:rsidRPr="00DD12E8">
        <w:rPr>
          <w:rFonts w:ascii="Arial" w:hAnsi="Arial"/>
          <w:color w:val="auto"/>
        </w:rPr>
        <w:t xml:space="preserve">6.3.3 </w:t>
      </w:r>
      <w:proofErr w:type="gramStart"/>
      <w:r w:rsidR="00814A1C" w:rsidRPr="00DD12E8">
        <w:rPr>
          <w:rFonts w:ascii="Arial" w:hAnsi="Arial"/>
          <w:color w:val="auto"/>
        </w:rPr>
        <w:t>The</w:t>
      </w:r>
      <w:proofErr w:type="gramEnd"/>
      <w:r w:rsidR="00814A1C" w:rsidRPr="00DD12E8">
        <w:rPr>
          <w:rFonts w:ascii="Arial" w:hAnsi="Arial"/>
          <w:color w:val="auto"/>
        </w:rPr>
        <w:t xml:space="preserve"> effect of ageing on trabecular bone’s response to mechanical loading</w:t>
      </w:r>
      <w:bookmarkEnd w:id="154"/>
      <w:r w:rsidR="00814A1C" w:rsidRPr="00DD12E8">
        <w:rPr>
          <w:rFonts w:ascii="Arial" w:hAnsi="Arial"/>
          <w:color w:val="auto"/>
        </w:rPr>
        <w:t xml:space="preserve"> </w:t>
      </w:r>
    </w:p>
    <w:p w14:paraId="38EB01E4" w14:textId="77777777" w:rsidR="00814A1C" w:rsidRDefault="00EF1618" w:rsidP="00814A1C">
      <w:pPr>
        <w:spacing w:line="480" w:lineRule="auto"/>
        <w:jc w:val="both"/>
        <w:rPr>
          <w:rFonts w:ascii="Arial" w:hAnsi="Arial" w:cs="Arial"/>
        </w:rPr>
      </w:pPr>
      <w:r>
        <w:rPr>
          <w:rFonts w:ascii="Arial" w:hAnsi="Arial" w:cs="Arial"/>
        </w:rPr>
        <w:t>It was</w:t>
      </w:r>
      <w:r w:rsidR="00814A1C">
        <w:rPr>
          <w:rFonts w:ascii="Arial" w:hAnsi="Arial" w:cs="Arial"/>
        </w:rPr>
        <w:t xml:space="preserve"> apparent that trabecular BV/TV </w:t>
      </w:r>
      <w:r w:rsidR="00A7718F">
        <w:rPr>
          <w:rFonts w:ascii="Arial" w:hAnsi="Arial" w:cs="Arial"/>
        </w:rPr>
        <w:t>was lower</w:t>
      </w:r>
      <w:r w:rsidR="00814A1C">
        <w:rPr>
          <w:rFonts w:ascii="Arial" w:hAnsi="Arial" w:cs="Arial"/>
        </w:rPr>
        <w:t xml:space="preserve"> with age in proximal tibiae</w:t>
      </w:r>
      <w:r w:rsidR="00814A1C" w:rsidRPr="00207B3C">
        <w:rPr>
          <w:rFonts w:ascii="Arial" w:hAnsi="Arial" w:cs="Arial"/>
        </w:rPr>
        <w:t xml:space="preserve"> </w:t>
      </w:r>
      <w:r w:rsidR="00814A1C">
        <w:rPr>
          <w:rFonts w:ascii="Arial" w:hAnsi="Arial" w:cs="Arial"/>
        </w:rPr>
        <w:t xml:space="preserve">as assessed using </w:t>
      </w:r>
      <w:r w:rsidR="00814A1C" w:rsidRPr="006635E8">
        <w:rPr>
          <w:rFonts w:ascii="Arial" w:hAnsi="Arial" w:cs="Arial"/>
          <w:color w:val="000000" w:themeColor="text1"/>
        </w:rPr>
        <w:sym w:font="Symbol" w:char="F06D"/>
      </w:r>
      <w:r w:rsidR="00814A1C">
        <w:rPr>
          <w:rFonts w:ascii="Arial" w:hAnsi="Arial" w:cs="Arial"/>
        </w:rPr>
        <w:t xml:space="preserve">CT, and there was a small non-significant adaptive increase in tibiae of ad-lib fed and fasted fed mice in response to loading </w:t>
      </w:r>
      <w:r w:rsidR="00414D5F">
        <w:rPr>
          <w:rFonts w:ascii="Arial" w:hAnsi="Arial" w:cs="Arial"/>
        </w:rPr>
        <w:t>regimen with 10N force (Figure 49</w:t>
      </w:r>
      <w:r w:rsidR="00814A1C">
        <w:rPr>
          <w:rFonts w:ascii="Arial" w:hAnsi="Arial" w:cs="Arial"/>
        </w:rPr>
        <w:t>A). Th</w:t>
      </w:r>
      <w:r>
        <w:rPr>
          <w:rFonts w:ascii="Arial" w:hAnsi="Arial" w:cs="Arial"/>
        </w:rPr>
        <w:t xml:space="preserve">is was a result of the </w:t>
      </w:r>
      <w:r w:rsidR="00814A1C">
        <w:rPr>
          <w:rFonts w:ascii="Arial" w:hAnsi="Arial" w:cs="Arial"/>
        </w:rPr>
        <w:t xml:space="preserve">reduction in trabecular number accompanied with impaired increase in trabecular thickness </w:t>
      </w:r>
      <w:r w:rsidR="00414D5F">
        <w:rPr>
          <w:rFonts w:ascii="Arial" w:hAnsi="Arial" w:cs="Arial"/>
        </w:rPr>
        <w:t>in aged male mice (Figure 49B,</w:t>
      </w:r>
      <w:r w:rsidR="00814A1C">
        <w:rPr>
          <w:rFonts w:ascii="Arial" w:hAnsi="Arial" w:cs="Arial"/>
        </w:rPr>
        <w:t xml:space="preserve">D) </w:t>
      </w:r>
      <w:r>
        <w:rPr>
          <w:rFonts w:ascii="Arial" w:hAnsi="Arial" w:cs="Arial"/>
        </w:rPr>
        <w:t xml:space="preserve">which is </w:t>
      </w:r>
      <w:r w:rsidR="00814A1C">
        <w:rPr>
          <w:rFonts w:ascii="Arial" w:hAnsi="Arial" w:cs="Arial"/>
        </w:rPr>
        <w:t xml:space="preserve">consistent with the previous studies in mice and humans </w:t>
      </w:r>
      <w:r w:rsidR="00D0746B">
        <w:rPr>
          <w:rFonts w:ascii="Arial" w:hAnsi="Arial" w:cs="Arial"/>
        </w:rPr>
        <w:fldChar w:fldCharType="begin">
          <w:fldData xml:space="preserve">PEVuZE5vdGU+PENpdGU+PEF1dGhvcj5GZXJndXNvbjwvQXV0aG9yPjxZZWFyPjIwMDM8L1llYXI+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PEVuZE5vdGU+PENpdGU+PEF1dGhvcj5GZXJndXNvbjwvQXV0aG9yPjxZZWFyPjIwMDM8L1llYXI+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D0746B">
        <w:rPr>
          <w:rFonts w:ascii="Arial" w:hAnsi="Arial" w:cs="Arial"/>
        </w:rPr>
      </w:r>
      <w:r w:rsidR="00D0746B">
        <w:rPr>
          <w:rFonts w:ascii="Arial" w:hAnsi="Arial" w:cs="Arial"/>
        </w:rPr>
        <w:fldChar w:fldCharType="separate"/>
      </w:r>
      <w:r w:rsidR="00D0746B">
        <w:rPr>
          <w:rFonts w:ascii="Arial" w:hAnsi="Arial" w:cs="Arial"/>
          <w:noProof/>
        </w:rPr>
        <w:t>(Ferguson et al., 2003, Riggs et al., 2008, Willinghamm et al., 2010)</w:t>
      </w:r>
      <w:r w:rsidR="00D0746B">
        <w:rPr>
          <w:rFonts w:ascii="Arial" w:hAnsi="Arial" w:cs="Arial"/>
        </w:rPr>
        <w:fldChar w:fldCharType="end"/>
      </w:r>
      <w:r>
        <w:rPr>
          <w:rFonts w:ascii="Arial" w:hAnsi="Arial" w:cs="Arial"/>
        </w:rPr>
        <w:t xml:space="preserve">. </w:t>
      </w:r>
      <w:r w:rsidR="00814A1C">
        <w:rPr>
          <w:rFonts w:ascii="Arial" w:hAnsi="Arial" w:cs="Arial"/>
        </w:rPr>
        <w:t>This can be accounted for by age-related abolition of positive effects of osteogenic loading on trabecular bone</w:t>
      </w:r>
      <w:r w:rsidR="004A1CD9">
        <w:rPr>
          <w:rFonts w:ascii="Arial" w:hAnsi="Arial" w:cs="Arial"/>
        </w:rPr>
        <w:t>,</w:t>
      </w:r>
      <w:r w:rsidR="00814A1C">
        <w:rPr>
          <w:rFonts w:ascii="Arial" w:hAnsi="Arial" w:cs="Arial"/>
        </w:rPr>
        <w:t xml:space="preserve"> </w:t>
      </w:r>
      <w:r w:rsidR="004A1CD9">
        <w:rPr>
          <w:rFonts w:ascii="Arial" w:hAnsi="Arial" w:cs="Arial"/>
        </w:rPr>
        <w:t xml:space="preserve">which we have </w:t>
      </w:r>
      <w:r w:rsidR="00814A1C">
        <w:rPr>
          <w:rFonts w:ascii="Arial" w:hAnsi="Arial" w:cs="Arial"/>
        </w:rPr>
        <w:t xml:space="preserve">observed in young adult mice. Increase of Tb.N in aged male mice was significantly lower in response to loading </w:t>
      </w:r>
      <w:r w:rsidR="00814A1C">
        <w:rPr>
          <w:rFonts w:ascii="Arial" w:hAnsi="Arial" w:cs="Arial"/>
        </w:rPr>
        <w:lastRenderedPageBreak/>
        <w:t xml:space="preserve">compared with that in young adult mice. In aged 20-month-old male mice we have observed significant decrease in trabecular pattern factor of the laded right tibiae compared with the non-loaded left controls in ad-lib fed and fasted fed groups, which corresponds to the new connections of the trabeculae being formed within </w:t>
      </w:r>
      <w:r w:rsidR="00414D5F">
        <w:rPr>
          <w:rFonts w:ascii="Arial" w:hAnsi="Arial" w:cs="Arial"/>
        </w:rPr>
        <w:t>the volume of interest (Figure 49</w:t>
      </w:r>
      <w:r w:rsidR="004A1CD9">
        <w:rPr>
          <w:rFonts w:ascii="Arial" w:hAnsi="Arial" w:cs="Arial"/>
        </w:rPr>
        <w:t>C). The</w:t>
      </w:r>
      <w:r w:rsidR="00814A1C">
        <w:rPr>
          <w:rFonts w:ascii="Arial" w:hAnsi="Arial" w:cs="Arial"/>
        </w:rPr>
        <w:t xml:space="preserve"> age-related increase in Tb.Pf and corresponding decrease in connections was reported</w:t>
      </w:r>
      <w:r w:rsidR="004A1CD9">
        <w:rPr>
          <w:rFonts w:ascii="Arial" w:hAnsi="Arial" w:cs="Arial"/>
        </w:rPr>
        <w:t xml:space="preserve"> previously in aged</w:t>
      </w:r>
      <w:r w:rsidR="00814A1C">
        <w:rPr>
          <w:rFonts w:ascii="Arial" w:hAnsi="Arial" w:cs="Arial"/>
        </w:rPr>
        <w:t xml:space="preserve"> female, but not male, mice indicating sex-specific age-related changes in trabecular bone architecture </w:t>
      </w:r>
      <w:r w:rsidR="00D0746B">
        <w:rPr>
          <w:rFonts w:ascii="Arial" w:hAnsi="Arial" w:cs="Arial"/>
        </w:rPr>
        <w:fldChar w:fldCharType="begin">
          <w:fldData xml:space="preserve">PEVuZE5vdGU+PENpdGU+PEF1dGhvcj5NZWFraW48L0F1dGhvcj48WWVhcj4yMDE0PC9ZZWFyPjxS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PEVuZE5vdGU+PENpdGU+PEF1dGhvcj5NZWFraW48L0F1dGhvcj48WWVhcj4yMDE0PC9ZZWFyPjxS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D0746B">
        <w:rPr>
          <w:rFonts w:ascii="Arial" w:hAnsi="Arial" w:cs="Arial"/>
        </w:rPr>
      </w:r>
      <w:r w:rsidR="00D0746B">
        <w:rPr>
          <w:rFonts w:ascii="Arial" w:hAnsi="Arial" w:cs="Arial"/>
        </w:rPr>
        <w:fldChar w:fldCharType="separate"/>
      </w:r>
      <w:r w:rsidR="00D0746B">
        <w:rPr>
          <w:rFonts w:ascii="Arial" w:hAnsi="Arial" w:cs="Arial"/>
          <w:noProof/>
        </w:rPr>
        <w:t>(Meakin et al., 2014, Meakin et al., 2015)</w:t>
      </w:r>
      <w:r w:rsidR="00D0746B">
        <w:rPr>
          <w:rFonts w:ascii="Arial" w:hAnsi="Arial" w:cs="Arial"/>
        </w:rPr>
        <w:fldChar w:fldCharType="end"/>
      </w:r>
      <w:r w:rsidR="004A1CD9">
        <w:rPr>
          <w:rFonts w:ascii="Arial" w:hAnsi="Arial" w:cs="Arial"/>
        </w:rPr>
        <w:t xml:space="preserve">. </w:t>
      </w:r>
    </w:p>
    <w:p w14:paraId="2AB45EBF" w14:textId="77777777" w:rsidR="00814A1C" w:rsidRPr="00EE5C8D" w:rsidRDefault="00814A1C" w:rsidP="00EE5C8D">
      <w:pPr>
        <w:pStyle w:val="Heading3"/>
        <w:spacing w:line="480" w:lineRule="auto"/>
        <w:jc w:val="both"/>
        <w:rPr>
          <w:rFonts w:ascii="Arial" w:hAnsi="Arial"/>
          <w:color w:val="auto"/>
        </w:rPr>
      </w:pPr>
      <w:bookmarkStart w:id="155" w:name="_Toc383723926"/>
      <w:r w:rsidRPr="00EE5C8D">
        <w:rPr>
          <w:rFonts w:ascii="Arial" w:hAnsi="Arial"/>
          <w:color w:val="auto"/>
        </w:rPr>
        <w:t>6.3.4 Food ingestion for 2 hours following overnight fast does not potentiate</w:t>
      </w:r>
      <w:r w:rsidR="00EE5C8D" w:rsidRPr="00EE5C8D">
        <w:rPr>
          <w:rFonts w:ascii="Arial" w:hAnsi="Arial"/>
          <w:color w:val="auto"/>
        </w:rPr>
        <w:t xml:space="preserve"> bone’s </w:t>
      </w:r>
      <w:r w:rsidRPr="00EE5C8D">
        <w:rPr>
          <w:rFonts w:ascii="Arial" w:hAnsi="Arial"/>
          <w:color w:val="auto"/>
        </w:rPr>
        <w:t xml:space="preserve">adaptive response to </w:t>
      </w:r>
      <w:r w:rsidR="00EE5C8D" w:rsidRPr="00EE5C8D">
        <w:rPr>
          <w:rFonts w:ascii="Arial" w:hAnsi="Arial"/>
          <w:color w:val="auto"/>
        </w:rPr>
        <w:t>osteogenic</w:t>
      </w:r>
      <w:r w:rsidRPr="00EE5C8D">
        <w:rPr>
          <w:rFonts w:ascii="Arial" w:hAnsi="Arial"/>
          <w:color w:val="auto"/>
        </w:rPr>
        <w:t xml:space="preserve"> loading in aged male mice</w:t>
      </w:r>
      <w:bookmarkEnd w:id="155"/>
    </w:p>
    <w:p w14:paraId="64A393D6" w14:textId="77777777" w:rsidR="00353FFD" w:rsidRDefault="00814A1C" w:rsidP="00814A1C">
      <w:pPr>
        <w:spacing w:line="480" w:lineRule="auto"/>
        <w:jc w:val="both"/>
        <w:rPr>
          <w:rFonts w:ascii="Arial" w:hAnsi="Arial" w:cs="Arial"/>
        </w:rPr>
      </w:pPr>
      <w:r w:rsidRPr="003A4BBB">
        <w:rPr>
          <w:rFonts w:ascii="Arial" w:hAnsi="Arial" w:cs="Arial"/>
        </w:rPr>
        <w:t xml:space="preserve">As discussed previously, several studies reported the effect of ageing on cortical </w:t>
      </w:r>
      <w:r w:rsidR="0071220E">
        <w:rPr>
          <w:rFonts w:ascii="Arial" w:hAnsi="Arial" w:cs="Arial"/>
        </w:rPr>
        <w:t xml:space="preserve">and trabecular </w:t>
      </w:r>
      <w:r w:rsidRPr="003A4BBB">
        <w:rPr>
          <w:rFonts w:ascii="Arial" w:hAnsi="Arial" w:cs="Arial"/>
        </w:rPr>
        <w:t>bones’ adaptive response</w:t>
      </w:r>
      <w:r w:rsidR="0071220E">
        <w:rPr>
          <w:rFonts w:ascii="Arial" w:hAnsi="Arial" w:cs="Arial"/>
        </w:rPr>
        <w:t>s</w:t>
      </w:r>
      <w:r w:rsidRPr="003A4BBB">
        <w:rPr>
          <w:rFonts w:ascii="Arial" w:hAnsi="Arial" w:cs="Arial"/>
        </w:rPr>
        <w:t xml:space="preserve"> to loading </w:t>
      </w:r>
      <w:r w:rsidR="00D0746B">
        <w:rPr>
          <w:rFonts w:ascii="Arial" w:hAnsi="Arial" w:cs="Arial"/>
        </w:rPr>
        <w:fldChar w:fldCharType="begin">
          <w:fldData xml:space="preserve">PEVuZE5vdGU+PENpdGU+PEF1dGhvcj5SdWJpbjwvQXV0aG9yPjxZZWFyPjE5OTI8L1llYXI+PFJl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PEVuZE5vdGU+PENpdGU+PEF1dGhvcj5SdWJpbjwvQXV0aG9yPjxZZWFyPjE5OTI8L1llYXI+PFJl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D0746B">
        <w:rPr>
          <w:rFonts w:ascii="Arial" w:hAnsi="Arial" w:cs="Arial"/>
        </w:rPr>
      </w:r>
      <w:r w:rsidR="00D0746B">
        <w:rPr>
          <w:rFonts w:ascii="Arial" w:hAnsi="Arial" w:cs="Arial"/>
        </w:rPr>
        <w:fldChar w:fldCharType="separate"/>
      </w:r>
      <w:r w:rsidR="00D0746B">
        <w:rPr>
          <w:rFonts w:ascii="Arial" w:hAnsi="Arial" w:cs="Arial"/>
          <w:noProof/>
        </w:rPr>
        <w:t>(Rubin et al., 1992, Turner et al., 1995, Srinivasan et al., 2003, Willie et al., 2013, Meakin et al., 2014)</w:t>
      </w:r>
      <w:r w:rsidR="00D0746B">
        <w:rPr>
          <w:rFonts w:ascii="Arial" w:hAnsi="Arial" w:cs="Arial"/>
        </w:rPr>
        <w:fldChar w:fldCharType="end"/>
      </w:r>
      <w:r w:rsidR="00A53F6E">
        <w:rPr>
          <w:rFonts w:ascii="Arial" w:hAnsi="Arial" w:cs="Arial"/>
        </w:rPr>
        <w:t xml:space="preserve">. </w:t>
      </w:r>
      <w:r w:rsidRPr="003A4BBB">
        <w:rPr>
          <w:rFonts w:ascii="Arial" w:hAnsi="Arial" w:cs="Arial"/>
          <w:color w:val="000000" w:themeColor="text1"/>
        </w:rPr>
        <w:t>We have found that, unlike young adult mice</w:t>
      </w:r>
      <w:r>
        <w:rPr>
          <w:rFonts w:ascii="Arial" w:hAnsi="Arial" w:cs="Arial"/>
          <w:color w:val="000000" w:themeColor="text1"/>
        </w:rPr>
        <w:t xml:space="preserve"> (shown in Chapters 4 and 5)</w:t>
      </w:r>
      <w:r w:rsidRPr="003A4BBB">
        <w:rPr>
          <w:rFonts w:ascii="Arial" w:hAnsi="Arial" w:cs="Arial"/>
          <w:color w:val="000000" w:themeColor="text1"/>
        </w:rPr>
        <w:t>, feeding for 2 hours following overnight fast did not potentiate cortical bone adaptation to osteogenic loading in aged male mice.</w:t>
      </w:r>
      <w:r w:rsidR="007A2DDA">
        <w:rPr>
          <w:rFonts w:ascii="Arial" w:hAnsi="Arial" w:cs="Arial"/>
          <w:color w:val="000000" w:themeColor="text1"/>
        </w:rPr>
        <w:t xml:space="preserve"> The μCT measurement method around the circumference may have effectively diluted the changes of the cortical bone in response to loading since the changes were not uniform, </w:t>
      </w:r>
      <w:r w:rsidR="007A2DDA">
        <w:rPr>
          <w:rFonts w:ascii="Arial" w:hAnsi="Arial" w:cs="Arial"/>
        </w:rPr>
        <w:t>and in the future more focused methods will be used to assess the new bone are</w:t>
      </w:r>
      <w:r w:rsidR="00203E49">
        <w:rPr>
          <w:rFonts w:ascii="Arial" w:hAnsi="Arial" w:cs="Arial"/>
        </w:rPr>
        <w:t>a</w:t>
      </w:r>
      <w:r w:rsidR="007A2DDA">
        <w:rPr>
          <w:rFonts w:ascii="Arial" w:hAnsi="Arial" w:cs="Arial"/>
        </w:rPr>
        <w:t xml:space="preserve">s/volumes. </w:t>
      </w:r>
      <w:r w:rsidRPr="003A4BBB">
        <w:rPr>
          <w:rFonts w:ascii="Arial" w:hAnsi="Arial" w:cs="Arial"/>
        </w:rPr>
        <w:t xml:space="preserve">In cortical bone, evidently there was an impairment of the mechanostat that reduced cortical bone sensitivity to mechanical stimulation in aged male mice. The altered cortical bone response to the strain-related stimulus in aged male mice is likely to reflect the deficiencies in osteoblast recruitment, differentiation and function. </w:t>
      </w:r>
      <w:r>
        <w:rPr>
          <w:rFonts w:ascii="Arial" w:hAnsi="Arial" w:cs="Arial"/>
        </w:rPr>
        <w:t>In the klotho mouse, an animal model of a premature ageing, it was</w:t>
      </w:r>
      <w:r w:rsidR="00443457">
        <w:rPr>
          <w:rFonts w:ascii="Arial" w:hAnsi="Arial" w:cs="Arial"/>
        </w:rPr>
        <w:t xml:space="preserve"> shown that osteocytes underwent</w:t>
      </w:r>
      <w:r>
        <w:rPr>
          <w:rFonts w:ascii="Arial" w:hAnsi="Arial" w:cs="Arial"/>
        </w:rPr>
        <w:t xml:space="preserve"> apoptosis perhaps because of the impaired </w:t>
      </w:r>
      <w:r w:rsidR="00A812C6">
        <w:rPr>
          <w:rFonts w:ascii="Arial" w:hAnsi="Arial" w:cs="Arial"/>
        </w:rPr>
        <w:t>secretion</w:t>
      </w:r>
      <w:r>
        <w:rPr>
          <w:rFonts w:ascii="Arial" w:hAnsi="Arial" w:cs="Arial"/>
        </w:rPr>
        <w:t xml:space="preserve"> of anti-apoptotic factors due to </w:t>
      </w:r>
      <w:r w:rsidR="00A812C6">
        <w:rPr>
          <w:rFonts w:ascii="Arial" w:hAnsi="Arial" w:cs="Arial"/>
        </w:rPr>
        <w:t xml:space="preserve">the alterations of </w:t>
      </w:r>
      <w:r>
        <w:rPr>
          <w:rFonts w:ascii="Arial" w:hAnsi="Arial" w:cs="Arial"/>
        </w:rPr>
        <w:t xml:space="preserve">fluid flow within the canalicular-lacunar network caused by the mechanical loading and their interactions with the bone matrix </w:t>
      </w:r>
      <w:r w:rsidR="00D0746B">
        <w:rPr>
          <w:rFonts w:ascii="Arial" w:hAnsi="Arial" w:cs="Arial"/>
        </w:rPr>
        <w:fldChar w:fldCharType="begin">
          <w:fldData xml:space="preserve">PEVuZE5vdGU+PENpdGU+PEF1dGhvcj5TdXp1a2k8L0F1dGhvcj48WWVhcj4yMDA1PC9ZZWFyPjxS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PEVuZE5vdGU+PENpdGU+PEF1dGhvcj5TdXp1a2k8L0F1dGhvcj48WWVhcj4yMDA1PC9ZZWFyPjxS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D0746B">
        <w:rPr>
          <w:rFonts w:ascii="Arial" w:hAnsi="Arial" w:cs="Arial"/>
        </w:rPr>
      </w:r>
      <w:r w:rsidR="00D0746B">
        <w:rPr>
          <w:rFonts w:ascii="Arial" w:hAnsi="Arial" w:cs="Arial"/>
        </w:rPr>
        <w:fldChar w:fldCharType="separate"/>
      </w:r>
      <w:r w:rsidR="00D0746B">
        <w:rPr>
          <w:rFonts w:ascii="Arial" w:hAnsi="Arial" w:cs="Arial"/>
          <w:noProof/>
        </w:rPr>
        <w:t xml:space="preserve">(Suzuki et al., 2005, Rochefort et al., </w:t>
      </w:r>
      <w:r w:rsidR="00D0746B">
        <w:rPr>
          <w:rFonts w:ascii="Arial" w:hAnsi="Arial" w:cs="Arial"/>
          <w:noProof/>
        </w:rPr>
        <w:lastRenderedPageBreak/>
        <w:t>2010)</w:t>
      </w:r>
      <w:r w:rsidR="00D0746B">
        <w:rPr>
          <w:rFonts w:ascii="Arial" w:hAnsi="Arial" w:cs="Arial"/>
        </w:rPr>
        <w:fldChar w:fldCharType="end"/>
      </w:r>
      <w:r w:rsidR="00A53F6E">
        <w:rPr>
          <w:rFonts w:ascii="Arial" w:hAnsi="Arial" w:cs="Arial"/>
        </w:rPr>
        <w:t xml:space="preserve">. </w:t>
      </w:r>
      <w:r>
        <w:rPr>
          <w:rFonts w:ascii="Arial" w:hAnsi="Arial" w:cs="Arial"/>
        </w:rPr>
        <w:t xml:space="preserve">Other age-dependent molecular and genetic changes in bone, including decrease of Wnt-associated genes, were shown to affect bone’s adaptation to mechanical loading </w:t>
      </w:r>
      <w:r w:rsidR="00D0746B">
        <w:rPr>
          <w:rFonts w:ascii="Arial" w:hAnsi="Arial" w:cs="Arial"/>
        </w:rPr>
        <w:fldChar w:fldCharType="begin">
          <w:fldData xml:space="preserve">PEVuZE5vdGU+PENpdGU+PEF1dGhvcj5CZW5uZXR0PC9BdXRob3I+PFllYXI+MjAwNTwvWWVhcj48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PEVuZE5vdGU+PENpdGU+PEF1dGhvcj5CZW5uZXR0PC9BdXRob3I+PFllYXI+MjAwNTwvWWVhcj48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D0746B">
        <w:rPr>
          <w:rFonts w:ascii="Arial" w:hAnsi="Arial" w:cs="Arial"/>
        </w:rPr>
      </w:r>
      <w:r w:rsidR="00D0746B">
        <w:rPr>
          <w:rFonts w:ascii="Arial" w:hAnsi="Arial" w:cs="Arial"/>
        </w:rPr>
        <w:fldChar w:fldCharType="separate"/>
      </w:r>
      <w:r w:rsidR="00D0746B">
        <w:rPr>
          <w:rFonts w:ascii="Arial" w:hAnsi="Arial" w:cs="Arial"/>
          <w:noProof/>
        </w:rPr>
        <w:t>(Bennett et al., 2005, Rauner et al., 2008)</w:t>
      </w:r>
      <w:r w:rsidR="00D0746B">
        <w:rPr>
          <w:rFonts w:ascii="Arial" w:hAnsi="Arial" w:cs="Arial"/>
        </w:rPr>
        <w:fldChar w:fldCharType="end"/>
      </w:r>
      <w:r w:rsidR="00363B18">
        <w:rPr>
          <w:rFonts w:ascii="Arial" w:hAnsi="Arial" w:cs="Arial"/>
        </w:rPr>
        <w:t xml:space="preserve">. </w:t>
      </w:r>
    </w:p>
    <w:p w14:paraId="726B5966" w14:textId="77777777" w:rsidR="00203E49" w:rsidRDefault="00203E49" w:rsidP="00353FFD">
      <w:pPr>
        <w:spacing w:line="480" w:lineRule="auto"/>
        <w:jc w:val="both"/>
        <w:rPr>
          <w:rFonts w:ascii="Arial" w:hAnsi="Arial" w:cs="Arial"/>
        </w:rPr>
      </w:pPr>
    </w:p>
    <w:p w14:paraId="1B518409" w14:textId="77777777" w:rsidR="00353FFD" w:rsidRDefault="00353FFD" w:rsidP="00353FFD">
      <w:pPr>
        <w:spacing w:line="480" w:lineRule="auto"/>
        <w:jc w:val="both"/>
        <w:rPr>
          <w:rFonts w:ascii="Arial" w:hAnsi="Arial" w:cs="Arial"/>
        </w:rPr>
      </w:pPr>
      <w:r>
        <w:rPr>
          <w:rFonts w:ascii="Arial" w:hAnsi="Arial" w:cs="Arial"/>
        </w:rPr>
        <w:t xml:space="preserve">The 20-month-old aged male mice had little trabecular bone mass remaining with few trabeculae within each </w:t>
      </w:r>
      <w:r w:rsidRPr="006635E8">
        <w:rPr>
          <w:rFonts w:ascii="Arial" w:hAnsi="Arial" w:cs="Arial"/>
          <w:color w:val="000000" w:themeColor="text1"/>
        </w:rPr>
        <w:sym w:font="Symbol" w:char="F06D"/>
      </w:r>
      <w:r>
        <w:rPr>
          <w:rFonts w:ascii="Arial" w:hAnsi="Arial" w:cs="Arial"/>
        </w:rPr>
        <w:t>CT slice in the analysed region of interest and variations between individual mice (Figure 48). One parameter that was not affected by age-related bone loss was the trabecular pattern factor. However, even with the significant decrease in Tb.Pf, trabecular bone response to loading in the aged mice would unlikely restore the trabecular bone mass and architecture to that of observed in young male mice, which accounts for the age-dependent differences in overall gain in trabecular bone volume fraction, number and thickness.</w:t>
      </w:r>
    </w:p>
    <w:p w14:paraId="214308FD" w14:textId="77777777" w:rsidR="00363B18" w:rsidRDefault="00363B18" w:rsidP="00814A1C">
      <w:pPr>
        <w:spacing w:line="480" w:lineRule="auto"/>
        <w:jc w:val="both"/>
        <w:rPr>
          <w:rFonts w:ascii="Arial" w:hAnsi="Arial" w:cs="Arial"/>
        </w:rPr>
      </w:pPr>
    </w:p>
    <w:p w14:paraId="23BCA2D6" w14:textId="77777777" w:rsidR="00814A1C" w:rsidRPr="00A53F6E" w:rsidRDefault="00814A1C" w:rsidP="00814A1C">
      <w:pPr>
        <w:spacing w:line="480" w:lineRule="auto"/>
        <w:jc w:val="both"/>
        <w:rPr>
          <w:rFonts w:ascii="Arial" w:hAnsi="Arial" w:cs="Arial"/>
          <w:bCs/>
        </w:rPr>
      </w:pPr>
      <w:r>
        <w:rPr>
          <w:rFonts w:ascii="Arial" w:hAnsi="Arial" w:cs="Arial"/>
        </w:rPr>
        <w:t>Bone a</w:t>
      </w:r>
      <w:r w:rsidRPr="003A4BBB">
        <w:rPr>
          <w:rFonts w:ascii="Arial" w:hAnsi="Arial" w:cs="Arial"/>
        </w:rPr>
        <w:t xml:space="preserve">rchitecture and mechanosensitivity are influenced by age-related endocrine </w:t>
      </w:r>
      <w:r>
        <w:rPr>
          <w:rFonts w:ascii="Arial" w:hAnsi="Arial" w:cs="Arial"/>
        </w:rPr>
        <w:t xml:space="preserve">and paracrine </w:t>
      </w:r>
      <w:r w:rsidRPr="003A4BBB">
        <w:rPr>
          <w:rFonts w:ascii="Arial" w:hAnsi="Arial" w:cs="Arial"/>
        </w:rPr>
        <w:t>changes</w:t>
      </w:r>
      <w:r w:rsidR="00363B18">
        <w:rPr>
          <w:rFonts w:ascii="Arial" w:hAnsi="Arial" w:cs="Arial"/>
        </w:rPr>
        <w:t>,</w:t>
      </w:r>
      <w:r w:rsidR="00A812C6">
        <w:rPr>
          <w:rFonts w:ascii="Arial" w:hAnsi="Arial" w:cs="Arial"/>
        </w:rPr>
        <w:t xml:space="preserve"> which exhibit their </w:t>
      </w:r>
      <w:r w:rsidRPr="003A4BBB">
        <w:rPr>
          <w:rFonts w:ascii="Arial" w:hAnsi="Arial" w:cs="Arial"/>
        </w:rPr>
        <w:t>effect</w:t>
      </w:r>
      <w:r w:rsidR="00A812C6">
        <w:rPr>
          <w:rFonts w:ascii="Arial" w:hAnsi="Arial" w:cs="Arial"/>
        </w:rPr>
        <w:t>s</w:t>
      </w:r>
      <w:r w:rsidRPr="003A4BBB">
        <w:rPr>
          <w:rFonts w:ascii="Arial" w:hAnsi="Arial" w:cs="Arial"/>
        </w:rPr>
        <w:t xml:space="preserve"> </w:t>
      </w:r>
      <w:r w:rsidR="00A812C6">
        <w:rPr>
          <w:rFonts w:ascii="Arial" w:hAnsi="Arial" w:cs="Arial"/>
        </w:rPr>
        <w:t xml:space="preserve">directly </w:t>
      </w:r>
      <w:r w:rsidRPr="003A4BBB">
        <w:rPr>
          <w:rFonts w:ascii="Arial" w:hAnsi="Arial" w:cs="Arial"/>
        </w:rPr>
        <w:t xml:space="preserve">through the mechanostat or indirectly influencing the </w:t>
      </w:r>
      <w:r w:rsidR="008A2A96">
        <w:rPr>
          <w:rFonts w:ascii="Arial" w:hAnsi="Arial" w:cs="Arial"/>
        </w:rPr>
        <w:t>context</w:t>
      </w:r>
      <w:r w:rsidRPr="003A4BBB">
        <w:rPr>
          <w:rFonts w:ascii="Arial" w:hAnsi="Arial" w:cs="Arial"/>
        </w:rPr>
        <w:t xml:space="preserve"> </w:t>
      </w:r>
      <w:r>
        <w:rPr>
          <w:rFonts w:ascii="Arial" w:hAnsi="Arial" w:cs="Arial"/>
        </w:rPr>
        <w:t xml:space="preserve">in which mechanostat operates. </w:t>
      </w:r>
      <w:r w:rsidRPr="00BD11DB">
        <w:rPr>
          <w:rFonts w:ascii="Arial" w:hAnsi="Arial" w:cs="Arial"/>
        </w:rPr>
        <w:t>A study by B</w:t>
      </w:r>
      <w:r w:rsidR="00363B18">
        <w:rPr>
          <w:rFonts w:ascii="Arial" w:hAnsi="Arial" w:cs="Arial"/>
        </w:rPr>
        <w:t xml:space="preserve">rodt and Silva </w:t>
      </w:r>
      <w:r w:rsidRPr="00BD11DB">
        <w:rPr>
          <w:rFonts w:ascii="Arial" w:hAnsi="Arial" w:cs="Arial"/>
        </w:rPr>
        <w:t xml:space="preserve">reported short-term anabolic response of </w:t>
      </w:r>
      <w:r w:rsidR="006D2346">
        <w:rPr>
          <w:rFonts w:ascii="Arial" w:hAnsi="Arial" w:cs="Arial"/>
        </w:rPr>
        <w:t xml:space="preserve">the </w:t>
      </w:r>
      <w:r w:rsidRPr="00BD11DB">
        <w:rPr>
          <w:rFonts w:ascii="Arial" w:hAnsi="Arial" w:cs="Arial"/>
        </w:rPr>
        <w:t xml:space="preserve">cortical bone to mechanical loading in 22-month-old BALB/c mouse model </w:t>
      </w:r>
      <w:r w:rsidR="00D0746B">
        <w:rPr>
          <w:rFonts w:ascii="Arial" w:hAnsi="Arial" w:cs="Arial"/>
        </w:rPr>
        <w:fldChar w:fldCharType="begin"/>
      </w:r>
      <w:r w:rsidR="00D0746B">
        <w:rPr>
          <w:rFonts w:ascii="Arial" w:hAnsi="Arial" w:cs="Arial"/>
        </w:rPr>
        <w:instrText xml:space="preserve"> ADDIN EN.CITE &lt;EndNote&gt;&lt;Cite&gt;&lt;Author&gt;Brodt&lt;/Author&gt;&lt;Year&gt;2010&lt;/Year&gt;&lt;RecNum&gt;504&lt;/RecNum&gt;&lt;DisplayText&gt;(Brodt and Silva, 2010)&lt;/DisplayText&gt;&lt;record&gt;&lt;rec-number&gt;504&lt;/rec-number&gt;&lt;foreign-keys&gt;&lt;key app="EN" db-id="ae9rewfrpdttrheppfxxv0p4950wpd25r09x" timestamp="1520658312"&gt;504&lt;/key&gt;&lt;/foreign-keys&gt;&lt;ref-type name="Journal Article"&gt;17&lt;/ref-type&gt;&lt;contributors&gt;&lt;authors&gt;&lt;author&gt;Brodt, Michael D.&lt;/author&gt;&lt;author&gt;Silva, Matthew J.&lt;/author&gt;&lt;/authors&gt;&lt;/contributors&gt;&lt;titles&gt;&lt;title&gt;Aged mice have enhanced endocortical response and normal periosteal response compared with young</w:instrText>
      </w:r>
      <w:r w:rsidR="00D0746B">
        <w:rPr>
          <w:rFonts w:ascii="American Typewriter" w:hAnsi="American Typewriter" w:cs="American Typewriter"/>
        </w:rPr>
        <w:instrText>‐</w:instrText>
      </w:r>
      <w:r w:rsidR="00D0746B">
        <w:rPr>
          <w:rFonts w:ascii="Arial" w:hAnsi="Arial" w:cs="Arial"/>
        </w:rPr>
        <w:instrText>adult mice following 1 week of axial tibial compression&lt;/title&gt;&lt;secondary-title&gt;Journal of Bone and Mineral Research&lt;/secondary-title&gt;&lt;/titles&gt;&lt;periodical&gt;&lt;full-title&gt;Journal of Bone and Mineral Research&lt;/full-title&gt;&lt;/periodical&gt;&lt;pages&gt;2006-2015&lt;/pages&gt;&lt;volume&gt;25&lt;/volume&gt;&lt;number&gt;9&lt;/number&gt;&lt;keywords&gt;&lt;keyword&gt;Bone Formation&lt;/keyword&gt;&lt;keyword&gt;Mouse&lt;/keyword&gt;&lt;keyword&gt;Mechanoresponse&lt;/keyword&gt;&lt;keyword&gt;Aging&lt;/keyword&gt;&lt;keyword&gt;Tibial Compression&lt;/keyword&gt;&lt;/keywords&gt;&lt;dates&gt;&lt;year&gt;2010&lt;/year&gt;&lt;/dates&gt;&lt;pub-location&gt;Hoboken&lt;/pub-location&gt;&lt;isbn&gt;0884-0431&lt;/isbn&gt;&lt;urls&gt;&lt;/urls&gt;&lt;electronic-resource-num&gt;10.1002/jbmr.96&lt;/electronic-resource-num&gt;&lt;/record&gt;&lt;/Cite&gt;&lt;/EndNote&gt;</w:instrText>
      </w:r>
      <w:r w:rsidR="00D0746B">
        <w:rPr>
          <w:rFonts w:ascii="Arial" w:hAnsi="Arial" w:cs="Arial"/>
        </w:rPr>
        <w:fldChar w:fldCharType="separate"/>
      </w:r>
      <w:r w:rsidR="00D0746B">
        <w:rPr>
          <w:rFonts w:ascii="Arial" w:hAnsi="Arial" w:cs="Arial"/>
          <w:noProof/>
        </w:rPr>
        <w:t>(Brodt and Silva, 2010)</w:t>
      </w:r>
      <w:r w:rsidR="00D0746B">
        <w:rPr>
          <w:rFonts w:ascii="Arial" w:hAnsi="Arial" w:cs="Arial"/>
        </w:rPr>
        <w:fldChar w:fldCharType="end"/>
      </w:r>
      <w:r w:rsidR="00E75A99">
        <w:rPr>
          <w:rFonts w:ascii="Arial" w:hAnsi="Arial" w:cs="Arial"/>
        </w:rPr>
        <w:t xml:space="preserve">. </w:t>
      </w:r>
      <w:r>
        <w:rPr>
          <w:rFonts w:ascii="Arial" w:hAnsi="Arial" w:cs="Arial"/>
        </w:rPr>
        <w:t xml:space="preserve">This may be due to different strain of mouse used in their study and/or differences in the experimental design. </w:t>
      </w:r>
      <w:r>
        <w:rPr>
          <w:rFonts w:ascii="Arial" w:hAnsi="Arial" w:cs="Arial"/>
          <w:color w:val="000000" w:themeColor="text1"/>
        </w:rPr>
        <w:t xml:space="preserve">The authors applied the same magnitude of loading on young and aged mouse tibiae, which means that aged mice experienced higher strains than young ones leading to the increased anabolic response and sustained fibial fractures during the loading process. We have applied non-invasive axial tibial loading on anaesthetised young and aged animals, which allowed </w:t>
      </w:r>
      <w:proofErr w:type="gramStart"/>
      <w:r>
        <w:rPr>
          <w:rFonts w:ascii="Arial" w:hAnsi="Arial" w:cs="Arial"/>
          <w:color w:val="000000" w:themeColor="text1"/>
        </w:rPr>
        <w:t>to match</w:t>
      </w:r>
      <w:proofErr w:type="gramEnd"/>
      <w:r>
        <w:rPr>
          <w:rFonts w:ascii="Arial" w:hAnsi="Arial" w:cs="Arial"/>
          <w:color w:val="000000" w:themeColor="text1"/>
        </w:rPr>
        <w:t xml:space="preserve"> the number of loading cycles, peak strain magnitudes and rates between the animals. The studies included in the next chapter are aimed to determine some of the possible responsible endocrine changes underlying bone’s osteogenic </w:t>
      </w:r>
      <w:r>
        <w:rPr>
          <w:rFonts w:ascii="Arial" w:hAnsi="Arial" w:cs="Arial"/>
          <w:color w:val="000000" w:themeColor="text1"/>
        </w:rPr>
        <w:lastRenderedPageBreak/>
        <w:t>response to maximal mechanical</w:t>
      </w:r>
      <w:r w:rsidR="00E75A99">
        <w:rPr>
          <w:rFonts w:ascii="Arial" w:hAnsi="Arial" w:cs="Arial"/>
          <w:color w:val="000000" w:themeColor="text1"/>
        </w:rPr>
        <w:t xml:space="preserve"> loading in fasted/fed states in</w:t>
      </w:r>
      <w:r>
        <w:rPr>
          <w:rFonts w:ascii="Arial" w:hAnsi="Arial" w:cs="Arial"/>
          <w:color w:val="000000" w:themeColor="text1"/>
        </w:rPr>
        <w:t xml:space="preserve"> young mice and the effect of ageing on these interactions. </w:t>
      </w:r>
      <w:r w:rsidRPr="001F4374">
        <w:rPr>
          <w:rFonts w:ascii="Arial" w:hAnsi="Arial" w:cs="Arial"/>
          <w:bCs/>
        </w:rPr>
        <w:t xml:space="preserve">We have not yet explored the effect of timing of feeding in aged animals </w:t>
      </w:r>
      <w:r w:rsidRPr="001F4374">
        <w:rPr>
          <w:rFonts w:ascii="Arial" w:hAnsi="Arial" w:cs="Arial"/>
        </w:rPr>
        <w:t xml:space="preserve">in various proximal, mid-shaft and distal sites of the tibiae </w:t>
      </w:r>
      <w:r w:rsidRPr="001F4374">
        <w:rPr>
          <w:rFonts w:ascii="Arial" w:hAnsi="Arial" w:cs="Arial"/>
          <w:bCs/>
        </w:rPr>
        <w:t>that might allow us to identify potentiating intervention.</w:t>
      </w:r>
      <w:r w:rsidRPr="001F4374">
        <w:rPr>
          <w:rFonts w:ascii="Arial" w:hAnsi="Arial" w:cs="Arial"/>
        </w:rPr>
        <w:t xml:space="preserve"> </w:t>
      </w:r>
    </w:p>
    <w:p w14:paraId="16BFA5D1" w14:textId="77777777" w:rsidR="00D81C4F" w:rsidRDefault="00D81C4F" w:rsidP="00D40E59">
      <w:pPr>
        <w:pStyle w:val="Heading2"/>
      </w:pPr>
      <w:bookmarkStart w:id="156" w:name="_Toc383723927"/>
    </w:p>
    <w:p w14:paraId="5148EDA2" w14:textId="77777777" w:rsidR="00D81C4F" w:rsidRDefault="00D81C4F" w:rsidP="00D40E59">
      <w:pPr>
        <w:pStyle w:val="Heading2"/>
      </w:pPr>
    </w:p>
    <w:p w14:paraId="75D14E38" w14:textId="77777777" w:rsidR="00D81C4F" w:rsidRDefault="00D81C4F" w:rsidP="00D40E59">
      <w:pPr>
        <w:pStyle w:val="Heading2"/>
      </w:pPr>
    </w:p>
    <w:p w14:paraId="79B2A989" w14:textId="77777777" w:rsidR="00D81C4F" w:rsidRDefault="00D81C4F" w:rsidP="00D40E59">
      <w:pPr>
        <w:pStyle w:val="Heading2"/>
      </w:pPr>
    </w:p>
    <w:p w14:paraId="561EDBE3" w14:textId="77777777" w:rsidR="00D81C4F" w:rsidRDefault="00D81C4F" w:rsidP="00D40E59">
      <w:pPr>
        <w:pStyle w:val="Heading2"/>
      </w:pPr>
    </w:p>
    <w:p w14:paraId="78E67BB0" w14:textId="77777777" w:rsidR="00D81C4F" w:rsidRDefault="00D81C4F" w:rsidP="00D40E59">
      <w:pPr>
        <w:pStyle w:val="Heading2"/>
      </w:pPr>
    </w:p>
    <w:p w14:paraId="3D24022D" w14:textId="77777777" w:rsidR="00D81C4F" w:rsidRDefault="00D81C4F" w:rsidP="00D40E59">
      <w:pPr>
        <w:pStyle w:val="Heading2"/>
      </w:pPr>
    </w:p>
    <w:p w14:paraId="29746046" w14:textId="77777777" w:rsidR="00D81C4F" w:rsidRDefault="00D81C4F" w:rsidP="00D40E59">
      <w:pPr>
        <w:pStyle w:val="Heading2"/>
      </w:pPr>
    </w:p>
    <w:p w14:paraId="709E34CB" w14:textId="77777777" w:rsidR="00D81C4F" w:rsidRDefault="00D81C4F" w:rsidP="00D40E59">
      <w:pPr>
        <w:pStyle w:val="Heading2"/>
      </w:pPr>
    </w:p>
    <w:p w14:paraId="005C4803" w14:textId="77777777" w:rsidR="00D81C4F" w:rsidRDefault="00D81C4F" w:rsidP="00D40E59">
      <w:pPr>
        <w:pStyle w:val="Heading2"/>
      </w:pPr>
    </w:p>
    <w:p w14:paraId="6F433CBB" w14:textId="77777777" w:rsidR="00D81C4F" w:rsidRDefault="00D81C4F" w:rsidP="00D40E59">
      <w:pPr>
        <w:pStyle w:val="Heading2"/>
      </w:pPr>
    </w:p>
    <w:p w14:paraId="017DC122" w14:textId="77777777" w:rsidR="00D81C4F" w:rsidRDefault="00D81C4F" w:rsidP="00D40E59">
      <w:pPr>
        <w:pStyle w:val="Heading2"/>
      </w:pPr>
    </w:p>
    <w:p w14:paraId="5066E621" w14:textId="77777777" w:rsidR="00D81C4F" w:rsidRDefault="00D81C4F" w:rsidP="00D40E59">
      <w:pPr>
        <w:pStyle w:val="Heading2"/>
      </w:pPr>
    </w:p>
    <w:p w14:paraId="16976359" w14:textId="77777777" w:rsidR="00D81C4F" w:rsidRDefault="00D81C4F" w:rsidP="00D81C4F"/>
    <w:p w14:paraId="48CB06BA" w14:textId="77777777" w:rsidR="00D81C4F" w:rsidRDefault="00D81C4F" w:rsidP="00D81C4F"/>
    <w:p w14:paraId="2FCDECA8" w14:textId="77777777" w:rsidR="00D81C4F" w:rsidRDefault="00D81C4F" w:rsidP="00D81C4F"/>
    <w:p w14:paraId="09FCAFC4" w14:textId="77777777" w:rsidR="00D81C4F" w:rsidRPr="00D81C4F" w:rsidRDefault="00D81C4F" w:rsidP="00D81C4F"/>
    <w:p w14:paraId="3DEFB7A9" w14:textId="77777777" w:rsidR="00C77F30" w:rsidRDefault="00814A1C" w:rsidP="00D40E59">
      <w:pPr>
        <w:pStyle w:val="Heading2"/>
      </w:pPr>
      <w:r>
        <w:lastRenderedPageBreak/>
        <w:t>6.4 Conclusions</w:t>
      </w:r>
      <w:bookmarkEnd w:id="156"/>
      <w:r>
        <w:t xml:space="preserve"> </w:t>
      </w:r>
    </w:p>
    <w:p w14:paraId="3065B6D9" w14:textId="77777777" w:rsidR="00814A1C" w:rsidRPr="00242B64" w:rsidRDefault="00814A1C" w:rsidP="00C77F30">
      <w:pPr>
        <w:spacing w:line="480" w:lineRule="auto"/>
        <w:jc w:val="both"/>
        <w:rPr>
          <w:rFonts w:ascii="Arial" w:hAnsi="Arial"/>
        </w:rPr>
      </w:pPr>
      <w:r w:rsidRPr="00C77F30">
        <w:rPr>
          <w:rFonts w:ascii="Arial" w:hAnsi="Arial"/>
        </w:rPr>
        <w:t>In the studies presented within this chapter we have assessed the feeding behaviour of overnight fasted aged male mice and established whether modulating effects of feeding on the osteogenic response to loading was age-dependent.</w:t>
      </w:r>
      <w:r w:rsidR="00C77F30" w:rsidRPr="00C77F30">
        <w:rPr>
          <w:rFonts w:ascii="Arial" w:hAnsi="Arial"/>
        </w:rPr>
        <w:t xml:space="preserve"> </w:t>
      </w:r>
      <w:r w:rsidR="00242B64">
        <w:rPr>
          <w:rFonts w:ascii="Arial" w:hAnsi="Arial"/>
        </w:rPr>
        <w:t>Fol</w:t>
      </w:r>
      <w:r w:rsidR="00F40D00">
        <w:rPr>
          <w:rFonts w:ascii="Arial" w:hAnsi="Arial"/>
        </w:rPr>
        <w:t>lowing overnight 16-hour fast</w:t>
      </w:r>
      <w:r w:rsidR="00242B64">
        <w:rPr>
          <w:rFonts w:ascii="Arial" w:hAnsi="Arial"/>
        </w:rPr>
        <w:t xml:space="preserve">, aged mice exhibited significantly increased food intake for 2 hours compared with mice that had free access to food ad libitum. </w:t>
      </w:r>
      <w:r w:rsidR="00C77F30">
        <w:rPr>
          <w:rFonts w:ascii="Arial" w:hAnsi="Arial"/>
        </w:rPr>
        <w:t>Unlike the young adult mice, t</w:t>
      </w:r>
      <w:r w:rsidR="00C77F30" w:rsidRPr="00C77F30">
        <w:rPr>
          <w:rFonts w:ascii="Arial" w:hAnsi="Arial"/>
        </w:rPr>
        <w:t xml:space="preserve">here was an age-dependent impairment of the cortical bone osteogenic response to mechanical loading in 20-month-old fed and fasted 2-hour fed male mice. </w:t>
      </w:r>
      <w:r w:rsidRPr="00C77F30">
        <w:rPr>
          <w:rFonts w:ascii="Arial" w:hAnsi="Arial"/>
        </w:rPr>
        <w:t xml:space="preserve"> Increase in trabecular connectivity in response to the mechanical loading was unaffected in aged mice, but overall increase in bone volume fraction, trabecular number and thickness appear </w:t>
      </w:r>
      <w:r w:rsidR="00242B64" w:rsidRPr="00C77F30">
        <w:rPr>
          <w:rFonts w:ascii="Arial" w:hAnsi="Arial"/>
        </w:rPr>
        <w:t>impaired</w:t>
      </w:r>
      <w:r w:rsidRPr="00C77F30">
        <w:rPr>
          <w:rFonts w:ascii="Arial" w:hAnsi="Arial"/>
        </w:rPr>
        <w:t xml:space="preserve"> by ageing. Studies of the potential endocrine changes underlying the findings in th</w:t>
      </w:r>
      <w:r w:rsidR="00242B64">
        <w:rPr>
          <w:rFonts w:ascii="Arial" w:hAnsi="Arial"/>
        </w:rPr>
        <w:t>i</w:t>
      </w:r>
      <w:r w:rsidRPr="00C77F30">
        <w:rPr>
          <w:rFonts w:ascii="Arial" w:hAnsi="Arial"/>
        </w:rPr>
        <w:t>s chapter will</w:t>
      </w:r>
      <w:r w:rsidR="00C77F30">
        <w:rPr>
          <w:rFonts w:ascii="Arial" w:hAnsi="Arial"/>
        </w:rPr>
        <w:t xml:space="preserve"> be explored in details </w:t>
      </w:r>
      <w:r w:rsidR="008F47D9">
        <w:rPr>
          <w:rFonts w:ascii="Arial" w:hAnsi="Arial"/>
        </w:rPr>
        <w:t>in</w:t>
      </w:r>
      <w:r w:rsidR="00C77F30">
        <w:rPr>
          <w:rFonts w:ascii="Arial" w:hAnsi="Arial"/>
        </w:rPr>
        <w:t xml:space="preserve"> C</w:t>
      </w:r>
      <w:r w:rsidRPr="00C77F30">
        <w:rPr>
          <w:rFonts w:ascii="Arial" w:hAnsi="Arial"/>
        </w:rPr>
        <w:t xml:space="preserve">hapter 7 of this thesis. </w:t>
      </w:r>
    </w:p>
    <w:p w14:paraId="49245E40" w14:textId="77777777" w:rsidR="00814A1C" w:rsidRPr="00C77F30" w:rsidRDefault="00814A1C" w:rsidP="00C77F30">
      <w:pPr>
        <w:spacing w:line="480" w:lineRule="auto"/>
        <w:jc w:val="both"/>
        <w:rPr>
          <w:rFonts w:ascii="Arial" w:hAnsi="Arial"/>
        </w:rPr>
      </w:pPr>
    </w:p>
    <w:p w14:paraId="134098AA" w14:textId="77777777" w:rsidR="00814A1C" w:rsidRDefault="00814A1C" w:rsidP="00814A1C">
      <w:pPr>
        <w:spacing w:line="480" w:lineRule="auto"/>
        <w:jc w:val="both"/>
      </w:pPr>
    </w:p>
    <w:p w14:paraId="302D7C50" w14:textId="77777777" w:rsidR="00814A1C" w:rsidRDefault="00814A1C" w:rsidP="00814A1C">
      <w:pPr>
        <w:spacing w:line="480" w:lineRule="auto"/>
        <w:jc w:val="both"/>
      </w:pPr>
    </w:p>
    <w:p w14:paraId="5C06D8A3" w14:textId="77777777" w:rsidR="00814A1C" w:rsidRDefault="00814A1C" w:rsidP="00814A1C">
      <w:pPr>
        <w:spacing w:line="480" w:lineRule="auto"/>
        <w:jc w:val="both"/>
      </w:pPr>
    </w:p>
    <w:p w14:paraId="0DB1BB50" w14:textId="77777777" w:rsidR="00814A1C" w:rsidRDefault="00814A1C" w:rsidP="00814A1C">
      <w:pPr>
        <w:spacing w:line="480" w:lineRule="auto"/>
        <w:jc w:val="both"/>
      </w:pPr>
    </w:p>
    <w:p w14:paraId="766B9439" w14:textId="77777777" w:rsidR="00814A1C" w:rsidRDefault="00814A1C" w:rsidP="00814A1C">
      <w:pPr>
        <w:spacing w:line="480" w:lineRule="auto"/>
        <w:jc w:val="both"/>
      </w:pPr>
    </w:p>
    <w:p w14:paraId="18223656" w14:textId="77777777" w:rsidR="00814A1C" w:rsidRDefault="00814A1C" w:rsidP="00814A1C"/>
    <w:p w14:paraId="738B3CCF" w14:textId="77777777" w:rsidR="00814A1C" w:rsidRDefault="00814A1C" w:rsidP="00814A1C"/>
    <w:p w14:paraId="3FA8BA8C" w14:textId="77777777" w:rsidR="00814A1C" w:rsidRDefault="00814A1C" w:rsidP="00814A1C">
      <w:pPr>
        <w:rPr>
          <w:rFonts w:ascii="Arial" w:eastAsiaTheme="minorHAnsi" w:hAnsi="Arial"/>
          <w:bCs/>
        </w:rPr>
      </w:pPr>
    </w:p>
    <w:p w14:paraId="470975AF" w14:textId="77777777" w:rsidR="00814A1C" w:rsidRPr="007A422A" w:rsidRDefault="00814A1C" w:rsidP="00814A1C">
      <w:pPr>
        <w:tabs>
          <w:tab w:val="left" w:pos="5608"/>
        </w:tabs>
        <w:rPr>
          <w:rFonts w:ascii="Arial" w:eastAsiaTheme="minorHAnsi" w:hAnsi="Arial"/>
          <w:bCs/>
        </w:rPr>
      </w:pPr>
      <w:r>
        <w:rPr>
          <w:rFonts w:ascii="Arial" w:eastAsiaTheme="minorHAnsi" w:hAnsi="Arial"/>
          <w:bCs/>
        </w:rPr>
        <w:tab/>
      </w:r>
    </w:p>
    <w:p w14:paraId="50F498D5" w14:textId="77777777" w:rsidR="00B43858" w:rsidRDefault="00B43858" w:rsidP="007A1FC4"/>
    <w:p w14:paraId="5298108C" w14:textId="77777777" w:rsidR="00B43858" w:rsidRDefault="00B43858" w:rsidP="007A1FC4"/>
    <w:p w14:paraId="2EBFBDA7" w14:textId="77777777" w:rsidR="00B43858" w:rsidRDefault="00B43858" w:rsidP="007A1FC4"/>
    <w:p w14:paraId="0CDB6DA3" w14:textId="77777777" w:rsidR="00B43858" w:rsidRDefault="00B43858" w:rsidP="007A1FC4"/>
    <w:p w14:paraId="5909C202" w14:textId="77777777" w:rsidR="00B43858" w:rsidRDefault="00B43858" w:rsidP="007A1FC4"/>
    <w:p w14:paraId="66649E9E" w14:textId="77777777" w:rsidR="00464656" w:rsidRDefault="00464656" w:rsidP="007A1FC4"/>
    <w:p w14:paraId="3D25EFB6" w14:textId="77777777" w:rsidR="005A79BF" w:rsidRDefault="005A79BF" w:rsidP="007A1FC4"/>
    <w:p w14:paraId="7369EA90" w14:textId="77777777" w:rsidR="00B92F3E" w:rsidRDefault="00B92F3E" w:rsidP="00B92F3E">
      <w:pPr>
        <w:pStyle w:val="TOCHeading"/>
        <w:spacing w:line="360" w:lineRule="auto"/>
        <w:jc w:val="left"/>
        <w:rPr>
          <w:rFonts w:eastAsia="Times New Roman"/>
          <w:bCs w:val="0"/>
          <w:color w:val="1F497D" w:themeColor="text2"/>
          <w:sz w:val="24"/>
          <w:szCs w:val="24"/>
          <w:u w:val="double"/>
        </w:rPr>
      </w:pPr>
      <w:bookmarkStart w:id="157" w:name="_Toc383723928"/>
    </w:p>
    <w:p w14:paraId="41588129" w14:textId="77777777" w:rsidR="00B92F3E" w:rsidRPr="00B92F3E" w:rsidRDefault="00B92F3E" w:rsidP="00B92F3E"/>
    <w:p w14:paraId="7B5FDCA1" w14:textId="77777777" w:rsidR="00D81C4F" w:rsidRDefault="00D81C4F" w:rsidP="00B92F3E">
      <w:pPr>
        <w:pStyle w:val="TOCHeading"/>
        <w:spacing w:line="360" w:lineRule="auto"/>
        <w:rPr>
          <w:rFonts w:eastAsia="Times New Roman"/>
          <w:bCs w:val="0"/>
          <w:color w:val="1F497D" w:themeColor="text2"/>
          <w:sz w:val="40"/>
          <w:szCs w:val="40"/>
          <w:u w:val="double"/>
        </w:rPr>
      </w:pPr>
    </w:p>
    <w:p w14:paraId="27A00B6B" w14:textId="77777777" w:rsidR="00D81C4F" w:rsidRDefault="00D81C4F" w:rsidP="00B92F3E">
      <w:pPr>
        <w:pStyle w:val="TOCHeading"/>
        <w:spacing w:line="360" w:lineRule="auto"/>
        <w:rPr>
          <w:rFonts w:eastAsia="Times New Roman"/>
          <w:bCs w:val="0"/>
          <w:color w:val="1F497D" w:themeColor="text2"/>
          <w:sz w:val="40"/>
          <w:szCs w:val="40"/>
          <w:u w:val="double"/>
        </w:rPr>
      </w:pPr>
    </w:p>
    <w:p w14:paraId="41E2D652" w14:textId="77777777" w:rsidR="00B92F3E" w:rsidRDefault="00B92F3E" w:rsidP="00B92F3E">
      <w:pPr>
        <w:pStyle w:val="TOCHeading"/>
        <w:spacing w:line="360" w:lineRule="auto"/>
        <w:rPr>
          <w:rFonts w:eastAsia="Times New Roman"/>
          <w:bCs w:val="0"/>
          <w:color w:val="1F497D" w:themeColor="text2"/>
          <w:sz w:val="40"/>
          <w:szCs w:val="40"/>
          <w:u w:val="double"/>
        </w:rPr>
      </w:pPr>
      <w:r>
        <w:rPr>
          <w:rFonts w:eastAsia="Times New Roman"/>
          <w:bCs w:val="0"/>
          <w:color w:val="1F497D" w:themeColor="text2"/>
          <w:sz w:val="40"/>
          <w:szCs w:val="40"/>
          <w:u w:val="double"/>
        </w:rPr>
        <w:t>CHAPTER 7</w:t>
      </w:r>
    </w:p>
    <w:p w14:paraId="3644E873" w14:textId="77777777" w:rsidR="0015459C" w:rsidRPr="00A05B4A" w:rsidRDefault="0015459C" w:rsidP="00204988">
      <w:pPr>
        <w:pStyle w:val="Heading1"/>
        <w:rPr>
          <w:rFonts w:eastAsia="Times New Roman"/>
        </w:rPr>
      </w:pPr>
      <w:r w:rsidRPr="00A05B4A">
        <w:t xml:space="preserve">The </w:t>
      </w:r>
      <w:r w:rsidR="00B46A92">
        <w:t>changes of</w:t>
      </w:r>
      <w:r>
        <w:t xml:space="preserve"> hormone concentrations in</w:t>
      </w:r>
      <w:r w:rsidRPr="00A05B4A">
        <w:t xml:space="preserve"> </w:t>
      </w:r>
      <w:r w:rsidR="00464656">
        <w:t xml:space="preserve">fed and fasted </w:t>
      </w:r>
      <w:r>
        <w:t xml:space="preserve">fed </w:t>
      </w:r>
      <w:r w:rsidRPr="00A05B4A">
        <w:t xml:space="preserve">young and aged </w:t>
      </w:r>
      <w:r w:rsidRPr="00A05B4A">
        <w:rPr>
          <w:rFonts w:eastAsia="Times New Roman"/>
        </w:rPr>
        <w:t>mice</w:t>
      </w:r>
      <w:bookmarkEnd w:id="157"/>
    </w:p>
    <w:p w14:paraId="0C964365" w14:textId="77777777" w:rsidR="0015459C" w:rsidRDefault="0015459C" w:rsidP="00BA475F">
      <w:pPr>
        <w:spacing w:line="360" w:lineRule="auto"/>
        <w:jc w:val="center"/>
      </w:pPr>
    </w:p>
    <w:p w14:paraId="7BA43555" w14:textId="77777777" w:rsidR="0015459C" w:rsidRDefault="0015459C" w:rsidP="0015459C"/>
    <w:p w14:paraId="659EEE32" w14:textId="77777777" w:rsidR="0015459C" w:rsidRDefault="0015459C" w:rsidP="0015459C"/>
    <w:p w14:paraId="1D24D8CC" w14:textId="77777777" w:rsidR="0015459C" w:rsidRDefault="0015459C" w:rsidP="0015459C"/>
    <w:p w14:paraId="299DBB6A" w14:textId="77777777" w:rsidR="0015459C" w:rsidRDefault="0015459C" w:rsidP="0015459C"/>
    <w:p w14:paraId="232B98EB" w14:textId="77777777" w:rsidR="0015459C" w:rsidRDefault="0015459C" w:rsidP="0015459C"/>
    <w:p w14:paraId="5A9626D1" w14:textId="77777777" w:rsidR="0015459C" w:rsidRDefault="0015459C" w:rsidP="0015459C"/>
    <w:p w14:paraId="4D5C09A6" w14:textId="77777777" w:rsidR="0015459C" w:rsidRDefault="0015459C" w:rsidP="0015459C"/>
    <w:p w14:paraId="5EEB0A75" w14:textId="77777777" w:rsidR="0015459C" w:rsidRDefault="0015459C" w:rsidP="0015459C"/>
    <w:p w14:paraId="79FD0C95" w14:textId="77777777" w:rsidR="0015459C" w:rsidRDefault="0015459C" w:rsidP="0015459C"/>
    <w:p w14:paraId="7BD8A769" w14:textId="77777777" w:rsidR="0015459C" w:rsidRDefault="0015459C" w:rsidP="0015459C"/>
    <w:p w14:paraId="419B6DF1" w14:textId="77777777" w:rsidR="0015459C" w:rsidRDefault="0015459C" w:rsidP="0015459C"/>
    <w:p w14:paraId="02D587B4" w14:textId="77777777" w:rsidR="0015459C" w:rsidRDefault="0015459C" w:rsidP="0015459C"/>
    <w:p w14:paraId="54C3AD00" w14:textId="77777777" w:rsidR="0015459C" w:rsidRDefault="0015459C" w:rsidP="0015459C"/>
    <w:p w14:paraId="71D0C412" w14:textId="77777777" w:rsidR="0015459C" w:rsidRDefault="0015459C" w:rsidP="0015459C"/>
    <w:p w14:paraId="70FEED08" w14:textId="77777777" w:rsidR="0015459C" w:rsidRDefault="0015459C" w:rsidP="0015459C"/>
    <w:p w14:paraId="7ED84DE7" w14:textId="77777777" w:rsidR="0015459C" w:rsidRDefault="0015459C" w:rsidP="0015459C"/>
    <w:p w14:paraId="4B319CD1" w14:textId="77777777" w:rsidR="0015459C" w:rsidRDefault="0015459C" w:rsidP="0015459C"/>
    <w:p w14:paraId="4959C82E" w14:textId="77777777" w:rsidR="0015459C" w:rsidRDefault="0015459C" w:rsidP="0015459C"/>
    <w:p w14:paraId="146166C7" w14:textId="77777777" w:rsidR="0015459C" w:rsidRDefault="0015459C" w:rsidP="0015459C"/>
    <w:p w14:paraId="77B0A081" w14:textId="77777777" w:rsidR="0015459C" w:rsidRDefault="0015459C" w:rsidP="0015459C"/>
    <w:p w14:paraId="4E0A6841" w14:textId="77777777" w:rsidR="0015459C" w:rsidRDefault="0015459C" w:rsidP="0015459C"/>
    <w:p w14:paraId="004E54F7" w14:textId="77777777" w:rsidR="0015459C" w:rsidRDefault="0015459C" w:rsidP="0015459C"/>
    <w:p w14:paraId="581E48EB" w14:textId="77777777" w:rsidR="0015459C" w:rsidRDefault="0015459C" w:rsidP="0015459C"/>
    <w:p w14:paraId="1CE03A43" w14:textId="77777777" w:rsidR="0015459C" w:rsidRDefault="0015459C" w:rsidP="0015459C"/>
    <w:p w14:paraId="6127EADD" w14:textId="77777777" w:rsidR="0015459C" w:rsidRDefault="0015459C" w:rsidP="0015459C"/>
    <w:p w14:paraId="536A07E9" w14:textId="77777777" w:rsidR="0015459C" w:rsidRDefault="0015459C" w:rsidP="0015459C"/>
    <w:p w14:paraId="25BE5781" w14:textId="77777777" w:rsidR="0015459C" w:rsidRDefault="0015459C" w:rsidP="0015459C"/>
    <w:p w14:paraId="122FABE2" w14:textId="77777777" w:rsidR="0015459C" w:rsidRDefault="0015459C" w:rsidP="0015459C"/>
    <w:p w14:paraId="49E1C389" w14:textId="77777777" w:rsidR="0015459C" w:rsidRDefault="0015459C" w:rsidP="0015459C"/>
    <w:p w14:paraId="75172EB7" w14:textId="77777777" w:rsidR="0015459C" w:rsidRDefault="0015459C" w:rsidP="0015459C"/>
    <w:p w14:paraId="15681B6B" w14:textId="77777777" w:rsidR="0015459C" w:rsidRDefault="0015459C" w:rsidP="0015459C"/>
    <w:p w14:paraId="55F091F1" w14:textId="77777777" w:rsidR="0015459C" w:rsidRDefault="0015459C" w:rsidP="0015459C"/>
    <w:p w14:paraId="091B9BA0" w14:textId="77777777" w:rsidR="0015459C" w:rsidRDefault="0015459C" w:rsidP="0015459C"/>
    <w:p w14:paraId="032E1123" w14:textId="77777777" w:rsidR="0015459C" w:rsidRDefault="0015459C" w:rsidP="00D40E59">
      <w:pPr>
        <w:pStyle w:val="Heading2"/>
      </w:pPr>
      <w:bookmarkStart w:id="158" w:name="_Toc383723929"/>
      <w:r>
        <w:lastRenderedPageBreak/>
        <w:t>7.1 Introduction</w:t>
      </w:r>
      <w:bookmarkEnd w:id="158"/>
    </w:p>
    <w:p w14:paraId="19540E2F" w14:textId="77777777" w:rsidR="0015459C" w:rsidRDefault="0015459C" w:rsidP="0015459C">
      <w:pPr>
        <w:spacing w:line="480" w:lineRule="auto"/>
        <w:jc w:val="both"/>
        <w:rPr>
          <w:rFonts w:ascii="Arial" w:hAnsi="Arial" w:cs="Arial"/>
          <w:bCs/>
          <w:lang w:val="en-US"/>
        </w:rPr>
      </w:pPr>
      <w:r>
        <w:rPr>
          <w:rFonts w:ascii="Arial" w:hAnsi="Arial"/>
          <w:bCs/>
        </w:rPr>
        <w:t xml:space="preserve">In the previous chapters we have determined that </w:t>
      </w:r>
      <w:r w:rsidR="00D20595">
        <w:rPr>
          <w:rFonts w:ascii="Arial" w:hAnsi="Arial" w:cs="Arial"/>
          <w:bCs/>
          <w:lang w:val="en-US"/>
        </w:rPr>
        <w:t>food ingestion for 2 hours, but not 1</w:t>
      </w:r>
      <w:r>
        <w:rPr>
          <w:rFonts w:ascii="Arial" w:hAnsi="Arial" w:cs="Arial"/>
          <w:bCs/>
          <w:lang w:val="en-US"/>
        </w:rPr>
        <w:t xml:space="preserve"> or </w:t>
      </w:r>
      <w:r w:rsidR="00D20595">
        <w:rPr>
          <w:rFonts w:ascii="Arial" w:hAnsi="Arial" w:cs="Arial"/>
          <w:bCs/>
          <w:lang w:val="en-US"/>
        </w:rPr>
        <w:t>3</w:t>
      </w:r>
      <w:r>
        <w:rPr>
          <w:rFonts w:ascii="Arial" w:hAnsi="Arial" w:cs="Arial"/>
          <w:bCs/>
          <w:lang w:val="en-US"/>
        </w:rPr>
        <w:t xml:space="preserve"> hours</w:t>
      </w:r>
      <w:r w:rsidRPr="00A27D68">
        <w:rPr>
          <w:rFonts w:ascii="Arial" w:hAnsi="Arial" w:cs="Arial"/>
          <w:bCs/>
          <w:lang w:val="en-US"/>
        </w:rPr>
        <w:t xml:space="preserve"> </w:t>
      </w:r>
      <w:r>
        <w:rPr>
          <w:rFonts w:ascii="Arial" w:hAnsi="Arial" w:cs="Arial"/>
          <w:color w:val="1A1A1A"/>
          <w:lang w:val="en-US"/>
        </w:rPr>
        <w:t>following overnight 16-hour fast</w:t>
      </w:r>
      <w:r w:rsidRPr="00A27D68">
        <w:rPr>
          <w:rFonts w:ascii="Arial" w:hAnsi="Arial" w:cs="Arial"/>
          <w:color w:val="1A1A1A"/>
          <w:lang w:val="en-US"/>
        </w:rPr>
        <w:t xml:space="preserve"> </w:t>
      </w:r>
      <w:r w:rsidRPr="00A27D68">
        <w:rPr>
          <w:rFonts w:ascii="Arial" w:hAnsi="Arial" w:cs="Arial"/>
          <w:bCs/>
          <w:lang w:val="en-US"/>
        </w:rPr>
        <w:t>potentiate</w:t>
      </w:r>
      <w:r>
        <w:rPr>
          <w:rFonts w:ascii="Arial" w:hAnsi="Arial" w:cs="Arial"/>
          <w:bCs/>
          <w:lang w:val="en-US"/>
        </w:rPr>
        <w:t xml:space="preserve">d bone’s osteogenic adaptive response to </w:t>
      </w:r>
      <w:r w:rsidRPr="00A27D68">
        <w:rPr>
          <w:rFonts w:ascii="Arial" w:hAnsi="Arial" w:cs="Arial"/>
          <w:bCs/>
          <w:lang w:val="en-US"/>
        </w:rPr>
        <w:t xml:space="preserve">mechanical loading in </w:t>
      </w:r>
      <w:r>
        <w:rPr>
          <w:rFonts w:ascii="Arial" w:hAnsi="Arial" w:cs="Arial"/>
          <w:bCs/>
          <w:lang w:val="en-US"/>
        </w:rPr>
        <w:t xml:space="preserve">young but not aged mice. Moreover, we have revealed that </w:t>
      </w:r>
      <w:r w:rsidRPr="003E5862">
        <w:rPr>
          <w:rFonts w:ascii="Arial" w:hAnsi="Arial" w:cs="Arial"/>
          <w:bCs/>
          <w:lang w:val="en-US"/>
        </w:rPr>
        <w:t>changing timing of feeding can turn ineffective loading stimulus</w:t>
      </w:r>
      <w:r>
        <w:rPr>
          <w:rFonts w:ascii="Arial" w:hAnsi="Arial" w:cs="Arial"/>
          <w:bCs/>
          <w:lang w:val="en-US"/>
        </w:rPr>
        <w:t>,</w:t>
      </w:r>
      <w:r w:rsidRPr="003E5862">
        <w:rPr>
          <w:rFonts w:ascii="Arial" w:hAnsi="Arial" w:cs="Arial"/>
          <w:bCs/>
          <w:lang w:val="en-US"/>
        </w:rPr>
        <w:t xml:space="preserve"> that does not normally </w:t>
      </w:r>
      <w:r>
        <w:rPr>
          <w:rFonts w:ascii="Arial" w:hAnsi="Arial" w:cs="Arial"/>
          <w:bCs/>
          <w:lang w:val="en-US"/>
        </w:rPr>
        <w:t>cause</w:t>
      </w:r>
      <w:r w:rsidRPr="003E5862">
        <w:rPr>
          <w:rFonts w:ascii="Arial" w:hAnsi="Arial" w:cs="Arial"/>
          <w:bCs/>
          <w:lang w:val="en-US"/>
        </w:rPr>
        <w:t xml:space="preserve"> bone formation, into </w:t>
      </w:r>
      <w:r>
        <w:rPr>
          <w:rFonts w:ascii="Arial" w:hAnsi="Arial" w:cs="Arial"/>
          <w:bCs/>
          <w:lang w:val="en-US"/>
        </w:rPr>
        <w:t xml:space="preserve">an </w:t>
      </w:r>
      <w:r w:rsidRPr="003E5862">
        <w:rPr>
          <w:rFonts w:ascii="Arial" w:hAnsi="Arial" w:cs="Arial"/>
          <w:bCs/>
          <w:lang w:val="en-US"/>
        </w:rPr>
        <w:t>effective one</w:t>
      </w:r>
      <w:r>
        <w:rPr>
          <w:rFonts w:ascii="Arial" w:hAnsi="Arial" w:cs="Arial"/>
          <w:bCs/>
          <w:lang w:val="en-US"/>
        </w:rPr>
        <w:t xml:space="preserve"> </w:t>
      </w:r>
      <w:r w:rsidRPr="00A27D68">
        <w:rPr>
          <w:rFonts w:ascii="Arial" w:hAnsi="Arial" w:cs="Arial"/>
          <w:bCs/>
          <w:lang w:val="en-US"/>
        </w:rPr>
        <w:t xml:space="preserve">in </w:t>
      </w:r>
      <w:r>
        <w:rPr>
          <w:rFonts w:ascii="Arial" w:hAnsi="Arial" w:cs="Arial"/>
          <w:bCs/>
          <w:lang w:val="en-US"/>
        </w:rPr>
        <w:t>young mice consistent with our hypothesis</w:t>
      </w:r>
      <w:r w:rsidRPr="00A27D68">
        <w:rPr>
          <w:rFonts w:ascii="Arial" w:hAnsi="Arial" w:cs="Arial"/>
          <w:bCs/>
          <w:lang w:val="en-US"/>
        </w:rPr>
        <w:t>.</w:t>
      </w:r>
      <w:r>
        <w:rPr>
          <w:rFonts w:ascii="Arial" w:hAnsi="Arial" w:cs="Arial"/>
          <w:bCs/>
          <w:lang w:val="en-US"/>
        </w:rPr>
        <w:t xml:space="preserve"> The results suggest that </w:t>
      </w:r>
      <w:r>
        <w:rPr>
          <w:rFonts w:ascii="Arial" w:hAnsi="Arial"/>
          <w:bCs/>
        </w:rPr>
        <w:t xml:space="preserve">there are differences in adaptive responses to axial mechanical loading </w:t>
      </w:r>
      <w:r>
        <w:rPr>
          <w:rFonts w:ascii="Arial" w:hAnsi="Arial" w:cs="Arial"/>
          <w:bCs/>
          <w:lang w:val="en-US"/>
        </w:rPr>
        <w:t xml:space="preserve">in bones of aged mice consistent with the previous studies </w:t>
      </w:r>
      <w:r w:rsidR="00EC1992">
        <w:rPr>
          <w:rFonts w:ascii="Arial" w:hAnsi="Arial" w:cs="Arial"/>
          <w:bCs/>
          <w:lang w:val="en-US"/>
        </w:rPr>
        <w:fldChar w:fldCharType="begin">
          <w:fldData xml:space="preserve">PEVuZE5vdGU+PENpdGU+PEF1dGhvcj5UdXJuZXI8L0F1dGhvcj48WWVhcj4xOTk1PC9ZZWFyPjxS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</w:fldData>
        </w:fldChar>
      </w:r>
      <w:r w:rsidR="00EC1992">
        <w:rPr>
          <w:rFonts w:ascii="Arial" w:hAnsi="Arial" w:cs="Arial"/>
          <w:bCs/>
          <w:lang w:val="en-US"/>
        </w:rPr>
        <w:instrText xml:space="preserve"> ADDIN EN.CITE </w:instrText>
      </w:r>
      <w:r w:rsidR="00EC1992">
        <w:rPr>
          <w:rFonts w:ascii="Arial" w:hAnsi="Arial" w:cs="Arial"/>
          <w:bCs/>
          <w:lang w:val="en-US"/>
        </w:rPr>
        <w:fldChar w:fldCharType="begin">
          <w:fldData xml:space="preserve">PEVuZE5vdGU+PENpdGU+PEF1dGhvcj5UdXJuZXI8L0F1dGhvcj48WWVhcj4xOTk1PC9ZZWFyPjxS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</w:fldData>
        </w:fldChar>
      </w:r>
      <w:r w:rsidR="00EC1992">
        <w:rPr>
          <w:rFonts w:ascii="Arial" w:hAnsi="Arial" w:cs="Arial"/>
          <w:bCs/>
          <w:lang w:val="en-US"/>
        </w:rPr>
        <w:instrText xml:space="preserve"> ADDIN EN.CITE.DATA </w:instrText>
      </w:r>
      <w:r w:rsidR="00EC1992">
        <w:rPr>
          <w:rFonts w:ascii="Arial" w:hAnsi="Arial" w:cs="Arial"/>
          <w:bCs/>
          <w:lang w:val="en-US"/>
        </w:rPr>
      </w:r>
      <w:r w:rsidR="00EC1992">
        <w:rPr>
          <w:rFonts w:ascii="Arial" w:hAnsi="Arial" w:cs="Arial"/>
          <w:bCs/>
          <w:lang w:val="en-US"/>
        </w:rPr>
        <w:fldChar w:fldCharType="end"/>
      </w:r>
      <w:r w:rsidR="00EC1992">
        <w:rPr>
          <w:rFonts w:ascii="Arial" w:hAnsi="Arial" w:cs="Arial"/>
          <w:bCs/>
          <w:lang w:val="en-US"/>
        </w:rPr>
      </w:r>
      <w:r w:rsidR="00EC1992">
        <w:rPr>
          <w:rFonts w:ascii="Arial" w:hAnsi="Arial" w:cs="Arial"/>
          <w:bCs/>
          <w:lang w:val="en-US"/>
        </w:rPr>
        <w:fldChar w:fldCharType="separate"/>
      </w:r>
      <w:r w:rsidR="00EC1992">
        <w:rPr>
          <w:rFonts w:ascii="Arial" w:hAnsi="Arial" w:cs="Arial"/>
          <w:bCs/>
          <w:noProof/>
          <w:lang w:val="en-US"/>
        </w:rPr>
        <w:t>(Turner et al., 1995, Srinivasan et al., 2003)</w:t>
      </w:r>
      <w:r w:rsidR="00EC1992">
        <w:rPr>
          <w:rFonts w:ascii="Arial" w:hAnsi="Arial" w:cs="Arial"/>
          <w:bCs/>
          <w:lang w:val="en-US"/>
        </w:rPr>
        <w:fldChar w:fldCharType="end"/>
      </w:r>
      <w:r w:rsidR="009B0884">
        <w:rPr>
          <w:rFonts w:ascii="Arial" w:hAnsi="Arial" w:cs="Arial"/>
          <w:bCs/>
          <w:lang w:val="en-US"/>
        </w:rPr>
        <w:t xml:space="preserve">. </w:t>
      </w:r>
      <w:r>
        <w:rPr>
          <w:rFonts w:ascii="Arial" w:hAnsi="Arial" w:cs="Arial"/>
          <w:bCs/>
          <w:lang w:val="en-US"/>
        </w:rPr>
        <w:t xml:space="preserve">Age-related bone loss across multiple sites within the skeleton suggests that systemic regulation of bone homeostasis plays an important role. </w:t>
      </w:r>
    </w:p>
    <w:p w14:paraId="48B0E9D5" w14:textId="77777777" w:rsidR="0015459C" w:rsidRDefault="0015459C" w:rsidP="0015459C">
      <w:pPr>
        <w:spacing w:line="480" w:lineRule="auto"/>
        <w:jc w:val="both"/>
        <w:rPr>
          <w:rFonts w:ascii="Arial" w:hAnsi="Arial" w:cs="Arial"/>
          <w:bCs/>
          <w:lang w:val="en-US"/>
        </w:rPr>
      </w:pPr>
    </w:p>
    <w:p w14:paraId="4607692B" w14:textId="77777777" w:rsidR="00FD65DA" w:rsidRDefault="0015459C" w:rsidP="0015459C">
      <w:pPr>
        <w:spacing w:line="480" w:lineRule="auto"/>
        <w:jc w:val="both"/>
        <w:rPr>
          <w:rFonts w:ascii="Arial" w:hAnsi="Arial" w:cs="Helvetica"/>
          <w:color w:val="141413"/>
          <w:szCs w:val="12"/>
        </w:rPr>
      </w:pPr>
      <w:r>
        <w:rPr>
          <w:rFonts w:ascii="Arial" w:hAnsi="Arial" w:cs="Arial"/>
          <w:bCs/>
          <w:lang w:val="en-US"/>
        </w:rPr>
        <w:t xml:space="preserve">As discussed previously, several studies showed </w:t>
      </w:r>
      <w:r w:rsidRPr="00421A0F">
        <w:rPr>
          <w:rFonts w:ascii="Arial" w:eastAsiaTheme="minorEastAsia" w:hAnsi="Arial" w:cs="Arial"/>
          <w:lang w:val="en-US"/>
        </w:rPr>
        <w:t xml:space="preserve">synergistic interactions </w:t>
      </w:r>
      <w:r w:rsidR="00EC1992">
        <w:rPr>
          <w:rFonts w:ascii="Arial" w:hAnsi="Arial" w:cs="Arial"/>
          <w:bCs/>
          <w:lang w:val="en-US"/>
        </w:rPr>
        <w:t xml:space="preserve">between </w:t>
      </w:r>
      <w:r>
        <w:rPr>
          <w:rFonts w:ascii="Arial" w:eastAsiaTheme="minorEastAsia" w:hAnsi="Arial" w:cs="Arial"/>
          <w:lang w:val="en-US"/>
        </w:rPr>
        <w:t>h</w:t>
      </w:r>
      <w:r w:rsidRPr="00421A0F">
        <w:rPr>
          <w:rFonts w:ascii="Arial" w:eastAsiaTheme="minorEastAsia" w:hAnsi="Arial" w:cs="Arial"/>
          <w:lang w:val="en-US"/>
        </w:rPr>
        <w:t xml:space="preserve">ormones with anabolic effects on bone </w:t>
      </w:r>
      <w:r>
        <w:rPr>
          <w:rFonts w:ascii="Arial" w:eastAsiaTheme="minorEastAsia" w:hAnsi="Arial" w:cs="Arial"/>
          <w:lang w:val="en-US"/>
        </w:rPr>
        <w:t>and</w:t>
      </w:r>
      <w:r w:rsidRPr="00421A0F">
        <w:rPr>
          <w:rFonts w:ascii="Arial" w:eastAsiaTheme="minorEastAsia" w:hAnsi="Arial" w:cs="Arial"/>
          <w:lang w:val="en-US"/>
        </w:rPr>
        <w:t xml:space="preserve"> effects of exercise, so</w:t>
      </w:r>
      <w:r w:rsidRPr="00421A0F">
        <w:rPr>
          <w:rFonts w:ascii="Arial" w:hAnsi="Arial" w:cs="Arial"/>
          <w:bCs/>
          <w:lang w:val="en-US"/>
        </w:rPr>
        <w:t xml:space="preserve"> </w:t>
      </w:r>
      <w:r w:rsidRPr="00421A0F">
        <w:rPr>
          <w:rFonts w:ascii="Arial" w:eastAsiaTheme="minorEastAsia" w:hAnsi="Arial" w:cs="Arial"/>
          <w:lang w:val="en-US"/>
        </w:rPr>
        <w:t>that levels of exercise or hormones</w:t>
      </w:r>
      <w:r>
        <w:rPr>
          <w:rFonts w:ascii="Arial" w:eastAsiaTheme="minorEastAsia" w:hAnsi="Arial" w:cs="Arial"/>
          <w:lang w:val="en-US"/>
        </w:rPr>
        <w:t>,</w:t>
      </w:r>
      <w:r w:rsidRPr="00421A0F">
        <w:rPr>
          <w:rFonts w:ascii="Arial" w:eastAsiaTheme="minorEastAsia" w:hAnsi="Arial" w:cs="Arial"/>
          <w:lang w:val="en-US"/>
        </w:rPr>
        <w:t xml:space="preserve"> that alone do not stimulate </w:t>
      </w:r>
      <w:r>
        <w:rPr>
          <w:rFonts w:ascii="Arial" w:eastAsiaTheme="minorEastAsia" w:hAnsi="Arial" w:cs="Arial"/>
          <w:lang w:val="en-US"/>
        </w:rPr>
        <w:t xml:space="preserve">bone </w:t>
      </w:r>
      <w:r w:rsidRPr="00421A0F">
        <w:rPr>
          <w:rFonts w:ascii="Arial" w:eastAsiaTheme="minorEastAsia" w:hAnsi="Arial" w:cs="Arial"/>
          <w:lang w:val="en-US"/>
        </w:rPr>
        <w:t>formation</w:t>
      </w:r>
      <w:r>
        <w:rPr>
          <w:rFonts w:ascii="Arial" w:eastAsiaTheme="minorEastAsia" w:hAnsi="Arial" w:cs="Arial"/>
          <w:lang w:val="en-US"/>
        </w:rPr>
        <w:t>,</w:t>
      </w:r>
      <w:r w:rsidRPr="00421A0F">
        <w:rPr>
          <w:rFonts w:ascii="Arial" w:eastAsiaTheme="minorEastAsia" w:hAnsi="Arial" w:cs="Arial"/>
          <w:lang w:val="en-US"/>
        </w:rPr>
        <w:t xml:space="preserve"> do so </w:t>
      </w:r>
      <w:r w:rsidR="009B0884">
        <w:rPr>
          <w:rFonts w:ascii="Arial" w:eastAsiaTheme="minorEastAsia" w:hAnsi="Arial" w:cs="Arial"/>
          <w:lang w:val="en-US"/>
        </w:rPr>
        <w:t xml:space="preserve">when applied </w:t>
      </w:r>
      <w:r w:rsidRPr="00421A0F">
        <w:rPr>
          <w:rFonts w:ascii="Arial" w:eastAsiaTheme="minorEastAsia" w:hAnsi="Arial" w:cs="Arial"/>
          <w:lang w:val="en-US"/>
        </w:rPr>
        <w:t>together</w:t>
      </w:r>
      <w:r>
        <w:rPr>
          <w:rFonts w:ascii="Arial" w:eastAsiaTheme="minorEastAsia" w:hAnsi="Arial" w:cs="Arial"/>
          <w:lang w:val="en-US"/>
        </w:rPr>
        <w:t xml:space="preserve"> </w:t>
      </w:r>
      <w:r w:rsidR="00EC1992">
        <w:rPr>
          <w:rFonts w:ascii="Arial" w:eastAsiaTheme="minorEastAsia" w:hAnsi="Arial" w:cs="Arial"/>
          <w:lang w:val="en-US"/>
        </w:rPr>
        <w:fldChar w:fldCharType="begin">
          <w:fldData xml:space="preserve">PEVuZE5vdGU+PENpdGU+PEF1dGhvcj5KYWNvYnM8L0F1dGhvcj48WWVhcj4yMDAwPC9ZZWFyPjxS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</w:fldData>
        </w:fldChar>
      </w:r>
      <w:r w:rsidR="0000415D">
        <w:rPr>
          <w:rFonts w:ascii="Arial" w:eastAsiaTheme="minorEastAsia" w:hAnsi="Arial" w:cs="Arial"/>
          <w:lang w:val="en-US"/>
        </w:rPr>
        <w:instrText xml:space="preserve"> ADDIN EN.CITE </w:instrText>
      </w:r>
      <w:r w:rsidR="0000415D">
        <w:rPr>
          <w:rFonts w:ascii="Arial" w:eastAsiaTheme="minorEastAsia" w:hAnsi="Arial" w:cs="Arial"/>
          <w:lang w:val="en-US"/>
        </w:rPr>
        <w:fldChar w:fldCharType="begin">
          <w:fldData xml:space="preserve">PEVuZE5vdGU+PENpdGU+PEF1dGhvcj5KYWNvYnM8L0F1dGhvcj48WWVhcj4yMDAwPC9ZZWFyPjxS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</w:fldData>
        </w:fldChar>
      </w:r>
      <w:r w:rsidR="0000415D">
        <w:rPr>
          <w:rFonts w:ascii="Arial" w:eastAsiaTheme="minorEastAsia" w:hAnsi="Arial" w:cs="Arial"/>
          <w:lang w:val="en-US"/>
        </w:rPr>
        <w:instrText xml:space="preserve"> ADDIN EN.CITE.DATA </w:instrText>
      </w:r>
      <w:r w:rsidR="0000415D">
        <w:rPr>
          <w:rFonts w:ascii="Arial" w:eastAsiaTheme="minorEastAsia" w:hAnsi="Arial" w:cs="Arial"/>
          <w:lang w:val="en-US"/>
        </w:rPr>
      </w:r>
      <w:r w:rsidR="0000415D">
        <w:rPr>
          <w:rFonts w:ascii="Arial" w:eastAsiaTheme="minorEastAsia" w:hAnsi="Arial" w:cs="Arial"/>
          <w:lang w:val="en-US"/>
        </w:rPr>
        <w:fldChar w:fldCharType="end"/>
      </w:r>
      <w:r w:rsidR="00EC1992">
        <w:rPr>
          <w:rFonts w:ascii="Arial" w:eastAsiaTheme="minorEastAsia" w:hAnsi="Arial" w:cs="Arial"/>
          <w:lang w:val="en-US"/>
        </w:rPr>
      </w:r>
      <w:r w:rsidR="00EC1992">
        <w:rPr>
          <w:rFonts w:ascii="Arial" w:eastAsiaTheme="minorEastAsia" w:hAnsi="Arial" w:cs="Arial"/>
          <w:lang w:val="en-US"/>
        </w:rPr>
        <w:fldChar w:fldCharType="separate"/>
      </w:r>
      <w:r w:rsidR="0000415D">
        <w:rPr>
          <w:rFonts w:ascii="Arial" w:eastAsiaTheme="minorEastAsia" w:hAnsi="Arial" w:cs="Arial"/>
          <w:noProof/>
          <w:lang w:val="en-US"/>
        </w:rPr>
        <w:t>(Jacobs, 2000, Samuels et al., 2000, Li et al., 2003, Kim et al., 2003, Sugiyama et al., 2008)</w:t>
      </w:r>
      <w:r w:rsidR="00EC1992">
        <w:rPr>
          <w:rFonts w:ascii="Arial" w:eastAsiaTheme="minorEastAsia" w:hAnsi="Arial" w:cs="Arial"/>
          <w:lang w:val="en-US"/>
        </w:rPr>
        <w:fldChar w:fldCharType="end"/>
      </w:r>
      <w:r w:rsidR="0009051B">
        <w:rPr>
          <w:rFonts w:ascii="Arial" w:eastAsiaTheme="minorEastAsia" w:hAnsi="Arial" w:cs="Arial"/>
          <w:lang w:val="en-US"/>
        </w:rPr>
        <w:t xml:space="preserve">. </w:t>
      </w:r>
      <w:r>
        <w:rPr>
          <w:rFonts w:ascii="Arial" w:hAnsi="Arial" w:cs="Arial"/>
        </w:rPr>
        <w:t xml:space="preserve">Understanding synergies between </w:t>
      </w:r>
      <w:r w:rsidR="00716176">
        <w:rPr>
          <w:rFonts w:ascii="Arial" w:hAnsi="Arial" w:cs="Arial"/>
        </w:rPr>
        <w:t xml:space="preserve">the </w:t>
      </w:r>
      <w:r>
        <w:rPr>
          <w:rFonts w:ascii="Arial" w:hAnsi="Arial" w:cs="Arial"/>
        </w:rPr>
        <w:t xml:space="preserve">endocrine system and exercise could provide long-term health benefits for people to build and maintain </w:t>
      </w:r>
      <w:r w:rsidR="00716176">
        <w:rPr>
          <w:rFonts w:ascii="Arial" w:hAnsi="Arial" w:cs="Arial"/>
        </w:rPr>
        <w:t xml:space="preserve">a </w:t>
      </w:r>
      <w:r>
        <w:rPr>
          <w:rFonts w:ascii="Arial" w:hAnsi="Arial" w:cs="Arial"/>
        </w:rPr>
        <w:t>healt</w:t>
      </w:r>
      <w:r w:rsidR="001F3965">
        <w:rPr>
          <w:rFonts w:ascii="Arial" w:hAnsi="Arial" w:cs="Arial"/>
        </w:rPr>
        <w:t>hy skeleton throughout the life-</w:t>
      </w:r>
      <w:r>
        <w:rPr>
          <w:rFonts w:ascii="Arial" w:hAnsi="Arial" w:cs="Arial"/>
        </w:rPr>
        <w:t xml:space="preserve">course. </w:t>
      </w:r>
      <w:r w:rsidR="00716176">
        <w:rPr>
          <w:rFonts w:ascii="Arial" w:hAnsi="Arial" w:cs="Helvetica"/>
          <w:color w:val="141413"/>
          <w:szCs w:val="12"/>
          <w:lang w:val="en-US"/>
        </w:rPr>
        <w:t xml:space="preserve">Ingestion of </w:t>
      </w:r>
      <w:r>
        <w:rPr>
          <w:rFonts w:ascii="Arial" w:hAnsi="Arial" w:cs="Helvetica"/>
          <w:color w:val="141413"/>
          <w:szCs w:val="12"/>
          <w:lang w:val="en-US"/>
        </w:rPr>
        <w:t>m</w:t>
      </w:r>
      <w:r w:rsidRPr="00BC2A24">
        <w:rPr>
          <w:rFonts w:ascii="Arial" w:hAnsi="Arial" w:cs="Helvetica"/>
          <w:color w:val="141413"/>
          <w:szCs w:val="12"/>
        </w:rPr>
        <w:t>acronutrients</w:t>
      </w:r>
      <w:r w:rsidR="00716176">
        <w:rPr>
          <w:rFonts w:ascii="Arial" w:hAnsi="Arial" w:cs="Helvetica"/>
          <w:color w:val="141413"/>
          <w:szCs w:val="12"/>
        </w:rPr>
        <w:t>,</w:t>
      </w:r>
      <w:r w:rsidRPr="00BC2A24">
        <w:rPr>
          <w:rFonts w:ascii="Arial" w:hAnsi="Arial" w:cs="Helvetica"/>
          <w:color w:val="141413"/>
          <w:szCs w:val="12"/>
        </w:rPr>
        <w:t xml:space="preserve"> including dietary protein, car</w:t>
      </w:r>
      <w:r>
        <w:rPr>
          <w:rFonts w:ascii="Arial" w:hAnsi="Arial" w:cs="Helvetica"/>
          <w:color w:val="141413"/>
          <w:szCs w:val="12"/>
        </w:rPr>
        <w:t>bohydrates, fat and fibre</w:t>
      </w:r>
      <w:r w:rsidR="00716176">
        <w:rPr>
          <w:rFonts w:ascii="Arial" w:hAnsi="Arial" w:cs="Helvetica"/>
          <w:color w:val="141413"/>
          <w:szCs w:val="12"/>
        </w:rPr>
        <w:t>,</w:t>
      </w:r>
      <w:r>
        <w:rPr>
          <w:rFonts w:ascii="Arial" w:hAnsi="Arial" w:cs="Helvetica"/>
          <w:color w:val="141413"/>
          <w:szCs w:val="12"/>
        </w:rPr>
        <w:t xml:space="preserve"> </w:t>
      </w:r>
      <w:r w:rsidR="00716176">
        <w:rPr>
          <w:rFonts w:ascii="Arial" w:hAnsi="Arial" w:cs="Helvetica"/>
          <w:color w:val="141413"/>
          <w:szCs w:val="12"/>
        </w:rPr>
        <w:t xml:space="preserve">provokes a wide range metabolic responses in multiple tissues and </w:t>
      </w:r>
      <w:r>
        <w:rPr>
          <w:rFonts w:ascii="Arial" w:hAnsi="Arial" w:cs="Helvetica"/>
          <w:color w:val="141413"/>
          <w:szCs w:val="12"/>
        </w:rPr>
        <w:t xml:space="preserve">causes </w:t>
      </w:r>
      <w:r w:rsidRPr="00BC2A24">
        <w:rPr>
          <w:rFonts w:ascii="Arial" w:hAnsi="Arial" w:cs="Helvetica"/>
          <w:color w:val="141413"/>
          <w:szCs w:val="12"/>
        </w:rPr>
        <w:t>release of gastro-entero-pancreatic hormones in hu</w:t>
      </w:r>
      <w:r>
        <w:rPr>
          <w:rFonts w:ascii="Arial" w:hAnsi="Arial" w:cs="Helvetica"/>
          <w:color w:val="141413"/>
          <w:szCs w:val="12"/>
        </w:rPr>
        <w:t xml:space="preserve">mans </w:t>
      </w:r>
      <w:r w:rsidR="00EC1992">
        <w:rPr>
          <w:rFonts w:ascii="Arial" w:hAnsi="Arial" w:cs="Helvetica"/>
          <w:color w:val="141413"/>
          <w:szCs w:val="12"/>
        </w:rPr>
        <w:fldChar w:fldCharType="begin">
          <w:fldData xml:space="preserve">PEVuZE5vdGU+PENpdGU+PEF1dGhvcj5OaWNob2xsPC9BdXRob3I+PFllYXI+MTk4NTwvWWVhcj48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=
</w:fldData>
        </w:fldChar>
      </w:r>
      <w:r w:rsidR="0000415D">
        <w:rPr>
          <w:rFonts w:ascii="Arial" w:hAnsi="Arial" w:cs="Helvetica"/>
          <w:color w:val="141413"/>
          <w:szCs w:val="12"/>
        </w:rPr>
        <w:instrText xml:space="preserve"> ADDIN EN.CITE </w:instrText>
      </w:r>
      <w:r w:rsidR="0000415D">
        <w:rPr>
          <w:rFonts w:ascii="Arial" w:hAnsi="Arial" w:cs="Helvetica"/>
          <w:color w:val="141413"/>
          <w:szCs w:val="12"/>
        </w:rPr>
        <w:fldChar w:fldCharType="begin">
          <w:fldData xml:space="preserve">PEVuZE5vdGU+PENpdGU+PEF1dGhvcj5OaWNob2xsPC9BdXRob3I+PFllYXI+MTk4NTwvWWVhcj48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=
</w:fldData>
        </w:fldChar>
      </w:r>
      <w:r w:rsidR="0000415D">
        <w:rPr>
          <w:rFonts w:ascii="Arial" w:hAnsi="Arial" w:cs="Helvetica"/>
          <w:color w:val="141413"/>
          <w:szCs w:val="12"/>
        </w:rPr>
        <w:instrText xml:space="preserve"> ADDIN EN.CITE.DATA </w:instrText>
      </w:r>
      <w:r w:rsidR="0000415D">
        <w:rPr>
          <w:rFonts w:ascii="Arial" w:hAnsi="Arial" w:cs="Helvetica"/>
          <w:color w:val="141413"/>
          <w:szCs w:val="12"/>
        </w:rPr>
      </w:r>
      <w:r w:rsidR="0000415D">
        <w:rPr>
          <w:rFonts w:ascii="Arial" w:hAnsi="Arial" w:cs="Helvetica"/>
          <w:color w:val="141413"/>
          <w:szCs w:val="12"/>
        </w:rPr>
        <w:fldChar w:fldCharType="end"/>
      </w:r>
      <w:r w:rsidR="00EC1992">
        <w:rPr>
          <w:rFonts w:ascii="Arial" w:hAnsi="Arial" w:cs="Helvetica"/>
          <w:color w:val="141413"/>
          <w:szCs w:val="12"/>
        </w:rPr>
      </w:r>
      <w:r w:rsidR="00EC1992">
        <w:rPr>
          <w:rFonts w:ascii="Arial" w:hAnsi="Arial" w:cs="Helvetica"/>
          <w:color w:val="141413"/>
          <w:szCs w:val="12"/>
        </w:rPr>
        <w:fldChar w:fldCharType="separate"/>
      </w:r>
      <w:r w:rsidR="00EC1992">
        <w:rPr>
          <w:rFonts w:ascii="Arial" w:hAnsi="Arial" w:cs="Helvetica"/>
          <w:noProof/>
          <w:color w:val="141413"/>
          <w:szCs w:val="12"/>
        </w:rPr>
        <w:t>(Nicholl et al., 1985, Karhunen et al., 2008, Teff, 2011, Begg and Woods, 2013)</w:t>
      </w:r>
      <w:r w:rsidR="00EC1992">
        <w:rPr>
          <w:rFonts w:ascii="Arial" w:hAnsi="Arial" w:cs="Helvetica"/>
          <w:color w:val="141413"/>
          <w:szCs w:val="12"/>
        </w:rPr>
        <w:fldChar w:fldCharType="end"/>
      </w:r>
      <w:r w:rsidR="00FF205A">
        <w:rPr>
          <w:rFonts w:ascii="Arial" w:hAnsi="Arial" w:cs="Helvetica"/>
          <w:color w:val="141413"/>
          <w:szCs w:val="12"/>
        </w:rPr>
        <w:t xml:space="preserve">. </w:t>
      </w:r>
      <w:r>
        <w:rPr>
          <w:rFonts w:ascii="Arial" w:hAnsi="Arial"/>
          <w:bCs/>
        </w:rPr>
        <w:t>The concentrations</w:t>
      </w:r>
      <w:r w:rsidRPr="00BC2A24">
        <w:rPr>
          <w:rFonts w:ascii="Arial" w:hAnsi="Arial"/>
          <w:bCs/>
        </w:rPr>
        <w:t xml:space="preserve"> of </w:t>
      </w:r>
      <w:r>
        <w:rPr>
          <w:rFonts w:ascii="Arial" w:hAnsi="Arial"/>
          <w:bCs/>
        </w:rPr>
        <w:t xml:space="preserve">such </w:t>
      </w:r>
      <w:r w:rsidRPr="00BC2A24">
        <w:rPr>
          <w:rFonts w:ascii="Arial" w:hAnsi="Arial"/>
          <w:bCs/>
        </w:rPr>
        <w:t xml:space="preserve">hormones </w:t>
      </w:r>
      <w:r>
        <w:rPr>
          <w:rFonts w:ascii="Arial" w:hAnsi="Arial"/>
          <w:bCs/>
        </w:rPr>
        <w:t>differ</w:t>
      </w:r>
      <w:r w:rsidRPr="00BC2A24">
        <w:rPr>
          <w:rFonts w:ascii="Arial" w:hAnsi="Arial"/>
          <w:bCs/>
        </w:rPr>
        <w:t xml:space="preserve"> during fasting and fed state</w:t>
      </w:r>
      <w:r>
        <w:rPr>
          <w:rFonts w:ascii="Arial" w:hAnsi="Arial"/>
          <w:bCs/>
        </w:rPr>
        <w:t xml:space="preserve">s, and many have potent regulatory effects on bone formation </w:t>
      </w:r>
      <w:r w:rsidR="00EC1992">
        <w:rPr>
          <w:rFonts w:ascii="Arial" w:hAnsi="Arial"/>
          <w:bCs/>
        </w:rPr>
        <w:fldChar w:fldCharType="begin">
          <w:fldData xml:space="preserve">PEVuZE5vdGU+PENpdGU+PEF1dGhvcj5UYWxib3R0PC9BdXRob3I+PFllYXI+MTk5ODwvWWVhcj48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</w:fldData>
        </w:fldChar>
      </w:r>
      <w:r w:rsidR="0000415D">
        <w:rPr>
          <w:rFonts w:ascii="Arial" w:hAnsi="Arial"/>
          <w:bCs/>
        </w:rPr>
        <w:instrText xml:space="preserve"> ADDIN EN.CITE </w:instrText>
      </w:r>
      <w:r w:rsidR="0000415D">
        <w:rPr>
          <w:rFonts w:ascii="Arial" w:hAnsi="Arial"/>
          <w:bCs/>
        </w:rPr>
        <w:fldChar w:fldCharType="begin">
          <w:fldData xml:space="preserve">PEVuZE5vdGU+PENpdGU+PEF1dGhvcj5UYWxib3R0PC9BdXRob3I+PFllYXI+MTk5ODwvWWVhcj48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</w:fldData>
        </w:fldChar>
      </w:r>
      <w:r w:rsidR="0000415D">
        <w:rPr>
          <w:rFonts w:ascii="Arial" w:hAnsi="Arial"/>
          <w:bCs/>
        </w:rPr>
        <w:instrText xml:space="preserve"> ADDIN EN.CITE.DATA </w:instrText>
      </w:r>
      <w:r w:rsidR="0000415D">
        <w:rPr>
          <w:rFonts w:ascii="Arial" w:hAnsi="Arial"/>
          <w:bCs/>
        </w:rPr>
      </w:r>
      <w:r w:rsidR="0000415D">
        <w:rPr>
          <w:rFonts w:ascii="Arial" w:hAnsi="Arial"/>
          <w:bCs/>
        </w:rPr>
        <w:fldChar w:fldCharType="end"/>
      </w:r>
      <w:r w:rsidR="00EC1992">
        <w:rPr>
          <w:rFonts w:ascii="Arial" w:hAnsi="Arial"/>
          <w:bCs/>
        </w:rPr>
      </w:r>
      <w:r w:rsidR="00EC1992">
        <w:rPr>
          <w:rFonts w:ascii="Arial" w:hAnsi="Arial"/>
          <w:bCs/>
        </w:rPr>
        <w:fldChar w:fldCharType="separate"/>
      </w:r>
      <w:r w:rsidR="00EC1992">
        <w:rPr>
          <w:rFonts w:ascii="Arial" w:hAnsi="Arial"/>
          <w:bCs/>
          <w:noProof/>
        </w:rPr>
        <w:t>(Talbott et al., 1998, Naot and Cornish, 2008, Shi et al., 2008)</w:t>
      </w:r>
      <w:r w:rsidR="00EC1992">
        <w:rPr>
          <w:rFonts w:ascii="Arial" w:hAnsi="Arial"/>
          <w:bCs/>
        </w:rPr>
        <w:fldChar w:fldCharType="end"/>
      </w:r>
      <w:r w:rsidR="00546476">
        <w:rPr>
          <w:rFonts w:ascii="Arial" w:hAnsi="Arial"/>
          <w:bCs/>
        </w:rPr>
        <w:t xml:space="preserve">. </w:t>
      </w:r>
      <w:r>
        <w:rPr>
          <w:rFonts w:ascii="Arial" w:hAnsi="Arial" w:cs="Arial"/>
        </w:rPr>
        <w:t>The role</w:t>
      </w:r>
      <w:r w:rsidR="003A0A7B">
        <w:rPr>
          <w:rFonts w:ascii="Arial" w:hAnsi="Arial" w:cs="Arial"/>
        </w:rPr>
        <w:t>s</w:t>
      </w:r>
      <w:r>
        <w:rPr>
          <w:rFonts w:ascii="Arial" w:hAnsi="Arial" w:cs="Arial"/>
        </w:rPr>
        <w:t xml:space="preserve"> of the gastrointestinal and pancreatic hormones on bone homeo</w:t>
      </w:r>
      <w:r w:rsidR="003A0A7B">
        <w:rPr>
          <w:rFonts w:ascii="Arial" w:hAnsi="Arial" w:cs="Arial"/>
        </w:rPr>
        <w:t>stasis were considered in detail</w:t>
      </w:r>
      <w:r>
        <w:rPr>
          <w:rFonts w:ascii="Arial" w:hAnsi="Arial" w:cs="Arial"/>
        </w:rPr>
        <w:t xml:space="preserve"> with</w:t>
      </w:r>
      <w:r w:rsidRPr="00041306">
        <w:rPr>
          <w:rFonts w:ascii="Arial" w:hAnsi="Arial" w:cs="Arial"/>
        </w:rPr>
        <w:t xml:space="preserve">in </w:t>
      </w:r>
      <w:r>
        <w:rPr>
          <w:rFonts w:ascii="Arial" w:hAnsi="Arial" w:cs="Arial"/>
        </w:rPr>
        <w:t xml:space="preserve">the </w:t>
      </w:r>
      <w:r w:rsidRPr="00041306">
        <w:rPr>
          <w:rFonts w:ascii="Arial" w:hAnsi="Arial" w:cs="Arial"/>
        </w:rPr>
        <w:t xml:space="preserve">general introduction </w:t>
      </w:r>
      <w:r w:rsidR="003A0A7B">
        <w:rPr>
          <w:rFonts w:ascii="Arial" w:hAnsi="Arial" w:cs="Arial"/>
        </w:rPr>
        <w:t xml:space="preserve">(Chapter 1) </w:t>
      </w:r>
      <w:r>
        <w:rPr>
          <w:rFonts w:ascii="Arial" w:hAnsi="Arial" w:cs="Arial"/>
        </w:rPr>
        <w:t xml:space="preserve">of this thesis. </w:t>
      </w:r>
    </w:p>
    <w:p w14:paraId="255A79D4" w14:textId="77777777" w:rsidR="00FD65DA" w:rsidRDefault="00FD65DA" w:rsidP="0015459C">
      <w:pPr>
        <w:spacing w:line="480" w:lineRule="auto"/>
        <w:jc w:val="both"/>
        <w:rPr>
          <w:rFonts w:ascii="Arial" w:hAnsi="Arial"/>
          <w:bCs/>
        </w:rPr>
      </w:pPr>
    </w:p>
    <w:p w14:paraId="1B008060" w14:textId="77777777" w:rsidR="00E046C1" w:rsidRPr="00FD65DA" w:rsidRDefault="00E046C1" w:rsidP="0015459C">
      <w:pPr>
        <w:spacing w:line="480" w:lineRule="auto"/>
        <w:jc w:val="both"/>
        <w:rPr>
          <w:rFonts w:ascii="Arial" w:hAnsi="Arial"/>
          <w:bCs/>
        </w:rPr>
      </w:pPr>
      <w:r>
        <w:rPr>
          <w:rFonts w:ascii="Arial" w:hAnsi="Arial"/>
          <w:bCs/>
        </w:rPr>
        <w:lastRenderedPageBreak/>
        <w:t xml:space="preserve">We have previously assessed the expression at the mRNA level of GI hormone receptors including insulin, amylin, GIP, GLP1 and GLP2 in two osteoblastic cell lines </w:t>
      </w:r>
      <w:r>
        <w:rPr>
          <w:rFonts w:ascii="Arial" w:hAnsi="Arial" w:cs="Calibri"/>
          <w:bCs/>
          <w:color w:val="000000"/>
        </w:rPr>
        <w:t xml:space="preserve">SaOS-2 and Te85 </w:t>
      </w:r>
      <w:r w:rsidRPr="00B90392">
        <w:rPr>
          <w:rFonts w:ascii="Arial" w:hAnsi="Arial" w:cs="Calibri"/>
          <w:bCs/>
          <w:i/>
          <w:color w:val="000000"/>
        </w:rPr>
        <w:t>in vitro</w:t>
      </w:r>
      <w:r>
        <w:rPr>
          <w:rFonts w:ascii="Arial" w:hAnsi="Arial" w:cs="Calibri"/>
          <w:bCs/>
          <w:color w:val="000000"/>
        </w:rPr>
        <w:t xml:space="preserve"> </w:t>
      </w:r>
      <w:r w:rsidR="00EC1992">
        <w:rPr>
          <w:rFonts w:ascii="Arial" w:hAnsi="Arial" w:cs="Calibri"/>
          <w:bCs/>
          <w:color w:val="000000"/>
        </w:rPr>
        <w:fldChar w:fldCharType="begin"/>
      </w:r>
      <w:r w:rsidR="00EC1992">
        <w:rPr>
          <w:rFonts w:ascii="Arial" w:hAnsi="Arial" w:cs="Calibri"/>
          <w:bCs/>
          <w:color w:val="000000"/>
        </w:rPr>
        <w:instrText xml:space="preserve"> ADDIN EN.CITE &lt;EndNote&gt;&lt;Cite&gt;&lt;Author&gt;Samvelyan&lt;/Author&gt;&lt;Year&gt;2014&lt;/Year&gt;&lt;RecNum&gt;552&lt;/RecNum&gt;&lt;DisplayText&gt;(Samvelyan et al., 2014)&lt;/DisplayText&gt;&lt;record&gt;&lt;rec-number&gt;552&lt;/rec-number&gt;&lt;foreign-keys&gt;&lt;key app="EN" db-id="ae9rewfrpdttrheppfxxv0p4950wpd25r09x" timestamp="1520986100"&gt;552&lt;/key&gt;&lt;/foreign-keys&gt;&lt;ref-type name="Thesis"&gt;32&lt;/ref-type&gt;&lt;contributors&gt;&lt;authors&gt;&lt;author&gt;Samvelyan, H. J.,&lt;/author&gt;&lt;author&gt;Mathers, J. C.,&lt;/author&gt;&lt;author&gt;Skerry, T. M.&lt;/author&gt;&lt;/authors&gt;&lt;/contributors&gt;&lt;titles&gt;&lt;title&gt;The role of gastrointestinal hormones and identification of GI hormone receptor expressions in bone cells&lt;/title&gt;&lt;secondary-title&gt;Human Metabolism&lt;/secondary-title&gt;&lt;/titles&gt;&lt;pages&gt;1-45&lt;/pages&gt;&lt;volume&gt;Master of Research&lt;/volume&gt;&lt;dates&gt;&lt;year&gt;2014&lt;/year&gt;&lt;/dates&gt;&lt;pub-location&gt;Sheffield, United Kingdom&lt;/pub-location&gt;&lt;publisher&gt;The University of Sheffield &lt;/publisher&gt;&lt;urls&gt;&lt;/urls&gt;&lt;/record&gt;&lt;/Cite&gt;&lt;/EndNote&gt;</w:instrText>
      </w:r>
      <w:r w:rsidR="00EC1992">
        <w:rPr>
          <w:rFonts w:ascii="Arial" w:hAnsi="Arial" w:cs="Calibri"/>
          <w:bCs/>
          <w:color w:val="000000"/>
        </w:rPr>
        <w:fldChar w:fldCharType="separate"/>
      </w:r>
      <w:r w:rsidR="00EC1992">
        <w:rPr>
          <w:rFonts w:ascii="Arial" w:hAnsi="Arial" w:cs="Calibri"/>
          <w:bCs/>
          <w:noProof/>
          <w:color w:val="000000"/>
        </w:rPr>
        <w:t>(Samvelyan et al., 2014)</w:t>
      </w:r>
      <w:r w:rsidR="00EC1992">
        <w:rPr>
          <w:rFonts w:ascii="Arial" w:hAnsi="Arial" w:cs="Calibri"/>
          <w:bCs/>
          <w:color w:val="000000"/>
        </w:rPr>
        <w:fldChar w:fldCharType="end"/>
      </w:r>
      <w:r>
        <w:rPr>
          <w:rFonts w:ascii="Arial" w:hAnsi="Arial" w:cs="Calibri"/>
          <w:bCs/>
          <w:color w:val="000000"/>
        </w:rPr>
        <w:t>. In order to identify possible mechanisms behind the potentiation of mechanical loading by fasting then feeding for 2</w:t>
      </w:r>
      <w:r w:rsidR="007258BD">
        <w:rPr>
          <w:rFonts w:ascii="Arial" w:hAnsi="Arial" w:cs="Calibri"/>
          <w:bCs/>
          <w:color w:val="000000"/>
        </w:rPr>
        <w:t xml:space="preserve"> hours</w:t>
      </w:r>
      <w:r>
        <w:rPr>
          <w:rFonts w:ascii="Arial" w:hAnsi="Arial" w:cs="Calibri"/>
          <w:bCs/>
          <w:color w:val="000000"/>
        </w:rPr>
        <w:t xml:space="preserve">, but neither 1 </w:t>
      </w:r>
      <w:r w:rsidR="007258BD">
        <w:rPr>
          <w:rFonts w:ascii="Arial" w:hAnsi="Arial" w:cs="Calibri"/>
          <w:bCs/>
          <w:color w:val="000000"/>
        </w:rPr>
        <w:t xml:space="preserve">hour </w:t>
      </w:r>
      <w:r>
        <w:rPr>
          <w:rFonts w:ascii="Arial" w:hAnsi="Arial" w:cs="Calibri"/>
          <w:bCs/>
          <w:color w:val="000000"/>
        </w:rPr>
        <w:t xml:space="preserve">nor 3 hours, </w:t>
      </w:r>
      <w:r w:rsidR="007258BD">
        <w:rPr>
          <w:rFonts w:ascii="Arial" w:hAnsi="Arial" w:cs="Calibri"/>
          <w:bCs/>
          <w:color w:val="000000"/>
        </w:rPr>
        <w:t xml:space="preserve">the first </w:t>
      </w:r>
      <w:r w:rsidR="00F01F0C">
        <w:rPr>
          <w:rFonts w:ascii="Arial" w:hAnsi="Arial" w:cs="Calibri"/>
          <w:bCs/>
          <w:color w:val="000000"/>
        </w:rPr>
        <w:t xml:space="preserve">primary </w:t>
      </w:r>
      <w:r w:rsidR="007258BD">
        <w:rPr>
          <w:rFonts w:ascii="Arial" w:hAnsi="Arial" w:cs="Calibri"/>
          <w:bCs/>
          <w:color w:val="000000"/>
        </w:rPr>
        <w:t>aim was to measure</w:t>
      </w:r>
      <w:r>
        <w:rPr>
          <w:rFonts w:ascii="Arial" w:hAnsi="Arial" w:cs="Calibri"/>
          <w:bCs/>
          <w:color w:val="000000"/>
        </w:rPr>
        <w:t xml:space="preserve"> hormones that chan</w:t>
      </w:r>
      <w:r w:rsidR="007258BD">
        <w:rPr>
          <w:rFonts w:ascii="Arial" w:hAnsi="Arial" w:cs="Calibri"/>
          <w:bCs/>
          <w:color w:val="000000"/>
        </w:rPr>
        <w:t>ged during that period of time and may be associated with the potentiation</w:t>
      </w:r>
      <w:r w:rsidR="00F01F0C">
        <w:rPr>
          <w:rFonts w:ascii="Arial" w:hAnsi="Arial" w:cs="Calibri"/>
          <w:bCs/>
          <w:color w:val="000000"/>
        </w:rPr>
        <w:t xml:space="preserve"> of</w:t>
      </w:r>
      <w:r w:rsidR="00754DA5">
        <w:rPr>
          <w:rFonts w:ascii="Arial" w:hAnsi="Arial" w:cs="Calibri"/>
          <w:bCs/>
          <w:color w:val="000000"/>
        </w:rPr>
        <w:t xml:space="preserve"> bone’s response to loading</w:t>
      </w:r>
      <w:r w:rsidR="007258BD">
        <w:rPr>
          <w:rFonts w:ascii="Arial" w:hAnsi="Arial" w:cs="Calibri"/>
          <w:bCs/>
          <w:color w:val="000000"/>
        </w:rPr>
        <w:t xml:space="preserve">.  </w:t>
      </w:r>
    </w:p>
    <w:p w14:paraId="7D49ABDA" w14:textId="77777777" w:rsidR="007258BD" w:rsidRDefault="007258BD" w:rsidP="0015459C">
      <w:pPr>
        <w:spacing w:line="480" w:lineRule="auto"/>
        <w:jc w:val="both"/>
        <w:rPr>
          <w:rFonts w:ascii="Arial" w:hAnsi="Arial" w:cs="Calibri"/>
          <w:bCs/>
          <w:color w:val="000000"/>
        </w:rPr>
      </w:pPr>
    </w:p>
    <w:p w14:paraId="0E52C741" w14:textId="77777777" w:rsidR="0015459C" w:rsidRDefault="007258BD" w:rsidP="0015459C">
      <w:pPr>
        <w:spacing w:line="480" w:lineRule="auto"/>
        <w:jc w:val="both"/>
        <w:rPr>
          <w:rFonts w:ascii="Arial" w:hAnsi="Arial"/>
          <w:bCs/>
        </w:rPr>
      </w:pPr>
      <w:r>
        <w:rPr>
          <w:rFonts w:ascii="Arial" w:hAnsi="Arial"/>
          <w:bCs/>
        </w:rPr>
        <w:t xml:space="preserve">The second aim of the studies included in this chapter was to measure the concentrations of serum cortisol in young and aged male C57BL/6 mice </w:t>
      </w:r>
      <w:r w:rsidR="00754DA5">
        <w:rPr>
          <w:rFonts w:ascii="Arial" w:hAnsi="Arial"/>
          <w:bCs/>
        </w:rPr>
        <w:t xml:space="preserve">to </w:t>
      </w:r>
      <w:r>
        <w:rPr>
          <w:rFonts w:ascii="Arial" w:hAnsi="Arial"/>
          <w:bCs/>
        </w:rPr>
        <w:t xml:space="preserve">determine </w:t>
      </w:r>
      <w:r w:rsidR="00FD65DA">
        <w:rPr>
          <w:rFonts w:ascii="Arial" w:hAnsi="Arial"/>
          <w:bCs/>
        </w:rPr>
        <w:t>the</w:t>
      </w:r>
      <w:r>
        <w:rPr>
          <w:rFonts w:ascii="Arial" w:hAnsi="Arial"/>
          <w:bCs/>
        </w:rPr>
        <w:t xml:space="preserve"> regulation</w:t>
      </w:r>
      <w:r w:rsidR="00754DA5">
        <w:rPr>
          <w:rFonts w:ascii="Arial" w:hAnsi="Arial"/>
          <w:bCs/>
        </w:rPr>
        <w:t xml:space="preserve"> of stress responses in mice,</w:t>
      </w:r>
      <w:r>
        <w:rPr>
          <w:rFonts w:ascii="Arial" w:hAnsi="Arial"/>
          <w:bCs/>
        </w:rPr>
        <w:t xml:space="preserve"> the effect of ageing on cortisol dynamics</w:t>
      </w:r>
      <w:r w:rsidR="00754DA5">
        <w:rPr>
          <w:rFonts w:ascii="Arial" w:hAnsi="Arial"/>
          <w:bCs/>
        </w:rPr>
        <w:t xml:space="preserve"> and importantly, to </w:t>
      </w:r>
      <w:r w:rsidR="00FD65DA">
        <w:rPr>
          <w:rFonts w:ascii="Arial" w:hAnsi="Arial" w:cs="Calibri"/>
          <w:bCs/>
          <w:color w:val="000000"/>
        </w:rPr>
        <w:t>ensure</w:t>
      </w:r>
      <w:r w:rsidR="00754DA5">
        <w:rPr>
          <w:rFonts w:ascii="Arial" w:hAnsi="Arial" w:cs="Calibri"/>
          <w:bCs/>
          <w:color w:val="000000"/>
        </w:rPr>
        <w:t xml:space="preserve"> that blood sampling was not causing stress induced alterations in hormones</w:t>
      </w:r>
      <w:r>
        <w:rPr>
          <w:rFonts w:ascii="Arial" w:hAnsi="Arial"/>
          <w:bCs/>
        </w:rPr>
        <w:t xml:space="preserve">. </w:t>
      </w:r>
      <w:r w:rsidR="00B46A92">
        <w:rPr>
          <w:rFonts w:ascii="Arial" w:hAnsi="Arial"/>
          <w:bCs/>
        </w:rPr>
        <w:t>E</w:t>
      </w:r>
      <w:r w:rsidR="0015459C">
        <w:rPr>
          <w:rFonts w:ascii="Arial" w:hAnsi="Arial"/>
          <w:bCs/>
        </w:rPr>
        <w:t xml:space="preserve">levated </w:t>
      </w:r>
      <w:r w:rsidR="00B46A92">
        <w:rPr>
          <w:rFonts w:ascii="Arial" w:hAnsi="Arial"/>
          <w:bCs/>
        </w:rPr>
        <w:t>endogenous serum glucocorticoid concentrations</w:t>
      </w:r>
      <w:r w:rsidR="0015459C">
        <w:rPr>
          <w:rFonts w:ascii="Arial" w:hAnsi="Arial"/>
          <w:bCs/>
        </w:rPr>
        <w:t xml:space="preserve"> are associated with increased skeletal fragility and reduced bone mass </w:t>
      </w:r>
      <w:r w:rsidR="00EC1992">
        <w:rPr>
          <w:rFonts w:ascii="Arial" w:hAnsi="Arial"/>
          <w:bCs/>
        </w:rPr>
        <w:fldChar w:fldCharType="begin">
          <w:fldData xml:space="preserve">PEVuZE5vdGU+PENpdGU+PEF1dGhvcj5XZWluc3RlaW48L0F1dGhvcj48WWVhcj4yMDEwPC9ZZWFy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==
</w:fldData>
        </w:fldChar>
      </w:r>
      <w:r w:rsidR="00EC1992">
        <w:rPr>
          <w:rFonts w:ascii="Arial" w:hAnsi="Arial"/>
          <w:bCs/>
        </w:rPr>
        <w:instrText xml:space="preserve"> ADDIN EN.CITE </w:instrText>
      </w:r>
      <w:r w:rsidR="00EC1992">
        <w:rPr>
          <w:rFonts w:ascii="Arial" w:hAnsi="Arial"/>
          <w:bCs/>
        </w:rPr>
        <w:fldChar w:fldCharType="begin">
          <w:fldData xml:space="preserve">PEVuZE5vdGU+PENpdGU+PEF1dGhvcj5XZWluc3RlaW48L0F1dGhvcj48WWVhcj4yMDEwPC9ZZWFy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==
</w:fldData>
        </w:fldChar>
      </w:r>
      <w:r w:rsidR="00EC1992">
        <w:rPr>
          <w:rFonts w:ascii="Arial" w:hAnsi="Arial"/>
          <w:bCs/>
        </w:rPr>
        <w:instrText xml:space="preserve"> ADDIN EN.CITE.DATA </w:instrText>
      </w:r>
      <w:r w:rsidR="00EC1992">
        <w:rPr>
          <w:rFonts w:ascii="Arial" w:hAnsi="Arial"/>
          <w:bCs/>
        </w:rPr>
      </w:r>
      <w:r w:rsidR="00EC1992">
        <w:rPr>
          <w:rFonts w:ascii="Arial" w:hAnsi="Arial"/>
          <w:bCs/>
        </w:rPr>
        <w:fldChar w:fldCharType="end"/>
      </w:r>
      <w:r w:rsidR="00EC1992">
        <w:rPr>
          <w:rFonts w:ascii="Arial" w:hAnsi="Arial"/>
          <w:bCs/>
        </w:rPr>
      </w:r>
      <w:r w:rsidR="00EC1992">
        <w:rPr>
          <w:rFonts w:ascii="Arial" w:hAnsi="Arial"/>
          <w:bCs/>
        </w:rPr>
        <w:fldChar w:fldCharType="separate"/>
      </w:r>
      <w:r w:rsidR="00EC1992">
        <w:rPr>
          <w:rFonts w:ascii="Arial" w:hAnsi="Arial"/>
          <w:bCs/>
          <w:noProof/>
        </w:rPr>
        <w:t>(Weinstein et al., 2010, Komori, 2016)</w:t>
      </w:r>
      <w:r w:rsidR="00EC1992">
        <w:rPr>
          <w:rFonts w:ascii="Arial" w:hAnsi="Arial"/>
          <w:bCs/>
        </w:rPr>
        <w:fldChar w:fldCharType="end"/>
      </w:r>
      <w:r w:rsidR="0015459C">
        <w:rPr>
          <w:rFonts w:ascii="Arial" w:hAnsi="Arial"/>
          <w:bCs/>
        </w:rPr>
        <w:t>. Increased glucocorticoids are known to inhibit bone formation</w:t>
      </w:r>
      <w:r w:rsidR="00FD65DA">
        <w:rPr>
          <w:rFonts w:ascii="Arial" w:hAnsi="Arial"/>
          <w:bCs/>
        </w:rPr>
        <w:t xml:space="preserve">; </w:t>
      </w:r>
      <w:r w:rsidR="005B1644">
        <w:rPr>
          <w:rFonts w:ascii="Arial" w:hAnsi="Arial"/>
          <w:bCs/>
        </w:rPr>
        <w:t xml:space="preserve">exogenous treatment with glucocorticoids can </w:t>
      </w:r>
      <w:r w:rsidR="0015459C">
        <w:rPr>
          <w:rFonts w:ascii="Arial" w:hAnsi="Arial"/>
          <w:bCs/>
        </w:rPr>
        <w:t xml:space="preserve">induce osteoporosis in humans (glucocorticoid-induced osteoporosis) </w:t>
      </w:r>
      <w:r w:rsidR="00EC1992">
        <w:rPr>
          <w:rFonts w:ascii="Arial" w:hAnsi="Arial"/>
          <w:bCs/>
        </w:rPr>
        <w:fldChar w:fldCharType="begin">
          <w:fldData xml:space="preserve">PEVuZE5vdGU+PENpdGU+PEF1dGhvcj5DaGF2YXNzaWV1eDwvQXV0aG9yPjxZZWFyPjE5OTM8L1ll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</w:fldData>
        </w:fldChar>
      </w:r>
      <w:r w:rsidR="00B97465">
        <w:rPr>
          <w:rFonts w:ascii="Arial" w:hAnsi="Arial"/>
          <w:bCs/>
        </w:rPr>
        <w:instrText xml:space="preserve"> ADDIN EN.CITE </w:instrText>
      </w:r>
      <w:r w:rsidR="00B97465">
        <w:rPr>
          <w:rFonts w:ascii="Arial" w:hAnsi="Arial"/>
          <w:bCs/>
        </w:rPr>
        <w:fldChar w:fldCharType="begin">
          <w:fldData xml:space="preserve">PEVuZE5vdGU+PENpdGU+PEF1dGhvcj5DaGF2YXNzaWV1eDwvQXV0aG9yPjxZZWFyPjE5OTM8L1ll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</w:fldData>
        </w:fldChar>
      </w:r>
      <w:r w:rsidR="00B97465">
        <w:rPr>
          <w:rFonts w:ascii="Arial" w:hAnsi="Arial"/>
          <w:bCs/>
        </w:rPr>
        <w:instrText xml:space="preserve"> ADDIN EN.CITE.DATA </w:instrText>
      </w:r>
      <w:r w:rsidR="00B97465">
        <w:rPr>
          <w:rFonts w:ascii="Arial" w:hAnsi="Arial"/>
          <w:bCs/>
        </w:rPr>
      </w:r>
      <w:r w:rsidR="00B97465">
        <w:rPr>
          <w:rFonts w:ascii="Arial" w:hAnsi="Arial"/>
          <w:bCs/>
        </w:rPr>
        <w:fldChar w:fldCharType="end"/>
      </w:r>
      <w:r w:rsidR="00EC1992">
        <w:rPr>
          <w:rFonts w:ascii="Arial" w:hAnsi="Arial"/>
          <w:bCs/>
        </w:rPr>
      </w:r>
      <w:r w:rsidR="00EC1992">
        <w:rPr>
          <w:rFonts w:ascii="Arial" w:hAnsi="Arial"/>
          <w:bCs/>
        </w:rPr>
        <w:fldChar w:fldCharType="separate"/>
      </w:r>
      <w:r w:rsidR="00EC1992">
        <w:rPr>
          <w:rFonts w:ascii="Arial" w:hAnsi="Arial"/>
          <w:bCs/>
          <w:noProof/>
        </w:rPr>
        <w:t>(Chavassieux et al., 1993, Compston, 2010, Ding et al., 2010)</w:t>
      </w:r>
      <w:r w:rsidR="00EC1992">
        <w:rPr>
          <w:rFonts w:ascii="Arial" w:hAnsi="Arial"/>
          <w:bCs/>
        </w:rPr>
        <w:fldChar w:fldCharType="end"/>
      </w:r>
      <w:r w:rsidR="0015459C">
        <w:rPr>
          <w:rFonts w:ascii="Arial" w:hAnsi="Arial"/>
          <w:bCs/>
        </w:rPr>
        <w:t xml:space="preserve"> and osteopenia in rodents through direct and indirect actions on bone cells </w:t>
      </w:r>
      <w:r w:rsidR="00EC1992">
        <w:rPr>
          <w:rFonts w:ascii="Arial" w:hAnsi="Arial"/>
          <w:bCs/>
        </w:rPr>
        <w:fldChar w:fldCharType="begin">
          <w:fldData xml:space="preserve">PEVuZE5vdGU+PENpdGU+PEF1dGhvcj5XZWluc3RlaW48L0F1dGhvcj48WWVhcj4yMDAyPC9ZZWFy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</w:fldData>
        </w:fldChar>
      </w:r>
      <w:r w:rsidR="0000415D">
        <w:rPr>
          <w:rFonts w:ascii="Arial" w:hAnsi="Arial"/>
          <w:bCs/>
        </w:rPr>
        <w:instrText xml:space="preserve"> ADDIN EN.CITE </w:instrText>
      </w:r>
      <w:r w:rsidR="0000415D">
        <w:rPr>
          <w:rFonts w:ascii="Arial" w:hAnsi="Arial"/>
          <w:bCs/>
        </w:rPr>
        <w:fldChar w:fldCharType="begin">
          <w:fldData xml:space="preserve">PEVuZE5vdGU+PENpdGU+PEF1dGhvcj5XZWluc3RlaW48L0F1dGhvcj48WWVhcj4yMDAyPC9ZZWFy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</w:fldData>
        </w:fldChar>
      </w:r>
      <w:r w:rsidR="0000415D">
        <w:rPr>
          <w:rFonts w:ascii="Arial" w:hAnsi="Arial"/>
          <w:bCs/>
        </w:rPr>
        <w:instrText xml:space="preserve"> ADDIN EN.CITE.DATA </w:instrText>
      </w:r>
      <w:r w:rsidR="0000415D">
        <w:rPr>
          <w:rFonts w:ascii="Arial" w:hAnsi="Arial"/>
          <w:bCs/>
        </w:rPr>
      </w:r>
      <w:r w:rsidR="0000415D">
        <w:rPr>
          <w:rFonts w:ascii="Arial" w:hAnsi="Arial"/>
          <w:bCs/>
        </w:rPr>
        <w:fldChar w:fldCharType="end"/>
      </w:r>
      <w:r w:rsidR="00EC1992">
        <w:rPr>
          <w:rFonts w:ascii="Arial" w:hAnsi="Arial"/>
          <w:bCs/>
        </w:rPr>
      </w:r>
      <w:r w:rsidR="00EC1992">
        <w:rPr>
          <w:rFonts w:ascii="Arial" w:hAnsi="Arial"/>
          <w:bCs/>
        </w:rPr>
        <w:fldChar w:fldCharType="separate"/>
      </w:r>
      <w:r w:rsidR="00EC1992">
        <w:rPr>
          <w:rFonts w:ascii="Arial" w:hAnsi="Arial"/>
          <w:bCs/>
          <w:noProof/>
        </w:rPr>
        <w:t>(Weinstein et al., 2002, Sobhani et al., 2004, Weinstein et al., 2010)</w:t>
      </w:r>
      <w:r w:rsidR="00EC1992">
        <w:rPr>
          <w:rFonts w:ascii="Arial" w:hAnsi="Arial"/>
          <w:bCs/>
        </w:rPr>
        <w:fldChar w:fldCharType="end"/>
      </w:r>
      <w:r w:rsidR="00FD65DA">
        <w:rPr>
          <w:rFonts w:ascii="Arial" w:hAnsi="Arial"/>
          <w:bCs/>
        </w:rPr>
        <w:t xml:space="preserve">. This has led to the development of the Guidelines from the American College of Rheumatology for the prevention and treatment of glucocorticoid-induced osteoporosis </w:t>
      </w:r>
      <w:r w:rsidR="00EC1992">
        <w:rPr>
          <w:rFonts w:ascii="Arial" w:hAnsi="Arial"/>
          <w:bCs/>
        </w:rPr>
        <w:fldChar w:fldCharType="begin">
          <w:fldData xml:space="preserve">PEVuZE5vdGU+PENpdGU+PEF1dGhvcj5CdWNrbGV5PC9BdXRob3I+PFllYXI+MjAxNzwvWWVhcj48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</w:fldData>
        </w:fldChar>
      </w:r>
      <w:r w:rsidR="00B97465">
        <w:rPr>
          <w:rFonts w:ascii="Arial" w:hAnsi="Arial"/>
          <w:bCs/>
        </w:rPr>
        <w:instrText xml:space="preserve"> ADDIN EN.CITE </w:instrText>
      </w:r>
      <w:r w:rsidR="00B97465">
        <w:rPr>
          <w:rFonts w:ascii="Arial" w:hAnsi="Arial"/>
          <w:bCs/>
        </w:rPr>
        <w:fldChar w:fldCharType="begin">
          <w:fldData xml:space="preserve">PEVuZE5vdGU+PENpdGU+PEF1dGhvcj5CdWNrbGV5PC9BdXRob3I+PFllYXI+MjAxNzwvWWVhcj48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</w:fldData>
        </w:fldChar>
      </w:r>
      <w:r w:rsidR="00B97465">
        <w:rPr>
          <w:rFonts w:ascii="Arial" w:hAnsi="Arial"/>
          <w:bCs/>
        </w:rPr>
        <w:instrText xml:space="preserve"> ADDIN EN.CITE.DATA </w:instrText>
      </w:r>
      <w:r w:rsidR="00B97465">
        <w:rPr>
          <w:rFonts w:ascii="Arial" w:hAnsi="Arial"/>
          <w:bCs/>
        </w:rPr>
      </w:r>
      <w:r w:rsidR="00B97465">
        <w:rPr>
          <w:rFonts w:ascii="Arial" w:hAnsi="Arial"/>
          <w:bCs/>
        </w:rPr>
        <w:fldChar w:fldCharType="end"/>
      </w:r>
      <w:r w:rsidR="00EC1992">
        <w:rPr>
          <w:rFonts w:ascii="Arial" w:hAnsi="Arial"/>
          <w:bCs/>
        </w:rPr>
      </w:r>
      <w:r w:rsidR="00EC1992">
        <w:rPr>
          <w:rFonts w:ascii="Arial" w:hAnsi="Arial"/>
          <w:bCs/>
        </w:rPr>
        <w:fldChar w:fldCharType="separate"/>
      </w:r>
      <w:r w:rsidR="00EC1992">
        <w:rPr>
          <w:rFonts w:ascii="Arial" w:hAnsi="Arial"/>
          <w:bCs/>
          <w:noProof/>
        </w:rPr>
        <w:t>(Buckley et al., 2017)</w:t>
      </w:r>
      <w:r w:rsidR="00EC1992">
        <w:rPr>
          <w:rFonts w:ascii="Arial" w:hAnsi="Arial"/>
          <w:bCs/>
        </w:rPr>
        <w:fldChar w:fldCharType="end"/>
      </w:r>
      <w:r w:rsidR="00FD65DA">
        <w:rPr>
          <w:rFonts w:ascii="Arial" w:hAnsi="Arial"/>
          <w:bCs/>
        </w:rPr>
        <w:t>.</w:t>
      </w:r>
    </w:p>
    <w:p w14:paraId="18B2C23C" w14:textId="77777777" w:rsidR="0015459C" w:rsidRDefault="0015459C" w:rsidP="0015459C">
      <w:pPr>
        <w:spacing w:line="480" w:lineRule="auto"/>
        <w:jc w:val="both"/>
        <w:rPr>
          <w:rFonts w:ascii="Arial" w:hAnsi="Arial"/>
          <w:bCs/>
        </w:rPr>
      </w:pPr>
    </w:p>
    <w:p w14:paraId="1CD2456D" w14:textId="77777777" w:rsidR="00F01F0C" w:rsidRPr="009A4ABE" w:rsidRDefault="0015459C" w:rsidP="00F01F0C">
      <w:pPr>
        <w:spacing w:line="480" w:lineRule="auto"/>
        <w:jc w:val="both"/>
        <w:rPr>
          <w:rFonts w:ascii="Arial" w:eastAsiaTheme="minorHAnsi" w:hAnsi="Arial"/>
          <w:bCs/>
          <w:lang w:val="en-US"/>
        </w:rPr>
      </w:pPr>
      <w:r>
        <w:rPr>
          <w:rFonts w:ascii="Arial" w:hAnsi="Arial"/>
          <w:color w:val="000000"/>
        </w:rPr>
        <w:t>In this chapter we</w:t>
      </w:r>
      <w:r w:rsidRPr="00842660">
        <w:rPr>
          <w:rFonts w:ascii="Arial" w:hAnsi="Arial"/>
          <w:color w:val="000000"/>
        </w:rPr>
        <w:t xml:space="preserve"> present the measurements of </w:t>
      </w:r>
      <w:r w:rsidR="00F01F0C">
        <w:rPr>
          <w:rFonts w:ascii="Arial" w:hAnsi="Arial"/>
          <w:color w:val="000000"/>
        </w:rPr>
        <w:t xml:space="preserve">circulating </w:t>
      </w:r>
      <w:r w:rsidRPr="00842660">
        <w:rPr>
          <w:rFonts w:ascii="Arial" w:hAnsi="Arial"/>
          <w:color w:val="000000"/>
        </w:rPr>
        <w:t xml:space="preserve">concentrations of metabolic hormones </w:t>
      </w:r>
      <w:r>
        <w:rPr>
          <w:rFonts w:ascii="Arial" w:hAnsi="Arial"/>
          <w:color w:val="000000"/>
        </w:rPr>
        <w:t xml:space="preserve">including </w:t>
      </w:r>
      <w:r w:rsidRPr="00842660">
        <w:rPr>
          <w:rFonts w:ascii="Arial" w:hAnsi="Arial"/>
          <w:bCs/>
        </w:rPr>
        <w:t>ghrelin, leptin, insulin</w:t>
      </w:r>
      <w:r>
        <w:rPr>
          <w:rFonts w:ascii="Arial" w:hAnsi="Arial"/>
          <w:bCs/>
        </w:rPr>
        <w:t>, GIP and</w:t>
      </w:r>
      <w:r w:rsidRPr="00842660">
        <w:rPr>
          <w:rFonts w:ascii="Arial" w:hAnsi="Arial"/>
          <w:bCs/>
        </w:rPr>
        <w:t xml:space="preserve"> GLP1 </w:t>
      </w:r>
      <w:r w:rsidRPr="00842660">
        <w:rPr>
          <w:rFonts w:ascii="Arial" w:hAnsi="Arial"/>
          <w:color w:val="000000"/>
        </w:rPr>
        <w:t xml:space="preserve">during fasted </w:t>
      </w:r>
      <w:r>
        <w:rPr>
          <w:rFonts w:ascii="Arial" w:hAnsi="Arial"/>
          <w:color w:val="000000"/>
        </w:rPr>
        <w:t>and fed states</w:t>
      </w:r>
      <w:r w:rsidRPr="00185848">
        <w:rPr>
          <w:rFonts w:ascii="Arial" w:hAnsi="Arial"/>
          <w:color w:val="000000"/>
        </w:rPr>
        <w:t xml:space="preserve"> </w:t>
      </w:r>
      <w:r w:rsidRPr="00543844">
        <w:rPr>
          <w:rFonts w:ascii="Arial" w:hAnsi="Arial"/>
          <w:color w:val="000000"/>
        </w:rPr>
        <w:t xml:space="preserve">in young </w:t>
      </w:r>
      <w:r>
        <w:rPr>
          <w:rFonts w:ascii="Arial" w:hAnsi="Arial"/>
          <w:color w:val="000000"/>
        </w:rPr>
        <w:t xml:space="preserve">adult </w:t>
      </w:r>
      <w:r w:rsidRPr="00543844">
        <w:rPr>
          <w:rFonts w:ascii="Arial" w:hAnsi="Arial"/>
          <w:color w:val="000000"/>
        </w:rPr>
        <w:t xml:space="preserve">and aged </w:t>
      </w:r>
      <w:r>
        <w:rPr>
          <w:rFonts w:ascii="Arial" w:hAnsi="Arial"/>
          <w:szCs w:val="20"/>
        </w:rPr>
        <w:t>male C57BL/6</w:t>
      </w:r>
      <w:r w:rsidRPr="007E397E">
        <w:rPr>
          <w:rFonts w:ascii="Arial" w:hAnsi="Arial"/>
          <w:szCs w:val="20"/>
        </w:rPr>
        <w:t xml:space="preserve"> </w:t>
      </w:r>
      <w:r w:rsidRPr="00543844">
        <w:rPr>
          <w:rFonts w:ascii="Arial" w:hAnsi="Arial"/>
          <w:color w:val="000000"/>
        </w:rPr>
        <w:t xml:space="preserve">mice. </w:t>
      </w:r>
      <w:r>
        <w:rPr>
          <w:rFonts w:ascii="Arial" w:eastAsiaTheme="minorHAnsi" w:hAnsi="Arial"/>
          <w:bCs/>
          <w:lang w:val="en-US"/>
        </w:rPr>
        <w:t>Identification of</w:t>
      </w:r>
      <w:r w:rsidRPr="006A08B5">
        <w:rPr>
          <w:rFonts w:ascii="Arial" w:eastAsiaTheme="minorHAnsi" w:hAnsi="Arial"/>
          <w:bCs/>
          <w:lang w:val="en-US"/>
        </w:rPr>
        <w:t xml:space="preserve"> feeding protocols and the timing of food ingestion that affect the response of bone to load</w:t>
      </w:r>
      <w:r>
        <w:rPr>
          <w:rFonts w:ascii="Arial" w:eastAsiaTheme="minorHAnsi" w:hAnsi="Arial"/>
          <w:bCs/>
          <w:lang w:val="en-US"/>
        </w:rPr>
        <w:t xml:space="preserve"> in a mouse model</w:t>
      </w:r>
      <w:r w:rsidRPr="006A08B5">
        <w:rPr>
          <w:rFonts w:ascii="Arial" w:eastAsiaTheme="minorHAnsi" w:hAnsi="Arial"/>
          <w:bCs/>
          <w:lang w:val="en-US"/>
        </w:rPr>
        <w:t xml:space="preserve">, </w:t>
      </w:r>
      <w:r w:rsidR="00F01F0C">
        <w:rPr>
          <w:rFonts w:ascii="Arial" w:eastAsiaTheme="minorHAnsi" w:hAnsi="Arial"/>
          <w:bCs/>
          <w:lang w:val="en-US"/>
        </w:rPr>
        <w:t>may provide</w:t>
      </w:r>
      <w:r>
        <w:rPr>
          <w:rFonts w:ascii="Arial" w:eastAsiaTheme="minorHAnsi" w:hAnsi="Arial"/>
          <w:bCs/>
          <w:lang w:val="en-US"/>
        </w:rPr>
        <w:t xml:space="preserve"> </w:t>
      </w:r>
      <w:r w:rsidR="00F01F0C">
        <w:rPr>
          <w:rFonts w:ascii="Arial" w:eastAsiaTheme="minorHAnsi" w:hAnsi="Arial"/>
          <w:bCs/>
          <w:lang w:val="en-US"/>
        </w:rPr>
        <w:t xml:space="preserve">evidence for the </w:t>
      </w:r>
      <w:r w:rsidRPr="006A08B5">
        <w:rPr>
          <w:rFonts w:ascii="Arial" w:eastAsiaTheme="minorHAnsi" w:hAnsi="Arial"/>
          <w:bCs/>
          <w:lang w:val="en-US"/>
        </w:rPr>
        <w:t xml:space="preserve">potential </w:t>
      </w:r>
      <w:r w:rsidR="00F01F0C">
        <w:rPr>
          <w:rFonts w:ascii="Arial" w:eastAsiaTheme="minorHAnsi" w:hAnsi="Arial"/>
          <w:bCs/>
          <w:lang w:val="en-US"/>
        </w:rPr>
        <w:t xml:space="preserve">development of advice for people, for example, by </w:t>
      </w:r>
      <w:r w:rsidR="00F01F0C">
        <w:rPr>
          <w:rFonts w:ascii="Arial" w:eastAsiaTheme="minorHAnsi" w:hAnsi="Arial"/>
          <w:bCs/>
          <w:lang w:val="en-US"/>
        </w:rPr>
        <w:lastRenderedPageBreak/>
        <w:t xml:space="preserve">providing information when to exercise </w:t>
      </w:r>
      <w:r w:rsidR="00F01F0C" w:rsidRPr="006A08B5">
        <w:rPr>
          <w:rFonts w:ascii="Arial" w:eastAsiaTheme="minorHAnsi" w:hAnsi="Arial"/>
          <w:bCs/>
          <w:lang w:val="en-US"/>
        </w:rPr>
        <w:t xml:space="preserve">in relation to meals. </w:t>
      </w:r>
      <w:r w:rsidR="009A4ABE">
        <w:rPr>
          <w:rFonts w:ascii="Arial" w:eastAsiaTheme="minorHAnsi" w:hAnsi="Arial"/>
          <w:bCs/>
          <w:lang w:val="en-US"/>
        </w:rPr>
        <w:t>However, translation of evidence from mouse studies to humans would require direct studies on humans since it cannot be assumed that i) any food ingestion: exercise effects observed in mice would occur in humans and ii) the temporal relationships observed in mice would apply in humans. Since many neural circuits and hormonal mediators involved in energy homeostasis including ghrelin and leptin that were ori</w:t>
      </w:r>
      <w:r w:rsidR="007C6FC9">
        <w:rPr>
          <w:rFonts w:ascii="Arial" w:eastAsiaTheme="minorHAnsi" w:hAnsi="Arial"/>
          <w:bCs/>
          <w:lang w:val="en-US"/>
        </w:rPr>
        <w:t>ginally revealed and characteris</w:t>
      </w:r>
      <w:r w:rsidR="009A4ABE">
        <w:rPr>
          <w:rFonts w:ascii="Arial" w:eastAsiaTheme="minorHAnsi" w:hAnsi="Arial"/>
          <w:bCs/>
          <w:lang w:val="en-US"/>
        </w:rPr>
        <w:t xml:space="preserve">ed in mouse models also applied in humans </w:t>
      </w:r>
      <w:r w:rsidR="00EC1992">
        <w:rPr>
          <w:rFonts w:ascii="Arial" w:eastAsiaTheme="minorHAnsi" w:hAnsi="Arial"/>
          <w:bCs/>
          <w:lang w:val="en-US"/>
        </w:rPr>
        <w:fldChar w:fldCharType="begin"/>
      </w:r>
      <w:r w:rsidR="0000415D">
        <w:rPr>
          <w:rFonts w:ascii="Arial" w:eastAsiaTheme="minorHAnsi" w:hAnsi="Arial"/>
          <w:bCs/>
          <w:lang w:val="en-US"/>
        </w:rPr>
        <w:instrText xml:space="preserve"> ADDIN EN.CITE &lt;EndNote&gt;&lt;Cite&gt;&lt;Author&gt;Rahilly&lt;/Author&gt;&lt;Year&gt;2008&lt;/Year&gt;&lt;RecNum&gt;561&lt;/RecNum&gt;&lt;DisplayText&gt;(Rahilly and Farooqi, 2008)&lt;/DisplayText&gt;&lt;record&gt;&lt;rec-number&gt;561&lt;/rec-number&gt;&lt;foreign-keys&gt;&lt;key app="EN" db-id="ae9rewfrpdttrheppfxxv0p4950wpd25r09x" timestamp="1520993990"&gt;561&lt;/key&gt;&lt;/foreign-keys&gt;&lt;ref-type name="Journal Article"&gt;17&lt;/ref-type&gt;&lt;contributors&gt;&lt;authors&gt;&lt;author&gt;Rahilly, Stephen&lt;/author&gt;&lt;author&gt;Farooqi, I. Sadaf&lt;/author&gt;&lt;/authors&gt;&lt;/contributors&gt;&lt;titles&gt;&lt;title&gt;Mutations in ligands and receptors of the leptin–melanocortin pathway that lead to obesity&lt;/title&gt;&lt;secondary-title&gt;Nature Clinical Practice. Endocrinology and Metabolism&lt;/secondary-title&gt;&lt;/titles&gt;&lt;periodical&gt;&lt;full-title&gt;Nature Clinical Practice. Endocrinology and Metabolism&lt;/full-title&gt;&lt;/periodical&gt;&lt;pages&gt;569-577&lt;/pages&gt;&lt;volume&gt;4&lt;/volume&gt;&lt;number&gt;10&lt;/number&gt;&lt;dates&gt;&lt;year&gt;2008&lt;/year&gt;&lt;/dates&gt;&lt;isbn&gt;1745-8366&lt;/isbn&gt;&lt;urls&gt;&lt;/urls&gt;&lt;electronic-resource-num&gt;10.1038/ncpendmet0966&amp;#xD;info:doi/10.1038/ncpendmet0966&lt;/electronic-resource-num&gt;&lt;/record&gt;&lt;/Cite&gt;&lt;/EndNote&gt;</w:instrText>
      </w:r>
      <w:r w:rsidR="00EC1992">
        <w:rPr>
          <w:rFonts w:ascii="Arial" w:eastAsiaTheme="minorHAnsi" w:hAnsi="Arial"/>
          <w:bCs/>
          <w:lang w:val="en-US"/>
        </w:rPr>
        <w:fldChar w:fldCharType="separate"/>
      </w:r>
      <w:r w:rsidR="00EC1992">
        <w:rPr>
          <w:rFonts w:ascii="Arial" w:eastAsiaTheme="minorHAnsi" w:hAnsi="Arial"/>
          <w:bCs/>
          <w:noProof/>
          <w:lang w:val="en-US"/>
        </w:rPr>
        <w:t>(Rahilly and Farooqi, 2008)</w:t>
      </w:r>
      <w:r w:rsidR="00EC1992">
        <w:rPr>
          <w:rFonts w:ascii="Arial" w:eastAsiaTheme="minorHAnsi" w:hAnsi="Arial"/>
          <w:bCs/>
          <w:lang w:val="en-US"/>
        </w:rPr>
        <w:fldChar w:fldCharType="end"/>
      </w:r>
      <w:r w:rsidR="00FD42E4">
        <w:rPr>
          <w:rFonts w:ascii="Arial" w:eastAsiaTheme="minorHAnsi" w:hAnsi="Arial"/>
          <w:bCs/>
          <w:lang w:val="en-US"/>
        </w:rPr>
        <w:t xml:space="preserve">, it is reasonable to hypothesise that similar pathological regulation of bone by energy-related mediators will apply in both species. As a step towards identification of potential strategies for preservation of bone architecture during ageing, this chapter reports on the endocrine mediators of how bone metabolism responds to the timing of food ingestion. </w:t>
      </w:r>
    </w:p>
    <w:p w14:paraId="49BE20F7" w14:textId="77777777" w:rsidR="00F01F0C" w:rsidRDefault="00F01F0C" w:rsidP="0015459C">
      <w:pPr>
        <w:spacing w:line="480" w:lineRule="auto"/>
        <w:jc w:val="both"/>
        <w:rPr>
          <w:rFonts w:ascii="Arial" w:eastAsiaTheme="minorHAnsi" w:hAnsi="Arial"/>
          <w:bCs/>
          <w:lang w:val="en-US"/>
        </w:rPr>
      </w:pPr>
    </w:p>
    <w:p w14:paraId="1E0390AE" w14:textId="77777777" w:rsidR="00F01F0C" w:rsidRDefault="00F01F0C" w:rsidP="00204988">
      <w:pPr>
        <w:pStyle w:val="TOCHeading"/>
      </w:pPr>
    </w:p>
    <w:p w14:paraId="09D21ABD" w14:textId="77777777" w:rsidR="00204988" w:rsidRPr="00204988" w:rsidRDefault="00204988" w:rsidP="00204988"/>
    <w:p w14:paraId="5C5868A0" w14:textId="77777777" w:rsidR="00F01F0C" w:rsidRDefault="00F01F0C" w:rsidP="00204988">
      <w:pPr>
        <w:pStyle w:val="TOCHeading"/>
      </w:pPr>
    </w:p>
    <w:p w14:paraId="46B2A328" w14:textId="77777777" w:rsidR="00E60B8B" w:rsidRDefault="00E60B8B" w:rsidP="00204988">
      <w:pPr>
        <w:pStyle w:val="TOCHeading"/>
      </w:pPr>
    </w:p>
    <w:p w14:paraId="4E2A17FD" w14:textId="77777777" w:rsidR="00E60B8B" w:rsidRDefault="00E60B8B" w:rsidP="00E60B8B"/>
    <w:p w14:paraId="3FE71250" w14:textId="77777777" w:rsidR="00E60B8B" w:rsidRDefault="00E60B8B" w:rsidP="00D40E59">
      <w:pPr>
        <w:pStyle w:val="Heading2"/>
      </w:pPr>
    </w:p>
    <w:p w14:paraId="1EB652E4" w14:textId="77777777" w:rsidR="00E60B8B" w:rsidRDefault="00E60B8B" w:rsidP="00E60B8B"/>
    <w:p w14:paraId="5396C7C6" w14:textId="77777777" w:rsidR="00E60B8B" w:rsidRDefault="00E60B8B" w:rsidP="00E60B8B"/>
    <w:p w14:paraId="5A7AD3B1" w14:textId="77777777" w:rsidR="007C6FC9" w:rsidRDefault="007C6FC9" w:rsidP="00E60B8B"/>
    <w:p w14:paraId="35180232" w14:textId="77777777" w:rsidR="007C6FC9" w:rsidRDefault="007C6FC9" w:rsidP="00E60B8B"/>
    <w:p w14:paraId="75190A48" w14:textId="77777777" w:rsidR="007C6FC9" w:rsidRDefault="007C6FC9" w:rsidP="00E60B8B"/>
    <w:p w14:paraId="5CAC6F5B" w14:textId="77777777" w:rsidR="007C6FC9" w:rsidRDefault="007C6FC9" w:rsidP="00E60B8B"/>
    <w:p w14:paraId="5E38D1FE" w14:textId="77777777" w:rsidR="00E60B8B" w:rsidRDefault="00E60B8B" w:rsidP="00E60B8B"/>
    <w:p w14:paraId="44DCF89B" w14:textId="77777777" w:rsidR="007C6FC9" w:rsidRPr="007C6FC9" w:rsidRDefault="0015459C" w:rsidP="00D40E59">
      <w:pPr>
        <w:pStyle w:val="Heading2"/>
      </w:pPr>
      <w:bookmarkStart w:id="159" w:name="_Toc383723930"/>
      <w:r>
        <w:lastRenderedPageBreak/>
        <w:t>7.2 Results</w:t>
      </w:r>
      <w:bookmarkStart w:id="160" w:name="_Toc383723931"/>
      <w:bookmarkEnd w:id="159"/>
    </w:p>
    <w:p w14:paraId="6C3A2B65" w14:textId="77777777" w:rsidR="0015459C" w:rsidRPr="00266128" w:rsidRDefault="0015459C" w:rsidP="00E60B8B">
      <w:pPr>
        <w:pStyle w:val="Heading3"/>
        <w:spacing w:line="480" w:lineRule="auto"/>
        <w:jc w:val="both"/>
        <w:rPr>
          <w:rFonts w:ascii="Arial" w:hAnsi="Arial"/>
          <w:color w:val="auto"/>
        </w:rPr>
      </w:pPr>
      <w:r w:rsidRPr="00266128">
        <w:rPr>
          <w:rFonts w:ascii="Arial" w:hAnsi="Arial"/>
          <w:color w:val="auto"/>
        </w:rPr>
        <w:t xml:space="preserve">7.2.1 </w:t>
      </w:r>
      <w:r w:rsidR="00D6432C" w:rsidRPr="00266128">
        <w:rPr>
          <w:rFonts w:ascii="Arial" w:hAnsi="Arial"/>
          <w:color w:val="auto"/>
        </w:rPr>
        <w:t>Serum c</w:t>
      </w:r>
      <w:r w:rsidR="00F073F4" w:rsidRPr="00266128">
        <w:rPr>
          <w:rFonts w:ascii="Arial" w:hAnsi="Arial"/>
          <w:color w:val="auto"/>
        </w:rPr>
        <w:t xml:space="preserve">oncentrations </w:t>
      </w:r>
      <w:r w:rsidRPr="00266128">
        <w:rPr>
          <w:rFonts w:ascii="Arial" w:hAnsi="Arial"/>
          <w:color w:val="auto"/>
        </w:rPr>
        <w:t xml:space="preserve">of ghrelin, leptin, insulin, GIP and GLP1 </w:t>
      </w:r>
      <w:r w:rsidR="00D6432C" w:rsidRPr="00266128">
        <w:rPr>
          <w:rFonts w:ascii="Arial" w:hAnsi="Arial"/>
          <w:color w:val="auto"/>
        </w:rPr>
        <w:t>in</w:t>
      </w:r>
      <w:r w:rsidRPr="00266128">
        <w:rPr>
          <w:rFonts w:ascii="Arial" w:hAnsi="Arial"/>
          <w:color w:val="auto"/>
        </w:rPr>
        <w:t xml:space="preserve"> fed or overnight fasted fed </w:t>
      </w:r>
      <w:r w:rsidR="005320CF">
        <w:rPr>
          <w:rFonts w:ascii="Arial" w:hAnsi="Arial"/>
          <w:color w:val="auto"/>
        </w:rPr>
        <w:t xml:space="preserve">young </w:t>
      </w:r>
      <w:r w:rsidRPr="00266128">
        <w:rPr>
          <w:rFonts w:ascii="Arial" w:hAnsi="Arial"/>
          <w:color w:val="auto"/>
        </w:rPr>
        <w:t>17</w:t>
      </w:r>
      <w:r w:rsidR="005320CF">
        <w:rPr>
          <w:rFonts w:ascii="Arial" w:hAnsi="Arial"/>
          <w:color w:val="auto"/>
        </w:rPr>
        <w:t>-week</w:t>
      </w:r>
      <w:r w:rsidRPr="00266128">
        <w:rPr>
          <w:rFonts w:ascii="Arial" w:hAnsi="Arial"/>
          <w:color w:val="auto"/>
        </w:rPr>
        <w:t>-old male mice</w:t>
      </w:r>
      <w:bookmarkEnd w:id="160"/>
      <w:r w:rsidRPr="00266128">
        <w:rPr>
          <w:rFonts w:ascii="Arial" w:hAnsi="Arial"/>
          <w:color w:val="auto"/>
        </w:rPr>
        <w:t xml:space="preserve"> </w:t>
      </w:r>
    </w:p>
    <w:p w14:paraId="0E9FC0C6" w14:textId="77777777" w:rsidR="00FB7BA7" w:rsidRDefault="003F646D" w:rsidP="0015459C">
      <w:pPr>
        <w:widowControl w:val="0"/>
        <w:autoSpaceDE w:val="0"/>
        <w:autoSpaceDN w:val="0"/>
        <w:adjustRightInd w:val="0"/>
        <w:spacing w:line="480" w:lineRule="auto"/>
        <w:jc w:val="both"/>
        <w:rPr>
          <w:rFonts w:ascii="Arial" w:hAnsi="Arial" w:cs="Arial"/>
          <w:bCs/>
          <w:noProof/>
          <w:color w:val="000000" w:themeColor="text1"/>
        </w:rPr>
      </w:pPr>
      <w:r>
        <w:rPr>
          <w:rFonts w:ascii="Arial" w:hAnsi="Arial" w:cs="Arial"/>
          <w:bCs/>
          <w:noProof/>
          <w:color w:val="000000" w:themeColor="text1"/>
        </w:rPr>
        <w:t>We have</w:t>
      </w:r>
      <w:r w:rsidR="00E60B8B">
        <w:rPr>
          <w:rFonts w:ascii="Arial" w:hAnsi="Arial" w:cs="Arial"/>
          <w:bCs/>
          <w:noProof/>
          <w:color w:val="000000" w:themeColor="text1"/>
        </w:rPr>
        <w:t xml:space="preserve"> </w:t>
      </w:r>
      <w:r>
        <w:rPr>
          <w:rFonts w:ascii="Arial" w:hAnsi="Arial" w:cs="Arial"/>
          <w:bCs/>
          <w:noProof/>
          <w:color w:val="000000" w:themeColor="text1"/>
        </w:rPr>
        <w:t>explored</w:t>
      </w:r>
      <w:r w:rsidR="0015459C">
        <w:rPr>
          <w:rFonts w:ascii="Arial" w:hAnsi="Arial" w:cs="Arial"/>
          <w:bCs/>
          <w:noProof/>
          <w:color w:val="000000" w:themeColor="text1"/>
        </w:rPr>
        <w:t xml:space="preserve"> whether synergistic interactions existed beteween five potential candidate hormones with either direct or indirect anabolic effects on bone secreted in antisipation or in response to </w:t>
      </w:r>
      <w:r w:rsidR="004551F3">
        <w:rPr>
          <w:rFonts w:ascii="Arial" w:hAnsi="Arial" w:cs="Arial"/>
          <w:bCs/>
          <w:noProof/>
          <w:color w:val="000000" w:themeColor="text1"/>
        </w:rPr>
        <w:t>feeding/fasting</w:t>
      </w:r>
      <w:r w:rsidR="0015459C">
        <w:rPr>
          <w:rFonts w:ascii="Arial" w:hAnsi="Arial" w:cs="Arial"/>
          <w:bCs/>
          <w:noProof/>
          <w:color w:val="000000" w:themeColor="text1"/>
        </w:rPr>
        <w:t xml:space="preserve"> and bone’s potentiated res</w:t>
      </w:r>
      <w:r w:rsidR="004551F3">
        <w:rPr>
          <w:rFonts w:ascii="Arial" w:hAnsi="Arial" w:cs="Arial"/>
          <w:bCs/>
          <w:noProof/>
          <w:color w:val="000000" w:themeColor="text1"/>
        </w:rPr>
        <w:t xml:space="preserve">ponse to mechanical loading. </w:t>
      </w:r>
    </w:p>
    <w:p w14:paraId="21B321CE" w14:textId="77777777" w:rsidR="00FB7BA7" w:rsidRDefault="00FB7BA7" w:rsidP="0015459C">
      <w:pPr>
        <w:widowControl w:val="0"/>
        <w:autoSpaceDE w:val="0"/>
        <w:autoSpaceDN w:val="0"/>
        <w:adjustRightInd w:val="0"/>
        <w:spacing w:line="480" w:lineRule="auto"/>
        <w:jc w:val="both"/>
        <w:rPr>
          <w:rFonts w:ascii="Arial" w:hAnsi="Arial" w:cs="Arial"/>
          <w:bCs/>
          <w:noProof/>
          <w:color w:val="000000" w:themeColor="text1"/>
        </w:rPr>
      </w:pPr>
    </w:p>
    <w:p w14:paraId="7024A650" w14:textId="77777777" w:rsidR="0015459C" w:rsidRDefault="00FB7BA7" w:rsidP="0015459C">
      <w:pPr>
        <w:widowControl w:val="0"/>
        <w:autoSpaceDE w:val="0"/>
        <w:autoSpaceDN w:val="0"/>
        <w:adjustRightInd w:val="0"/>
        <w:spacing w:line="480" w:lineRule="auto"/>
        <w:jc w:val="both"/>
        <w:rPr>
          <w:rFonts w:ascii="Arial" w:hAnsi="Arial"/>
        </w:rPr>
      </w:pPr>
      <w:r w:rsidRPr="00FB7BA7">
        <w:rPr>
          <w:rFonts w:ascii="Arial" w:hAnsi="Arial" w:cs="Arial"/>
          <w:b/>
          <w:bCs/>
          <w:i/>
          <w:noProof/>
          <w:color w:val="000000" w:themeColor="text1"/>
        </w:rPr>
        <w:t>Experimental details:</w:t>
      </w:r>
      <w:r>
        <w:rPr>
          <w:rFonts w:ascii="Arial" w:hAnsi="Arial" w:cs="Arial"/>
          <w:bCs/>
          <w:noProof/>
          <w:color w:val="000000" w:themeColor="text1"/>
        </w:rPr>
        <w:t xml:space="preserve"> </w:t>
      </w:r>
      <w:r w:rsidR="004551F3">
        <w:rPr>
          <w:rFonts w:ascii="Arial" w:hAnsi="Arial" w:cs="Arial"/>
          <w:bCs/>
          <w:noProof/>
          <w:color w:val="000000" w:themeColor="text1"/>
        </w:rPr>
        <w:t>Serum</w:t>
      </w:r>
      <w:r w:rsidR="0015459C">
        <w:rPr>
          <w:rFonts w:ascii="Arial" w:hAnsi="Arial" w:cs="Arial"/>
          <w:bCs/>
          <w:noProof/>
          <w:color w:val="000000" w:themeColor="text1"/>
        </w:rPr>
        <w:t xml:space="preserve"> concentrations of </w:t>
      </w:r>
      <w:r w:rsidR="004551F3">
        <w:rPr>
          <w:rFonts w:ascii="Arial" w:hAnsi="Arial" w:cs="Arial"/>
          <w:bCs/>
          <w:noProof/>
          <w:color w:val="000000" w:themeColor="text1"/>
        </w:rPr>
        <w:t>ghrelin, leptin, insulin, GIP and GLIP1 were measured in duplicate in</w:t>
      </w:r>
      <w:r w:rsidR="0015459C">
        <w:rPr>
          <w:rFonts w:ascii="Arial" w:hAnsi="Arial" w:cs="Arial"/>
          <w:bCs/>
          <w:noProof/>
          <w:color w:val="000000" w:themeColor="text1"/>
        </w:rPr>
        <w:t xml:space="preserve"> young </w:t>
      </w:r>
      <w:r w:rsidR="0015459C">
        <w:rPr>
          <w:rFonts w:ascii="Arial" w:hAnsi="Arial"/>
        </w:rPr>
        <w:t>17</w:t>
      </w:r>
      <w:r w:rsidR="0015459C" w:rsidRPr="00494937">
        <w:rPr>
          <w:rFonts w:ascii="Arial" w:hAnsi="Arial"/>
        </w:rPr>
        <w:t xml:space="preserve">-week-old </w:t>
      </w:r>
      <w:r w:rsidR="0015459C">
        <w:rPr>
          <w:rFonts w:ascii="Arial" w:hAnsi="Arial"/>
        </w:rPr>
        <w:t xml:space="preserve">fed (n=6) or overnight </w:t>
      </w:r>
      <w:r w:rsidR="00652FC4">
        <w:rPr>
          <w:rFonts w:ascii="Arial" w:hAnsi="Arial"/>
        </w:rPr>
        <w:t xml:space="preserve">(16-hour) </w:t>
      </w:r>
      <w:r w:rsidR="0015459C">
        <w:rPr>
          <w:rFonts w:ascii="Arial" w:hAnsi="Arial"/>
        </w:rPr>
        <w:t xml:space="preserve">fasted fed </w:t>
      </w:r>
      <w:r w:rsidR="00BA37A9">
        <w:rPr>
          <w:rFonts w:ascii="Arial" w:hAnsi="Arial"/>
        </w:rPr>
        <w:t>(n=7) male C57BL/6 mice at 3</w:t>
      </w:r>
      <w:r w:rsidR="0015459C">
        <w:rPr>
          <w:rFonts w:ascii="Arial" w:hAnsi="Arial"/>
        </w:rPr>
        <w:t xml:space="preserve"> time points (12pm, 2pm and 3pm) </w:t>
      </w:r>
      <w:r w:rsidR="0015459C">
        <w:rPr>
          <w:rFonts w:ascii="Arial" w:hAnsi="Arial" w:cs="Arial"/>
        </w:rPr>
        <w:t xml:space="preserve">using mouse multiplex diabetes assay as described in </w:t>
      </w:r>
      <w:r w:rsidR="00D229F1">
        <w:rPr>
          <w:rFonts w:ascii="Arial" w:hAnsi="Arial" w:cs="Arial"/>
        </w:rPr>
        <w:t xml:space="preserve">the </w:t>
      </w:r>
      <w:r w:rsidR="0015459C">
        <w:rPr>
          <w:rFonts w:ascii="Arial" w:hAnsi="Arial" w:cs="Arial"/>
        </w:rPr>
        <w:t>ge</w:t>
      </w:r>
      <w:r>
        <w:rPr>
          <w:rFonts w:ascii="Arial" w:hAnsi="Arial" w:cs="Arial"/>
        </w:rPr>
        <w:t>neral methods</w:t>
      </w:r>
      <w:r w:rsidR="00D229F1">
        <w:rPr>
          <w:rFonts w:ascii="Arial" w:hAnsi="Arial" w:cs="Arial"/>
        </w:rPr>
        <w:t xml:space="preserve"> (section 2.3.4</w:t>
      </w:r>
      <w:r w:rsidR="0015459C">
        <w:rPr>
          <w:rFonts w:ascii="Arial" w:hAnsi="Arial" w:cs="Arial"/>
        </w:rPr>
        <w:t>)</w:t>
      </w:r>
      <w:r w:rsidR="0015459C">
        <w:rPr>
          <w:rFonts w:ascii="Arial" w:hAnsi="Arial"/>
        </w:rPr>
        <w:t xml:space="preserve">. </w:t>
      </w:r>
      <w:r w:rsidR="003C3F66">
        <w:rPr>
          <w:rFonts w:ascii="Arial" w:hAnsi="Arial"/>
        </w:rPr>
        <w:t xml:space="preserve">The blood samples were collected in relation to </w:t>
      </w:r>
      <w:r w:rsidR="00AD56A4">
        <w:rPr>
          <w:rFonts w:ascii="Arial" w:hAnsi="Arial"/>
        </w:rPr>
        <w:t xml:space="preserve">the time-periods of </w:t>
      </w:r>
      <w:r w:rsidR="003C3F66">
        <w:rPr>
          <w:rFonts w:ascii="Arial" w:hAnsi="Arial"/>
        </w:rPr>
        <w:t xml:space="preserve">feeding/fasting of the mice. </w:t>
      </w:r>
      <w:r w:rsidR="004551F3">
        <w:rPr>
          <w:rFonts w:ascii="Arial" w:hAnsi="Arial"/>
        </w:rPr>
        <w:t xml:space="preserve">As described in </w:t>
      </w:r>
      <w:r w:rsidR="003C3F66">
        <w:rPr>
          <w:rFonts w:ascii="Arial" w:hAnsi="Arial"/>
        </w:rPr>
        <w:t xml:space="preserve">the </w:t>
      </w:r>
      <w:r w:rsidR="004551F3">
        <w:rPr>
          <w:rFonts w:ascii="Arial" w:hAnsi="Arial"/>
        </w:rPr>
        <w:t>Chapter 3 (</w:t>
      </w:r>
      <w:r w:rsidR="00226359">
        <w:rPr>
          <w:rFonts w:ascii="Arial" w:hAnsi="Arial"/>
        </w:rPr>
        <w:t xml:space="preserve">see </w:t>
      </w:r>
      <w:r w:rsidR="004551F3">
        <w:rPr>
          <w:rFonts w:ascii="Arial" w:hAnsi="Arial"/>
        </w:rPr>
        <w:t xml:space="preserve">section 3.2.1) </w:t>
      </w:r>
      <w:r w:rsidR="003C3F66">
        <w:rPr>
          <w:rFonts w:ascii="Arial" w:hAnsi="Arial"/>
        </w:rPr>
        <w:t xml:space="preserve">food introduction at 12pm following 16-hour fast, resulted </w:t>
      </w:r>
      <w:r w:rsidR="00AD56A4">
        <w:rPr>
          <w:rFonts w:ascii="Arial" w:hAnsi="Arial"/>
        </w:rPr>
        <w:t>in an increased (</w:t>
      </w:r>
      <w:r w:rsidR="007C6FB8">
        <w:rPr>
          <w:rFonts w:ascii="Arial" w:hAnsi="Arial"/>
        </w:rPr>
        <w:t xml:space="preserve">approximately </w:t>
      </w:r>
      <w:r w:rsidR="00AD56A4">
        <w:rPr>
          <w:rFonts w:ascii="Arial" w:hAnsi="Arial"/>
        </w:rPr>
        <w:t>2g more)</w:t>
      </w:r>
      <w:r w:rsidR="003C3F66">
        <w:rPr>
          <w:rFonts w:ascii="Arial" w:hAnsi="Arial"/>
        </w:rPr>
        <w:t xml:space="preserve"> food intake for 2 hours in fasted mice compared with free-fed control mice (Figure 20B).</w:t>
      </w:r>
    </w:p>
    <w:p w14:paraId="490D3A08" w14:textId="77777777" w:rsidR="004551F3" w:rsidRDefault="004551F3" w:rsidP="0015459C">
      <w:pPr>
        <w:widowControl w:val="0"/>
        <w:autoSpaceDE w:val="0"/>
        <w:autoSpaceDN w:val="0"/>
        <w:adjustRightInd w:val="0"/>
        <w:spacing w:line="480" w:lineRule="auto"/>
        <w:jc w:val="both"/>
        <w:rPr>
          <w:rFonts w:ascii="Arial" w:hAnsi="Arial"/>
        </w:rPr>
      </w:pPr>
    </w:p>
    <w:p w14:paraId="1B781F33" w14:textId="77777777" w:rsidR="0015459C" w:rsidRDefault="0015459C" w:rsidP="0015459C">
      <w:pPr>
        <w:widowControl w:val="0"/>
        <w:autoSpaceDE w:val="0"/>
        <w:autoSpaceDN w:val="0"/>
        <w:adjustRightInd w:val="0"/>
        <w:spacing w:line="480" w:lineRule="auto"/>
        <w:jc w:val="both"/>
        <w:rPr>
          <w:rFonts w:ascii="Arial" w:hAnsi="Arial"/>
        </w:rPr>
      </w:pPr>
      <w:r>
        <w:rPr>
          <w:rFonts w:ascii="Arial" w:hAnsi="Arial" w:cs="Arial"/>
          <w:color w:val="000000" w:themeColor="text1"/>
        </w:rPr>
        <w:t>The mean concentrations of h</w:t>
      </w:r>
      <w:r w:rsidR="00602C22">
        <w:rPr>
          <w:rFonts w:ascii="Arial" w:hAnsi="Arial" w:cs="Arial"/>
          <w:color w:val="000000" w:themeColor="text1"/>
        </w:rPr>
        <w:t>ormones at each sampling time are shown in the Table 6</w:t>
      </w:r>
      <w:r>
        <w:rPr>
          <w:rFonts w:ascii="Arial" w:hAnsi="Arial" w:cs="Arial"/>
          <w:color w:val="000000" w:themeColor="text1"/>
        </w:rPr>
        <w:t xml:space="preserve">. </w:t>
      </w:r>
      <w:r w:rsidR="00602C22">
        <w:rPr>
          <w:rFonts w:ascii="Arial" w:hAnsi="Arial" w:cs="Arial"/>
          <w:color w:val="000000" w:themeColor="text1"/>
        </w:rPr>
        <w:t>In ad-lib fed mice s</w:t>
      </w:r>
      <w:r>
        <w:rPr>
          <w:rFonts w:ascii="Arial" w:hAnsi="Arial" w:cs="Arial"/>
          <w:color w:val="000000" w:themeColor="text1"/>
        </w:rPr>
        <w:t xml:space="preserve">erum ghrelin concentration was </w:t>
      </w:r>
      <w:r w:rsidR="00602C22">
        <w:rPr>
          <w:rFonts w:ascii="Arial" w:hAnsi="Arial" w:cs="Arial"/>
          <w:color w:val="000000" w:themeColor="text1"/>
        </w:rPr>
        <w:t>approximately twice as high</w:t>
      </w:r>
      <w:r>
        <w:rPr>
          <w:rFonts w:ascii="Arial" w:hAnsi="Arial" w:cs="Arial"/>
          <w:color w:val="000000" w:themeColor="text1"/>
        </w:rPr>
        <w:t xml:space="preserve"> at 14:00</w:t>
      </w:r>
      <w:r w:rsidR="00602C22">
        <w:rPr>
          <w:rFonts w:ascii="Arial" w:hAnsi="Arial" w:cs="Arial"/>
          <w:color w:val="000000" w:themeColor="text1"/>
        </w:rPr>
        <w:t xml:space="preserve"> compared with</w:t>
      </w:r>
      <w:r>
        <w:rPr>
          <w:rFonts w:ascii="Arial" w:hAnsi="Arial" w:cs="Arial"/>
          <w:color w:val="000000" w:themeColor="text1"/>
        </w:rPr>
        <w:t xml:space="preserve"> that at 12:00</w:t>
      </w:r>
      <w:r w:rsidR="00E85DE4">
        <w:rPr>
          <w:rFonts w:ascii="Arial" w:hAnsi="Arial" w:cs="Arial"/>
          <w:color w:val="000000" w:themeColor="text1"/>
        </w:rPr>
        <w:t xml:space="preserve">. In contrast, in fasted fed mice, ghrelin concentration fell between 12.00 and 14.00 when concentration was significantly lower than that in the </w:t>
      </w:r>
      <w:r w:rsidR="003C7C3C">
        <w:rPr>
          <w:rFonts w:ascii="Arial" w:hAnsi="Arial" w:cs="Arial"/>
          <w:color w:val="000000" w:themeColor="text1"/>
        </w:rPr>
        <w:t>fed mice (Figure 50</w:t>
      </w:r>
      <w:r>
        <w:rPr>
          <w:rFonts w:ascii="Arial" w:hAnsi="Arial" w:cs="Arial"/>
          <w:color w:val="000000" w:themeColor="text1"/>
        </w:rPr>
        <w:t xml:space="preserve">). </w:t>
      </w:r>
      <w:r w:rsidR="00906C2F">
        <w:rPr>
          <w:rFonts w:ascii="Arial" w:hAnsi="Arial"/>
        </w:rPr>
        <w:t>In fasted fed mice, serum leptin concentration was significantly higher</w:t>
      </w:r>
      <w:r>
        <w:rPr>
          <w:rFonts w:ascii="Arial" w:hAnsi="Arial"/>
        </w:rPr>
        <w:t xml:space="preserve"> at 14:00 and 15:00 compared with that at 12:00, whereas in ad-lib fed mice the concentrations of serum leptin remained unchanged thr</w:t>
      </w:r>
      <w:r w:rsidR="00E85DE4">
        <w:rPr>
          <w:rFonts w:ascii="Arial" w:hAnsi="Arial"/>
        </w:rPr>
        <w:t>o</w:t>
      </w:r>
      <w:r w:rsidR="003C7C3C">
        <w:rPr>
          <w:rFonts w:ascii="Arial" w:hAnsi="Arial"/>
        </w:rPr>
        <w:t>ughout the experiment (Figure 5</w:t>
      </w:r>
      <w:r w:rsidR="00906C2F">
        <w:rPr>
          <w:rFonts w:ascii="Arial" w:hAnsi="Arial"/>
        </w:rPr>
        <w:t>1</w:t>
      </w:r>
      <w:r>
        <w:rPr>
          <w:rFonts w:ascii="Arial" w:hAnsi="Arial"/>
        </w:rPr>
        <w:t xml:space="preserve">). Fasting </w:t>
      </w:r>
      <w:r w:rsidR="000C276B">
        <w:rPr>
          <w:rFonts w:ascii="Arial" w:hAnsi="Arial"/>
        </w:rPr>
        <w:t xml:space="preserve">serum </w:t>
      </w:r>
      <w:r>
        <w:rPr>
          <w:rFonts w:ascii="Arial" w:hAnsi="Arial"/>
        </w:rPr>
        <w:t>concentration of leptin was significantly lower at 12:00 and significantly higher at 15:0</w:t>
      </w:r>
      <w:r w:rsidR="00A3205E">
        <w:rPr>
          <w:rFonts w:ascii="Arial" w:hAnsi="Arial"/>
        </w:rPr>
        <w:t>0 in fasted fed mice compared with</w:t>
      </w:r>
      <w:r>
        <w:rPr>
          <w:rFonts w:ascii="Arial" w:hAnsi="Arial"/>
        </w:rPr>
        <w:t xml:space="preserve"> those in ad-lib fed mice. Serum insulin </w:t>
      </w:r>
      <w:r>
        <w:rPr>
          <w:rFonts w:ascii="Arial" w:hAnsi="Arial"/>
        </w:rPr>
        <w:lastRenderedPageBreak/>
        <w:t xml:space="preserve">concentration significantly increased in fasted mice after 2-hour feeding and in comparison to that in ad-lib fed mice, then significantly decreased at 15:00 compared with 14:00 in </w:t>
      </w:r>
      <w:r w:rsidR="00A3205E">
        <w:rPr>
          <w:rFonts w:ascii="Arial" w:hAnsi="Arial"/>
        </w:rPr>
        <w:t>fasted fed mice (Figure 52</w:t>
      </w:r>
      <w:r>
        <w:rPr>
          <w:rFonts w:ascii="Arial" w:hAnsi="Arial"/>
        </w:rPr>
        <w:t>). Serum GIP and GLP1 concentrations significantly increased at 14:00 and 15:00 compared with fasting serum concentration at 12:00 in fasted fed young male mice, whereas serum concentrations of GIP and GLP1 were unchanged in ad-lib fed mice</w:t>
      </w:r>
      <w:r w:rsidR="00A3205E">
        <w:rPr>
          <w:rFonts w:ascii="Arial" w:hAnsi="Arial"/>
        </w:rPr>
        <w:t xml:space="preserve"> at three time points (Figures 53 and 54</w:t>
      </w:r>
      <w:r>
        <w:rPr>
          <w:rFonts w:ascii="Arial" w:hAnsi="Arial"/>
        </w:rPr>
        <w:t>). There were no significant changes in serum GIP concentrations between fed</w:t>
      </w:r>
      <w:r w:rsidR="00A3205E">
        <w:rPr>
          <w:rFonts w:ascii="Arial" w:hAnsi="Arial"/>
        </w:rPr>
        <w:t xml:space="preserve"> and fasted fed groups (Figure 53</w:t>
      </w:r>
      <w:r>
        <w:rPr>
          <w:rFonts w:ascii="Arial" w:hAnsi="Arial"/>
        </w:rPr>
        <w:t>), whereas serum GLP1 concentration was significantly higher at 15:0</w:t>
      </w:r>
      <w:r w:rsidR="00A3205E">
        <w:rPr>
          <w:rFonts w:ascii="Arial" w:hAnsi="Arial"/>
        </w:rPr>
        <w:t>0 in fasted fed mice compared with</w:t>
      </w:r>
      <w:r>
        <w:rPr>
          <w:rFonts w:ascii="Arial" w:hAnsi="Arial"/>
        </w:rPr>
        <w:t xml:space="preserve"> t</w:t>
      </w:r>
      <w:r w:rsidR="00A3205E">
        <w:rPr>
          <w:rFonts w:ascii="Arial" w:hAnsi="Arial"/>
        </w:rPr>
        <w:t>hat in ad-lib fed mice (Figure 54</w:t>
      </w:r>
      <w:r>
        <w:rPr>
          <w:rFonts w:ascii="Arial" w:hAnsi="Arial"/>
        </w:rPr>
        <w:t xml:space="preserve">).  </w:t>
      </w:r>
    </w:p>
    <w:p w14:paraId="6A519648" w14:textId="77777777" w:rsidR="00A3205E" w:rsidRDefault="00A3205E" w:rsidP="0015459C">
      <w:pPr>
        <w:widowControl w:val="0"/>
        <w:autoSpaceDE w:val="0"/>
        <w:autoSpaceDN w:val="0"/>
        <w:adjustRightInd w:val="0"/>
        <w:spacing w:line="480" w:lineRule="auto"/>
        <w:jc w:val="both"/>
        <w:rPr>
          <w:rFonts w:ascii="Arial" w:hAnsi="Arial"/>
        </w:rPr>
      </w:pPr>
    </w:p>
    <w:p w14:paraId="56FF2F2E" w14:textId="77777777" w:rsidR="00A3205E" w:rsidRDefault="00A3205E" w:rsidP="0015459C">
      <w:pPr>
        <w:widowControl w:val="0"/>
        <w:autoSpaceDE w:val="0"/>
        <w:autoSpaceDN w:val="0"/>
        <w:adjustRightInd w:val="0"/>
        <w:spacing w:line="480" w:lineRule="auto"/>
        <w:jc w:val="both"/>
        <w:rPr>
          <w:rFonts w:ascii="Arial" w:hAnsi="Arial"/>
        </w:rPr>
      </w:pPr>
    </w:p>
    <w:p w14:paraId="16C1EE8D" w14:textId="77777777" w:rsidR="00A3205E" w:rsidRDefault="00A3205E" w:rsidP="0015459C">
      <w:pPr>
        <w:widowControl w:val="0"/>
        <w:autoSpaceDE w:val="0"/>
        <w:autoSpaceDN w:val="0"/>
        <w:adjustRightInd w:val="0"/>
        <w:spacing w:line="480" w:lineRule="auto"/>
        <w:jc w:val="both"/>
        <w:rPr>
          <w:rFonts w:ascii="Arial" w:hAnsi="Arial"/>
        </w:rPr>
      </w:pPr>
    </w:p>
    <w:p w14:paraId="28E94DD9" w14:textId="77777777" w:rsidR="00A3205E" w:rsidRDefault="00A3205E" w:rsidP="0015459C">
      <w:pPr>
        <w:widowControl w:val="0"/>
        <w:autoSpaceDE w:val="0"/>
        <w:autoSpaceDN w:val="0"/>
        <w:adjustRightInd w:val="0"/>
        <w:spacing w:line="480" w:lineRule="auto"/>
        <w:jc w:val="both"/>
        <w:rPr>
          <w:rFonts w:ascii="Arial" w:hAnsi="Arial"/>
        </w:rPr>
      </w:pPr>
    </w:p>
    <w:p w14:paraId="195C4145" w14:textId="77777777" w:rsidR="00A3205E" w:rsidRDefault="00A3205E" w:rsidP="0015459C">
      <w:pPr>
        <w:widowControl w:val="0"/>
        <w:autoSpaceDE w:val="0"/>
        <w:autoSpaceDN w:val="0"/>
        <w:adjustRightInd w:val="0"/>
        <w:spacing w:line="480" w:lineRule="auto"/>
        <w:jc w:val="both"/>
        <w:rPr>
          <w:rFonts w:ascii="Arial" w:hAnsi="Arial"/>
        </w:rPr>
      </w:pPr>
    </w:p>
    <w:p w14:paraId="0340B9D4" w14:textId="77777777" w:rsidR="00A3205E" w:rsidRDefault="00A3205E" w:rsidP="0015459C">
      <w:pPr>
        <w:widowControl w:val="0"/>
        <w:autoSpaceDE w:val="0"/>
        <w:autoSpaceDN w:val="0"/>
        <w:adjustRightInd w:val="0"/>
        <w:spacing w:line="480" w:lineRule="auto"/>
        <w:jc w:val="both"/>
        <w:rPr>
          <w:rFonts w:ascii="Arial" w:hAnsi="Arial"/>
        </w:rPr>
      </w:pPr>
    </w:p>
    <w:p w14:paraId="6525B19C" w14:textId="77777777" w:rsidR="00A3205E" w:rsidRDefault="00A3205E" w:rsidP="0015459C">
      <w:pPr>
        <w:widowControl w:val="0"/>
        <w:autoSpaceDE w:val="0"/>
        <w:autoSpaceDN w:val="0"/>
        <w:adjustRightInd w:val="0"/>
        <w:spacing w:line="480" w:lineRule="auto"/>
        <w:jc w:val="both"/>
        <w:rPr>
          <w:rFonts w:ascii="Arial" w:hAnsi="Arial"/>
        </w:rPr>
      </w:pPr>
    </w:p>
    <w:p w14:paraId="721BA555" w14:textId="77777777" w:rsidR="00A3205E" w:rsidRDefault="00A3205E" w:rsidP="0015459C">
      <w:pPr>
        <w:widowControl w:val="0"/>
        <w:autoSpaceDE w:val="0"/>
        <w:autoSpaceDN w:val="0"/>
        <w:adjustRightInd w:val="0"/>
        <w:spacing w:line="480" w:lineRule="auto"/>
        <w:jc w:val="both"/>
        <w:rPr>
          <w:rFonts w:ascii="Arial" w:hAnsi="Arial"/>
        </w:rPr>
      </w:pPr>
    </w:p>
    <w:p w14:paraId="29A2A1CB" w14:textId="77777777" w:rsidR="00A3205E" w:rsidRDefault="00A3205E" w:rsidP="0015459C">
      <w:pPr>
        <w:widowControl w:val="0"/>
        <w:autoSpaceDE w:val="0"/>
        <w:autoSpaceDN w:val="0"/>
        <w:adjustRightInd w:val="0"/>
        <w:spacing w:line="480" w:lineRule="auto"/>
        <w:jc w:val="both"/>
        <w:rPr>
          <w:rFonts w:ascii="Arial" w:hAnsi="Arial"/>
        </w:rPr>
      </w:pPr>
    </w:p>
    <w:p w14:paraId="5F25C295" w14:textId="77777777" w:rsidR="00A3205E" w:rsidRDefault="00A3205E" w:rsidP="0015459C">
      <w:pPr>
        <w:widowControl w:val="0"/>
        <w:autoSpaceDE w:val="0"/>
        <w:autoSpaceDN w:val="0"/>
        <w:adjustRightInd w:val="0"/>
        <w:spacing w:line="480" w:lineRule="auto"/>
        <w:jc w:val="both"/>
        <w:rPr>
          <w:rFonts w:ascii="Arial" w:hAnsi="Arial"/>
        </w:rPr>
      </w:pPr>
    </w:p>
    <w:p w14:paraId="46A6C62A" w14:textId="77777777" w:rsidR="00A3205E" w:rsidRDefault="00A3205E" w:rsidP="0015459C">
      <w:pPr>
        <w:widowControl w:val="0"/>
        <w:autoSpaceDE w:val="0"/>
        <w:autoSpaceDN w:val="0"/>
        <w:adjustRightInd w:val="0"/>
        <w:spacing w:line="480" w:lineRule="auto"/>
        <w:jc w:val="both"/>
        <w:rPr>
          <w:rFonts w:ascii="Arial" w:hAnsi="Arial"/>
        </w:rPr>
      </w:pPr>
    </w:p>
    <w:p w14:paraId="070D12A7" w14:textId="77777777" w:rsidR="00A3205E" w:rsidRDefault="00A3205E" w:rsidP="0015459C">
      <w:pPr>
        <w:widowControl w:val="0"/>
        <w:autoSpaceDE w:val="0"/>
        <w:autoSpaceDN w:val="0"/>
        <w:adjustRightInd w:val="0"/>
        <w:spacing w:line="480" w:lineRule="auto"/>
        <w:jc w:val="both"/>
        <w:rPr>
          <w:rFonts w:ascii="Arial" w:hAnsi="Arial"/>
        </w:rPr>
      </w:pPr>
    </w:p>
    <w:p w14:paraId="1B913888" w14:textId="77777777" w:rsidR="00A3205E" w:rsidRDefault="00A3205E" w:rsidP="0015459C">
      <w:pPr>
        <w:widowControl w:val="0"/>
        <w:autoSpaceDE w:val="0"/>
        <w:autoSpaceDN w:val="0"/>
        <w:adjustRightInd w:val="0"/>
        <w:spacing w:line="480" w:lineRule="auto"/>
        <w:jc w:val="both"/>
        <w:rPr>
          <w:rFonts w:ascii="Arial" w:hAnsi="Arial"/>
        </w:rPr>
      </w:pPr>
    </w:p>
    <w:p w14:paraId="2D328529" w14:textId="77777777" w:rsidR="00A3205E" w:rsidRDefault="00A3205E" w:rsidP="0015459C">
      <w:pPr>
        <w:widowControl w:val="0"/>
        <w:autoSpaceDE w:val="0"/>
        <w:autoSpaceDN w:val="0"/>
        <w:adjustRightInd w:val="0"/>
        <w:spacing w:line="480" w:lineRule="auto"/>
        <w:jc w:val="both"/>
        <w:rPr>
          <w:rFonts w:ascii="Arial" w:hAnsi="Arial"/>
        </w:rPr>
      </w:pPr>
    </w:p>
    <w:p w14:paraId="062B41E0" w14:textId="77777777" w:rsidR="00A3205E" w:rsidRDefault="00A3205E" w:rsidP="0015459C">
      <w:pPr>
        <w:widowControl w:val="0"/>
        <w:autoSpaceDE w:val="0"/>
        <w:autoSpaceDN w:val="0"/>
        <w:adjustRightInd w:val="0"/>
        <w:spacing w:line="480" w:lineRule="auto"/>
        <w:jc w:val="both"/>
        <w:rPr>
          <w:rFonts w:ascii="Arial" w:hAnsi="Arial"/>
        </w:rPr>
      </w:pPr>
    </w:p>
    <w:p w14:paraId="448AE8E5" w14:textId="77777777" w:rsidR="00A3205E" w:rsidRDefault="00A3205E" w:rsidP="0015459C">
      <w:pPr>
        <w:widowControl w:val="0"/>
        <w:autoSpaceDE w:val="0"/>
        <w:autoSpaceDN w:val="0"/>
        <w:adjustRightInd w:val="0"/>
        <w:spacing w:line="480" w:lineRule="auto"/>
        <w:jc w:val="both"/>
        <w:rPr>
          <w:rFonts w:ascii="Arial" w:hAnsi="Arial"/>
        </w:rPr>
      </w:pPr>
    </w:p>
    <w:p w14:paraId="20156DB6" w14:textId="77777777" w:rsidR="00A3205E" w:rsidRDefault="00A3205E" w:rsidP="0015459C">
      <w:pPr>
        <w:widowControl w:val="0"/>
        <w:autoSpaceDE w:val="0"/>
        <w:autoSpaceDN w:val="0"/>
        <w:adjustRightInd w:val="0"/>
        <w:spacing w:line="480" w:lineRule="auto"/>
        <w:jc w:val="both"/>
        <w:rPr>
          <w:rFonts w:ascii="Arial" w:hAnsi="Arial"/>
        </w:rPr>
      </w:pPr>
    </w:p>
    <w:p w14:paraId="711EB4C2" w14:textId="77777777" w:rsidR="00A3205E" w:rsidRPr="00A3205E" w:rsidRDefault="00602C22" w:rsidP="00A3205E">
      <w:pPr>
        <w:pStyle w:val="Caption"/>
        <w:spacing w:line="360" w:lineRule="auto"/>
        <w:jc w:val="both"/>
        <w:rPr>
          <w:rFonts w:ascii="Arial" w:hAnsi="Arial"/>
          <w:color w:val="244061" w:themeColor="accent1" w:themeShade="80"/>
          <w:sz w:val="24"/>
          <w:szCs w:val="24"/>
        </w:rPr>
      </w:pPr>
      <w:bookmarkStart w:id="161" w:name="_Toc383545832"/>
      <w:r w:rsidRPr="00A3205E">
        <w:rPr>
          <w:rFonts w:ascii="Arial" w:hAnsi="Arial"/>
          <w:color w:val="244061" w:themeColor="accent1" w:themeShade="80"/>
          <w:sz w:val="24"/>
          <w:szCs w:val="24"/>
        </w:rPr>
        <w:lastRenderedPageBreak/>
        <w:t xml:space="preserve">Table </w:t>
      </w:r>
      <w:r w:rsidRPr="00A3205E">
        <w:rPr>
          <w:rFonts w:ascii="Arial" w:hAnsi="Arial"/>
          <w:color w:val="244061" w:themeColor="accent1" w:themeShade="80"/>
          <w:sz w:val="24"/>
          <w:szCs w:val="24"/>
        </w:rPr>
        <w:fldChar w:fldCharType="begin"/>
      </w:r>
      <w:r w:rsidRPr="00A3205E">
        <w:rPr>
          <w:rFonts w:ascii="Arial" w:hAnsi="Arial"/>
          <w:color w:val="244061" w:themeColor="accent1" w:themeShade="80"/>
          <w:sz w:val="24"/>
          <w:szCs w:val="24"/>
        </w:rPr>
        <w:instrText xml:space="preserve"> SEQ Table \* ARABIC </w:instrText>
      </w:r>
      <w:r w:rsidRPr="00A3205E">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6</w:t>
      </w:r>
      <w:r w:rsidRPr="00A3205E">
        <w:rPr>
          <w:rFonts w:ascii="Arial" w:hAnsi="Arial"/>
          <w:color w:val="244061" w:themeColor="accent1" w:themeShade="80"/>
          <w:sz w:val="24"/>
          <w:szCs w:val="24"/>
        </w:rPr>
        <w:fldChar w:fldCharType="end"/>
      </w:r>
      <w:r w:rsidR="00A3205E" w:rsidRPr="00A3205E">
        <w:rPr>
          <w:rFonts w:ascii="Arial" w:hAnsi="Arial"/>
          <w:color w:val="244061" w:themeColor="accent1" w:themeShade="80"/>
          <w:sz w:val="24"/>
          <w:szCs w:val="24"/>
        </w:rPr>
        <w:t xml:space="preserve"> Serum concentrations of five hormones (ghrelin, leptin, insulin, GIP and GLP1) in fed or </w:t>
      </w:r>
      <w:r w:rsidR="00A3205E">
        <w:rPr>
          <w:rFonts w:ascii="Arial" w:hAnsi="Arial"/>
          <w:color w:val="244061" w:themeColor="accent1" w:themeShade="80"/>
          <w:sz w:val="24"/>
          <w:szCs w:val="24"/>
        </w:rPr>
        <w:t>overnight (</w:t>
      </w:r>
      <w:r w:rsidR="00A3205E" w:rsidRPr="00A3205E">
        <w:rPr>
          <w:rFonts w:ascii="Arial" w:hAnsi="Arial"/>
          <w:color w:val="244061" w:themeColor="accent1" w:themeShade="80"/>
          <w:sz w:val="24"/>
          <w:szCs w:val="24"/>
        </w:rPr>
        <w:t>16-hour</w:t>
      </w:r>
      <w:r w:rsidR="00A3205E">
        <w:rPr>
          <w:rFonts w:ascii="Arial" w:hAnsi="Arial"/>
          <w:color w:val="244061" w:themeColor="accent1" w:themeShade="80"/>
          <w:sz w:val="24"/>
          <w:szCs w:val="24"/>
        </w:rPr>
        <w:t>)</w:t>
      </w:r>
      <w:r w:rsidR="00A3205E" w:rsidRPr="00A3205E">
        <w:rPr>
          <w:rFonts w:ascii="Arial" w:hAnsi="Arial"/>
          <w:color w:val="244061" w:themeColor="accent1" w:themeShade="80"/>
          <w:sz w:val="24"/>
          <w:szCs w:val="24"/>
        </w:rPr>
        <w:t xml:space="preserve"> fasted fed young male mice</w:t>
      </w:r>
      <w:bookmarkEnd w:id="161"/>
    </w:p>
    <w:p w14:paraId="420967EB" w14:textId="77777777" w:rsidR="00602C22" w:rsidRDefault="00602C22" w:rsidP="00602C22">
      <w:pPr>
        <w:pStyle w:val="Caption"/>
        <w:keepNext/>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6"/>
        <w:gridCol w:w="2091"/>
        <w:gridCol w:w="2142"/>
        <w:gridCol w:w="1561"/>
        <w:gridCol w:w="2120"/>
      </w:tblGrid>
      <w:tr w:rsidR="0015459C" w14:paraId="00004708" w14:textId="77777777" w:rsidTr="00602C22">
        <w:tc>
          <w:tcPr>
            <w:tcW w:w="1928" w:type="dxa"/>
            <w:tcBorders>
              <w:top w:val="single" w:sz="4" w:space="0" w:color="auto"/>
              <w:bottom w:val="nil"/>
            </w:tcBorders>
          </w:tcPr>
          <w:p w14:paraId="7DE47C82" w14:textId="77777777" w:rsidR="0015459C" w:rsidRDefault="0015459C" w:rsidP="00D20595">
            <w:pPr>
              <w:widowControl w:val="0"/>
              <w:autoSpaceDE w:val="0"/>
              <w:autoSpaceDN w:val="0"/>
              <w:adjustRightInd w:val="0"/>
              <w:spacing w:line="480" w:lineRule="auto"/>
              <w:jc w:val="both"/>
              <w:rPr>
                <w:rFonts w:ascii="Arial" w:hAnsi="Arial"/>
              </w:rPr>
            </w:pPr>
          </w:p>
        </w:tc>
        <w:tc>
          <w:tcPr>
            <w:tcW w:w="2093" w:type="dxa"/>
            <w:tcBorders>
              <w:top w:val="single" w:sz="4" w:space="0" w:color="auto"/>
              <w:bottom w:val="nil"/>
            </w:tcBorders>
          </w:tcPr>
          <w:p w14:paraId="418974C6" w14:textId="77777777" w:rsidR="0015459C" w:rsidRDefault="0015459C" w:rsidP="00D20595">
            <w:pPr>
              <w:widowControl w:val="0"/>
              <w:autoSpaceDE w:val="0"/>
              <w:autoSpaceDN w:val="0"/>
              <w:adjustRightInd w:val="0"/>
              <w:spacing w:line="480" w:lineRule="auto"/>
              <w:jc w:val="both"/>
              <w:rPr>
                <w:rFonts w:ascii="Arial" w:hAnsi="Arial"/>
              </w:rPr>
            </w:pPr>
          </w:p>
        </w:tc>
        <w:tc>
          <w:tcPr>
            <w:tcW w:w="2143" w:type="dxa"/>
            <w:tcBorders>
              <w:top w:val="single" w:sz="4" w:space="0" w:color="auto"/>
              <w:bottom w:val="nil"/>
            </w:tcBorders>
          </w:tcPr>
          <w:p w14:paraId="515198FC" w14:textId="77777777" w:rsidR="0015459C" w:rsidRPr="00490817" w:rsidRDefault="0015459C" w:rsidP="00D20595">
            <w:pPr>
              <w:widowControl w:val="0"/>
              <w:autoSpaceDE w:val="0"/>
              <w:autoSpaceDN w:val="0"/>
              <w:adjustRightInd w:val="0"/>
              <w:spacing w:line="480" w:lineRule="auto"/>
              <w:jc w:val="center"/>
              <w:rPr>
                <w:rFonts w:ascii="Arial" w:hAnsi="Arial"/>
              </w:rPr>
            </w:pPr>
            <w:r w:rsidRPr="00490817">
              <w:rPr>
                <w:rFonts w:ascii="Arial" w:hAnsi="Arial" w:cs="Arial"/>
                <w:b/>
                <w:color w:val="000000"/>
              </w:rPr>
              <w:t>Fed</w:t>
            </w:r>
          </w:p>
        </w:tc>
        <w:tc>
          <w:tcPr>
            <w:tcW w:w="1561" w:type="dxa"/>
            <w:tcBorders>
              <w:top w:val="single" w:sz="4" w:space="0" w:color="auto"/>
              <w:bottom w:val="nil"/>
            </w:tcBorders>
          </w:tcPr>
          <w:p w14:paraId="4266D935" w14:textId="77777777" w:rsidR="0015459C" w:rsidRDefault="0015459C" w:rsidP="00D20595">
            <w:pPr>
              <w:widowControl w:val="0"/>
              <w:autoSpaceDE w:val="0"/>
              <w:autoSpaceDN w:val="0"/>
              <w:adjustRightInd w:val="0"/>
              <w:spacing w:line="480" w:lineRule="auto"/>
              <w:jc w:val="both"/>
              <w:rPr>
                <w:rFonts w:ascii="Arial" w:hAnsi="Arial"/>
              </w:rPr>
            </w:pPr>
          </w:p>
        </w:tc>
        <w:tc>
          <w:tcPr>
            <w:tcW w:w="2123" w:type="dxa"/>
            <w:tcBorders>
              <w:top w:val="single" w:sz="4" w:space="0" w:color="auto"/>
              <w:bottom w:val="nil"/>
            </w:tcBorders>
          </w:tcPr>
          <w:p w14:paraId="7EA7A20A" w14:textId="77777777" w:rsidR="0015459C" w:rsidRDefault="0015459C" w:rsidP="00D20595">
            <w:pPr>
              <w:widowControl w:val="0"/>
              <w:autoSpaceDE w:val="0"/>
              <w:autoSpaceDN w:val="0"/>
              <w:adjustRightInd w:val="0"/>
              <w:spacing w:line="480" w:lineRule="auto"/>
              <w:jc w:val="both"/>
              <w:rPr>
                <w:rFonts w:ascii="Arial" w:hAnsi="Arial"/>
              </w:rPr>
            </w:pPr>
          </w:p>
        </w:tc>
      </w:tr>
      <w:tr w:rsidR="0015459C" w14:paraId="5A88ECC2" w14:textId="77777777" w:rsidTr="00602C22">
        <w:tc>
          <w:tcPr>
            <w:tcW w:w="1928" w:type="dxa"/>
            <w:tcBorders>
              <w:bottom w:val="single" w:sz="4" w:space="0" w:color="auto"/>
            </w:tcBorders>
          </w:tcPr>
          <w:p w14:paraId="25B1B8E0" w14:textId="77777777" w:rsidR="0015459C" w:rsidRDefault="0015459C" w:rsidP="00D20595">
            <w:pPr>
              <w:widowControl w:val="0"/>
              <w:autoSpaceDE w:val="0"/>
              <w:autoSpaceDN w:val="0"/>
              <w:adjustRightInd w:val="0"/>
              <w:spacing w:line="480" w:lineRule="auto"/>
              <w:jc w:val="center"/>
              <w:rPr>
                <w:rFonts w:ascii="Arial" w:hAnsi="Arial"/>
              </w:rPr>
            </w:pPr>
          </w:p>
        </w:tc>
        <w:tc>
          <w:tcPr>
            <w:tcW w:w="2093" w:type="dxa"/>
            <w:tcBorders>
              <w:bottom w:val="single" w:sz="4" w:space="0" w:color="auto"/>
            </w:tcBorders>
          </w:tcPr>
          <w:p w14:paraId="2E0E4158" w14:textId="77777777" w:rsidR="0015459C" w:rsidRDefault="0015459C" w:rsidP="00D20595">
            <w:pPr>
              <w:widowControl w:val="0"/>
              <w:autoSpaceDE w:val="0"/>
              <w:autoSpaceDN w:val="0"/>
              <w:adjustRightInd w:val="0"/>
              <w:spacing w:line="480" w:lineRule="auto"/>
              <w:jc w:val="center"/>
              <w:rPr>
                <w:rFonts w:ascii="Arial" w:hAnsi="Arial"/>
              </w:rPr>
            </w:pPr>
            <w:r>
              <w:rPr>
                <w:rFonts w:ascii="Arial" w:hAnsi="Arial" w:cs="Arial"/>
                <w:b/>
                <w:sz w:val="22"/>
                <w:szCs w:val="22"/>
              </w:rPr>
              <w:t>12:00</w:t>
            </w:r>
          </w:p>
        </w:tc>
        <w:tc>
          <w:tcPr>
            <w:tcW w:w="2143" w:type="dxa"/>
            <w:tcBorders>
              <w:bottom w:val="single" w:sz="4" w:space="0" w:color="auto"/>
            </w:tcBorders>
          </w:tcPr>
          <w:p w14:paraId="73ED97AB" w14:textId="77777777" w:rsidR="0015459C" w:rsidRDefault="0015459C" w:rsidP="00D20595">
            <w:pPr>
              <w:widowControl w:val="0"/>
              <w:autoSpaceDE w:val="0"/>
              <w:autoSpaceDN w:val="0"/>
              <w:adjustRightInd w:val="0"/>
              <w:spacing w:line="480" w:lineRule="auto"/>
              <w:jc w:val="center"/>
              <w:rPr>
                <w:rFonts w:ascii="Arial" w:hAnsi="Arial"/>
              </w:rPr>
            </w:pPr>
            <w:r w:rsidRPr="00FE5057">
              <w:rPr>
                <w:rFonts w:ascii="Arial" w:hAnsi="Arial" w:cs="Arial"/>
                <w:b/>
                <w:sz w:val="22"/>
                <w:szCs w:val="22"/>
              </w:rPr>
              <w:t>14:00</w:t>
            </w:r>
          </w:p>
        </w:tc>
        <w:tc>
          <w:tcPr>
            <w:tcW w:w="1561" w:type="dxa"/>
            <w:tcBorders>
              <w:bottom w:val="single" w:sz="4" w:space="0" w:color="auto"/>
            </w:tcBorders>
          </w:tcPr>
          <w:p w14:paraId="7CE07EFE" w14:textId="77777777" w:rsidR="0015459C" w:rsidRPr="00FE5057" w:rsidRDefault="0015459C" w:rsidP="00D20595">
            <w:pPr>
              <w:widowControl w:val="0"/>
              <w:autoSpaceDE w:val="0"/>
              <w:autoSpaceDN w:val="0"/>
              <w:adjustRightInd w:val="0"/>
              <w:spacing w:line="480" w:lineRule="auto"/>
              <w:jc w:val="center"/>
              <w:rPr>
                <w:rFonts w:ascii="Arial" w:hAnsi="Arial" w:cs="Arial"/>
                <w:b/>
                <w:sz w:val="22"/>
                <w:szCs w:val="22"/>
              </w:rPr>
            </w:pPr>
            <w:r w:rsidRPr="00FE5057">
              <w:rPr>
                <w:rFonts w:ascii="Arial" w:hAnsi="Arial" w:cs="Arial"/>
                <w:b/>
                <w:sz w:val="22"/>
                <w:szCs w:val="22"/>
              </w:rPr>
              <w:t>15:00</w:t>
            </w:r>
          </w:p>
        </w:tc>
        <w:tc>
          <w:tcPr>
            <w:tcW w:w="2123" w:type="dxa"/>
            <w:tcBorders>
              <w:bottom w:val="single" w:sz="4" w:space="0" w:color="auto"/>
            </w:tcBorders>
          </w:tcPr>
          <w:p w14:paraId="4B74CA7D" w14:textId="77777777" w:rsidR="0015459C" w:rsidRDefault="0015459C" w:rsidP="00D20595">
            <w:pPr>
              <w:widowControl w:val="0"/>
              <w:autoSpaceDE w:val="0"/>
              <w:autoSpaceDN w:val="0"/>
              <w:adjustRightInd w:val="0"/>
              <w:spacing w:line="480" w:lineRule="auto"/>
              <w:jc w:val="center"/>
              <w:rPr>
                <w:rFonts w:ascii="Arial" w:hAnsi="Arial"/>
              </w:rPr>
            </w:pPr>
            <w:proofErr w:type="gramStart"/>
            <w:r>
              <w:rPr>
                <w:rFonts w:ascii="Arial" w:hAnsi="Arial" w:cs="Arial"/>
                <w:b/>
                <w:sz w:val="22"/>
                <w:szCs w:val="22"/>
              </w:rPr>
              <w:t>p</w:t>
            </w:r>
            <w:proofErr w:type="gramEnd"/>
            <w:r>
              <w:rPr>
                <w:rFonts w:ascii="Arial" w:hAnsi="Arial" w:cs="Arial"/>
                <w:b/>
                <w:sz w:val="22"/>
                <w:szCs w:val="22"/>
              </w:rPr>
              <w:t xml:space="preserve">-value </w:t>
            </w:r>
          </w:p>
        </w:tc>
      </w:tr>
      <w:tr w:rsidR="0015459C" w14:paraId="70FE17DE" w14:textId="77777777" w:rsidTr="00602C22">
        <w:tc>
          <w:tcPr>
            <w:tcW w:w="1928" w:type="dxa"/>
            <w:tcBorders>
              <w:top w:val="single" w:sz="4" w:space="0" w:color="auto"/>
              <w:bottom w:val="nil"/>
            </w:tcBorders>
          </w:tcPr>
          <w:p w14:paraId="51EFB607" w14:textId="77777777" w:rsidR="0015459C" w:rsidRPr="00490817" w:rsidRDefault="0015459C" w:rsidP="00D20595">
            <w:pPr>
              <w:widowControl w:val="0"/>
              <w:autoSpaceDE w:val="0"/>
              <w:autoSpaceDN w:val="0"/>
              <w:adjustRightInd w:val="0"/>
              <w:spacing w:line="480" w:lineRule="auto"/>
              <w:rPr>
                <w:rFonts w:ascii="Arial" w:hAnsi="Arial" w:cs="Arial"/>
                <w:color w:val="000000"/>
              </w:rPr>
            </w:pPr>
            <w:r w:rsidRPr="00490817">
              <w:rPr>
                <w:rFonts w:ascii="Arial" w:hAnsi="Arial" w:cs="Arial"/>
                <w:b/>
              </w:rPr>
              <w:t xml:space="preserve">Hormone </w:t>
            </w:r>
          </w:p>
        </w:tc>
        <w:tc>
          <w:tcPr>
            <w:tcW w:w="2093" w:type="dxa"/>
            <w:tcBorders>
              <w:top w:val="single" w:sz="4" w:space="0" w:color="auto"/>
              <w:bottom w:val="nil"/>
            </w:tcBorders>
          </w:tcPr>
          <w:p w14:paraId="7427056E"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c>
          <w:tcPr>
            <w:tcW w:w="2143" w:type="dxa"/>
            <w:tcBorders>
              <w:top w:val="single" w:sz="4" w:space="0" w:color="auto"/>
              <w:bottom w:val="nil"/>
            </w:tcBorders>
          </w:tcPr>
          <w:p w14:paraId="18083377"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c>
          <w:tcPr>
            <w:tcW w:w="1561" w:type="dxa"/>
            <w:tcBorders>
              <w:top w:val="single" w:sz="4" w:space="0" w:color="auto"/>
              <w:bottom w:val="nil"/>
            </w:tcBorders>
          </w:tcPr>
          <w:p w14:paraId="0DAB224B"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c>
          <w:tcPr>
            <w:tcW w:w="2123" w:type="dxa"/>
            <w:tcBorders>
              <w:top w:val="single" w:sz="4" w:space="0" w:color="auto"/>
              <w:bottom w:val="nil"/>
            </w:tcBorders>
          </w:tcPr>
          <w:p w14:paraId="794F445A"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r>
      <w:tr w:rsidR="0015459C" w14:paraId="25D31565" w14:textId="77777777" w:rsidTr="00602C22">
        <w:tc>
          <w:tcPr>
            <w:tcW w:w="1928" w:type="dxa"/>
            <w:tcBorders>
              <w:top w:val="nil"/>
            </w:tcBorders>
          </w:tcPr>
          <w:p w14:paraId="5EE6A47F" w14:textId="77777777" w:rsidR="0015459C" w:rsidRDefault="0015459C" w:rsidP="00D20595">
            <w:pPr>
              <w:widowControl w:val="0"/>
              <w:autoSpaceDE w:val="0"/>
              <w:autoSpaceDN w:val="0"/>
              <w:adjustRightInd w:val="0"/>
              <w:spacing w:line="480" w:lineRule="auto"/>
              <w:rPr>
                <w:rFonts w:ascii="Arial" w:hAnsi="Arial"/>
              </w:rPr>
            </w:pPr>
            <w:r>
              <w:rPr>
                <w:rFonts w:ascii="Arial" w:hAnsi="Arial" w:cs="Arial"/>
                <w:color w:val="000000"/>
                <w:sz w:val="22"/>
                <w:szCs w:val="22"/>
              </w:rPr>
              <w:t>Ghrelin</w:t>
            </w:r>
          </w:p>
        </w:tc>
        <w:tc>
          <w:tcPr>
            <w:tcW w:w="2093" w:type="dxa"/>
            <w:tcBorders>
              <w:top w:val="nil"/>
            </w:tcBorders>
          </w:tcPr>
          <w:p w14:paraId="514177EC" w14:textId="77777777" w:rsidR="0015459C" w:rsidRPr="00CE76ED" w:rsidRDefault="00AA03E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C401CF">
              <w:rPr>
                <w:rFonts w:ascii="Arial" w:hAnsi="Arial"/>
                <w:sz w:val="22"/>
                <w:szCs w:val="22"/>
              </w:rPr>
              <w:t xml:space="preserve"> </w:t>
            </w:r>
            <w:r w:rsidR="0015459C" w:rsidRPr="00CE76ED">
              <w:rPr>
                <w:rFonts w:ascii="Arial" w:hAnsi="Arial"/>
                <w:sz w:val="22"/>
                <w:szCs w:val="22"/>
              </w:rPr>
              <w:t>702.5</w:t>
            </w:r>
            <w:r w:rsidR="0015459C" w:rsidRPr="00CE76ED">
              <w:rPr>
                <w:rFonts w:ascii="Arial" w:hAnsi="Arial" w:cs="Arial"/>
                <w:color w:val="000000"/>
                <w:sz w:val="22"/>
                <w:szCs w:val="22"/>
              </w:rPr>
              <w:t>±161.9</w:t>
            </w:r>
          </w:p>
        </w:tc>
        <w:tc>
          <w:tcPr>
            <w:tcW w:w="2143" w:type="dxa"/>
            <w:tcBorders>
              <w:top w:val="nil"/>
            </w:tcBorders>
          </w:tcPr>
          <w:p w14:paraId="57A28621" w14:textId="77777777" w:rsidR="0015459C" w:rsidRPr="00400E59" w:rsidRDefault="0015459C" w:rsidP="00D20595">
            <w:pPr>
              <w:widowControl w:val="0"/>
              <w:autoSpaceDE w:val="0"/>
              <w:autoSpaceDN w:val="0"/>
              <w:adjustRightInd w:val="0"/>
              <w:spacing w:line="480" w:lineRule="auto"/>
              <w:rPr>
                <w:rFonts w:ascii="Arial" w:hAnsi="Arial"/>
                <w:sz w:val="22"/>
                <w:szCs w:val="22"/>
                <w:vertAlign w:val="superscript"/>
              </w:rPr>
            </w:pPr>
            <w:r w:rsidRPr="00835312">
              <w:rPr>
                <w:rFonts w:ascii="Arial" w:hAnsi="Arial"/>
                <w:sz w:val="22"/>
                <w:szCs w:val="22"/>
              </w:rPr>
              <w:t>1492.6</w:t>
            </w:r>
            <w:r w:rsidRPr="00835312">
              <w:rPr>
                <w:rFonts w:ascii="Arial" w:hAnsi="Arial" w:cs="Arial"/>
                <w:color w:val="000000"/>
                <w:sz w:val="22"/>
                <w:szCs w:val="22"/>
              </w:rPr>
              <w:t>±156.2</w:t>
            </w:r>
          </w:p>
        </w:tc>
        <w:tc>
          <w:tcPr>
            <w:tcW w:w="1561" w:type="dxa"/>
            <w:tcBorders>
              <w:top w:val="nil"/>
            </w:tcBorders>
          </w:tcPr>
          <w:p w14:paraId="11008153" w14:textId="77777777" w:rsidR="0015459C" w:rsidRPr="00CE76ED" w:rsidRDefault="0015459C" w:rsidP="00D20595">
            <w:pPr>
              <w:widowControl w:val="0"/>
              <w:autoSpaceDE w:val="0"/>
              <w:autoSpaceDN w:val="0"/>
              <w:adjustRightInd w:val="0"/>
              <w:spacing w:line="480" w:lineRule="auto"/>
              <w:rPr>
                <w:rFonts w:ascii="Arial" w:hAnsi="Arial"/>
                <w:sz w:val="22"/>
                <w:szCs w:val="22"/>
              </w:rPr>
            </w:pPr>
            <w:r w:rsidRPr="00CE76ED">
              <w:rPr>
                <w:rFonts w:ascii="Arial" w:hAnsi="Arial"/>
                <w:sz w:val="22"/>
                <w:szCs w:val="22"/>
              </w:rPr>
              <w:t>1326.4</w:t>
            </w:r>
            <w:r w:rsidRPr="00CE76ED">
              <w:rPr>
                <w:rFonts w:ascii="Arial" w:hAnsi="Arial" w:cs="Arial"/>
                <w:color w:val="000000"/>
                <w:sz w:val="22"/>
                <w:szCs w:val="22"/>
              </w:rPr>
              <w:t>±119.1</w:t>
            </w:r>
          </w:p>
        </w:tc>
        <w:tc>
          <w:tcPr>
            <w:tcW w:w="2123" w:type="dxa"/>
            <w:tcBorders>
              <w:top w:val="nil"/>
            </w:tcBorders>
          </w:tcPr>
          <w:p w14:paraId="5B6DFEC1" w14:textId="77777777" w:rsidR="0015459C" w:rsidRPr="00835312" w:rsidRDefault="0015459C" w:rsidP="00D20595">
            <w:pPr>
              <w:widowControl w:val="0"/>
              <w:autoSpaceDE w:val="0"/>
              <w:autoSpaceDN w:val="0"/>
              <w:adjustRightInd w:val="0"/>
              <w:spacing w:line="480" w:lineRule="auto"/>
              <w:jc w:val="center"/>
              <w:rPr>
                <w:rFonts w:ascii="Arial" w:hAnsi="Arial"/>
                <w:sz w:val="22"/>
                <w:szCs w:val="22"/>
                <w:vertAlign w:val="superscript"/>
              </w:rPr>
            </w:pPr>
            <w:r>
              <w:rPr>
                <w:rFonts w:ascii="Arial" w:hAnsi="Arial"/>
                <w:sz w:val="22"/>
                <w:szCs w:val="22"/>
              </w:rPr>
              <w:t>&lt;0.05</w:t>
            </w:r>
            <w:r>
              <w:rPr>
                <w:rFonts w:ascii="Arial" w:hAnsi="Arial"/>
                <w:sz w:val="22"/>
                <w:szCs w:val="22"/>
                <w:vertAlign w:val="superscript"/>
              </w:rPr>
              <w:t>a</w:t>
            </w:r>
          </w:p>
        </w:tc>
      </w:tr>
      <w:tr w:rsidR="0015459C" w14:paraId="1120068A" w14:textId="77777777" w:rsidTr="00602C22">
        <w:tc>
          <w:tcPr>
            <w:tcW w:w="1928" w:type="dxa"/>
          </w:tcPr>
          <w:p w14:paraId="2DE89105" w14:textId="77777777" w:rsidR="0015459C" w:rsidRDefault="0015459C" w:rsidP="00D20595">
            <w:pPr>
              <w:widowControl w:val="0"/>
              <w:autoSpaceDE w:val="0"/>
              <w:autoSpaceDN w:val="0"/>
              <w:adjustRightInd w:val="0"/>
              <w:spacing w:line="480" w:lineRule="auto"/>
              <w:rPr>
                <w:rFonts w:ascii="Arial" w:hAnsi="Arial"/>
              </w:rPr>
            </w:pPr>
            <w:r>
              <w:rPr>
                <w:rFonts w:ascii="Arial" w:hAnsi="Arial" w:cs="Arial"/>
                <w:color w:val="000000"/>
                <w:sz w:val="22"/>
                <w:szCs w:val="22"/>
              </w:rPr>
              <w:t>Leptin</w:t>
            </w:r>
          </w:p>
        </w:tc>
        <w:tc>
          <w:tcPr>
            <w:tcW w:w="2093" w:type="dxa"/>
          </w:tcPr>
          <w:p w14:paraId="4E1031AD" w14:textId="77777777" w:rsidR="0015459C" w:rsidRPr="00CE76ED" w:rsidRDefault="00AA03E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C401CF">
              <w:rPr>
                <w:rFonts w:ascii="Arial" w:hAnsi="Arial"/>
                <w:sz w:val="22"/>
                <w:szCs w:val="22"/>
              </w:rPr>
              <w:t xml:space="preserve"> </w:t>
            </w:r>
            <w:r w:rsidR="0015459C" w:rsidRPr="00CE76ED">
              <w:rPr>
                <w:rFonts w:ascii="Arial" w:hAnsi="Arial"/>
                <w:sz w:val="22"/>
                <w:szCs w:val="22"/>
              </w:rPr>
              <w:t>298.1</w:t>
            </w:r>
            <w:r w:rsidR="0015459C">
              <w:rPr>
                <w:rFonts w:ascii="Arial" w:hAnsi="Arial" w:cs="Arial"/>
                <w:color w:val="000000"/>
                <w:sz w:val="22"/>
                <w:szCs w:val="22"/>
              </w:rPr>
              <w:t>±0.0</w:t>
            </w:r>
          </w:p>
        </w:tc>
        <w:tc>
          <w:tcPr>
            <w:tcW w:w="2143" w:type="dxa"/>
          </w:tcPr>
          <w:p w14:paraId="5E4E90EA" w14:textId="77777777" w:rsidR="0015459C" w:rsidRPr="00CE76ED" w:rsidRDefault="00AA03E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268.7</w:t>
            </w:r>
            <w:r w:rsidR="0015459C">
              <w:rPr>
                <w:rFonts w:ascii="Arial" w:hAnsi="Arial" w:cs="Arial"/>
                <w:color w:val="000000"/>
                <w:sz w:val="22"/>
                <w:szCs w:val="22"/>
              </w:rPr>
              <w:t>±25.2</w:t>
            </w:r>
          </w:p>
        </w:tc>
        <w:tc>
          <w:tcPr>
            <w:tcW w:w="1561" w:type="dxa"/>
          </w:tcPr>
          <w:p w14:paraId="071A3D66" w14:textId="77777777" w:rsidR="0015459C" w:rsidRDefault="00AA03E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275.5</w:t>
            </w:r>
            <w:r w:rsidR="0015459C">
              <w:rPr>
                <w:rFonts w:ascii="Arial" w:hAnsi="Arial" w:cs="Arial"/>
                <w:color w:val="000000"/>
                <w:sz w:val="22"/>
                <w:szCs w:val="22"/>
              </w:rPr>
              <w:t>±25.2</w:t>
            </w:r>
          </w:p>
        </w:tc>
        <w:tc>
          <w:tcPr>
            <w:tcW w:w="2123" w:type="dxa"/>
          </w:tcPr>
          <w:p w14:paraId="14B2241C" w14:textId="77777777" w:rsidR="0015459C" w:rsidRPr="00CE76ED" w:rsidRDefault="0015459C" w:rsidP="00D20595">
            <w:pPr>
              <w:widowControl w:val="0"/>
              <w:autoSpaceDE w:val="0"/>
              <w:autoSpaceDN w:val="0"/>
              <w:adjustRightInd w:val="0"/>
              <w:spacing w:line="480" w:lineRule="auto"/>
              <w:jc w:val="right"/>
              <w:rPr>
                <w:rFonts w:ascii="Arial" w:hAnsi="Arial"/>
                <w:sz w:val="22"/>
                <w:szCs w:val="22"/>
              </w:rPr>
            </w:pPr>
          </w:p>
        </w:tc>
      </w:tr>
      <w:tr w:rsidR="0015459C" w14:paraId="7FF86405" w14:textId="77777777" w:rsidTr="00602C22">
        <w:tc>
          <w:tcPr>
            <w:tcW w:w="1928" w:type="dxa"/>
          </w:tcPr>
          <w:p w14:paraId="14A790BC" w14:textId="77777777" w:rsidR="0015459C" w:rsidRDefault="0015459C" w:rsidP="00D20595">
            <w:pPr>
              <w:widowControl w:val="0"/>
              <w:autoSpaceDE w:val="0"/>
              <w:autoSpaceDN w:val="0"/>
              <w:adjustRightInd w:val="0"/>
              <w:spacing w:line="480" w:lineRule="auto"/>
              <w:rPr>
                <w:rFonts w:ascii="Arial" w:hAnsi="Arial"/>
              </w:rPr>
            </w:pPr>
            <w:r>
              <w:rPr>
                <w:rFonts w:ascii="Arial" w:hAnsi="Arial" w:cs="Arial"/>
                <w:color w:val="000000"/>
                <w:sz w:val="22"/>
                <w:szCs w:val="22"/>
              </w:rPr>
              <w:t>Insulin</w:t>
            </w:r>
          </w:p>
        </w:tc>
        <w:tc>
          <w:tcPr>
            <w:tcW w:w="2093" w:type="dxa"/>
          </w:tcPr>
          <w:p w14:paraId="7B684367" w14:textId="77777777" w:rsidR="0015459C" w:rsidRPr="00CE76ED" w:rsidRDefault="00AA03E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C401CF">
              <w:rPr>
                <w:rFonts w:ascii="Arial" w:hAnsi="Arial"/>
                <w:sz w:val="22"/>
                <w:szCs w:val="22"/>
              </w:rPr>
              <w:t xml:space="preserve"> </w:t>
            </w:r>
            <w:r w:rsidR="0015459C">
              <w:rPr>
                <w:rFonts w:ascii="Arial" w:hAnsi="Arial"/>
                <w:sz w:val="22"/>
                <w:szCs w:val="22"/>
              </w:rPr>
              <w:t>928.6</w:t>
            </w:r>
            <w:r w:rsidR="0015459C">
              <w:rPr>
                <w:rFonts w:ascii="Arial" w:hAnsi="Arial" w:cs="Arial"/>
                <w:color w:val="000000"/>
                <w:sz w:val="22"/>
                <w:szCs w:val="22"/>
              </w:rPr>
              <w:t>±93.5</w:t>
            </w:r>
          </w:p>
        </w:tc>
        <w:tc>
          <w:tcPr>
            <w:tcW w:w="2143" w:type="dxa"/>
          </w:tcPr>
          <w:p w14:paraId="69EEAEB7" w14:textId="77777777" w:rsidR="0015459C" w:rsidRPr="00CE76ED" w:rsidRDefault="0015459C" w:rsidP="00D20595">
            <w:pPr>
              <w:widowControl w:val="0"/>
              <w:autoSpaceDE w:val="0"/>
              <w:autoSpaceDN w:val="0"/>
              <w:adjustRightInd w:val="0"/>
              <w:spacing w:line="480" w:lineRule="auto"/>
              <w:rPr>
                <w:rFonts w:ascii="Arial" w:hAnsi="Arial"/>
                <w:sz w:val="22"/>
                <w:szCs w:val="22"/>
              </w:rPr>
            </w:pPr>
            <w:r>
              <w:rPr>
                <w:rFonts w:ascii="Arial" w:hAnsi="Arial"/>
                <w:sz w:val="22"/>
                <w:szCs w:val="22"/>
              </w:rPr>
              <w:t>1022.6</w:t>
            </w:r>
            <w:r>
              <w:rPr>
                <w:rFonts w:ascii="Arial" w:hAnsi="Arial" w:cs="Arial"/>
                <w:color w:val="000000"/>
                <w:sz w:val="22"/>
                <w:szCs w:val="22"/>
              </w:rPr>
              <w:t>±133.05</w:t>
            </w:r>
          </w:p>
        </w:tc>
        <w:tc>
          <w:tcPr>
            <w:tcW w:w="1561" w:type="dxa"/>
          </w:tcPr>
          <w:p w14:paraId="04B19CB1" w14:textId="77777777" w:rsidR="0015459C" w:rsidRDefault="0015459C" w:rsidP="00D20595">
            <w:pPr>
              <w:widowControl w:val="0"/>
              <w:autoSpaceDE w:val="0"/>
              <w:autoSpaceDN w:val="0"/>
              <w:adjustRightInd w:val="0"/>
              <w:spacing w:line="480" w:lineRule="auto"/>
              <w:rPr>
                <w:rFonts w:ascii="Arial" w:hAnsi="Arial"/>
                <w:sz w:val="22"/>
                <w:szCs w:val="22"/>
              </w:rPr>
            </w:pPr>
            <w:r>
              <w:rPr>
                <w:rFonts w:ascii="Arial" w:hAnsi="Arial"/>
                <w:sz w:val="22"/>
                <w:szCs w:val="22"/>
              </w:rPr>
              <w:t>1290.9</w:t>
            </w:r>
            <w:r>
              <w:rPr>
                <w:rFonts w:ascii="Arial" w:hAnsi="Arial" w:cs="Arial"/>
                <w:color w:val="000000"/>
                <w:sz w:val="22"/>
                <w:szCs w:val="22"/>
              </w:rPr>
              <w:t>±110.1</w:t>
            </w:r>
          </w:p>
        </w:tc>
        <w:tc>
          <w:tcPr>
            <w:tcW w:w="2123" w:type="dxa"/>
          </w:tcPr>
          <w:p w14:paraId="2CD4EF98" w14:textId="77777777" w:rsidR="0015459C" w:rsidRPr="00CE76ED" w:rsidRDefault="0015459C" w:rsidP="00D20595">
            <w:pPr>
              <w:widowControl w:val="0"/>
              <w:autoSpaceDE w:val="0"/>
              <w:autoSpaceDN w:val="0"/>
              <w:adjustRightInd w:val="0"/>
              <w:spacing w:line="480" w:lineRule="auto"/>
              <w:jc w:val="right"/>
              <w:rPr>
                <w:rFonts w:ascii="Arial" w:hAnsi="Arial"/>
                <w:sz w:val="22"/>
                <w:szCs w:val="22"/>
              </w:rPr>
            </w:pPr>
          </w:p>
        </w:tc>
      </w:tr>
      <w:tr w:rsidR="0015459C" w14:paraId="5767A6E6" w14:textId="77777777" w:rsidTr="00602C22">
        <w:tc>
          <w:tcPr>
            <w:tcW w:w="1928" w:type="dxa"/>
          </w:tcPr>
          <w:p w14:paraId="772210CB" w14:textId="77777777" w:rsidR="0015459C" w:rsidRDefault="0015459C" w:rsidP="00D20595">
            <w:pPr>
              <w:widowControl w:val="0"/>
              <w:autoSpaceDE w:val="0"/>
              <w:autoSpaceDN w:val="0"/>
              <w:adjustRightInd w:val="0"/>
              <w:spacing w:line="480" w:lineRule="auto"/>
              <w:rPr>
                <w:rFonts w:ascii="Arial" w:hAnsi="Arial"/>
              </w:rPr>
            </w:pPr>
            <w:r>
              <w:rPr>
                <w:rFonts w:ascii="Arial" w:hAnsi="Arial" w:cs="Arial"/>
                <w:color w:val="000000"/>
                <w:sz w:val="22"/>
                <w:szCs w:val="22"/>
              </w:rPr>
              <w:t>GIP</w:t>
            </w:r>
          </w:p>
        </w:tc>
        <w:tc>
          <w:tcPr>
            <w:tcW w:w="2093" w:type="dxa"/>
          </w:tcPr>
          <w:p w14:paraId="70EB3B0C" w14:textId="77777777" w:rsidR="0015459C" w:rsidRPr="00CE76ED" w:rsidRDefault="00AA03E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C401CF">
              <w:rPr>
                <w:rFonts w:ascii="Arial" w:hAnsi="Arial"/>
                <w:sz w:val="22"/>
                <w:szCs w:val="22"/>
              </w:rPr>
              <w:t xml:space="preserve"> </w:t>
            </w:r>
            <w:r w:rsidR="0015459C">
              <w:rPr>
                <w:rFonts w:ascii="Arial" w:hAnsi="Arial"/>
                <w:sz w:val="22"/>
                <w:szCs w:val="22"/>
              </w:rPr>
              <w:t>53.8</w:t>
            </w:r>
            <w:r w:rsidR="0015459C">
              <w:rPr>
                <w:rFonts w:ascii="Arial" w:hAnsi="Arial" w:cs="Arial"/>
                <w:color w:val="000000"/>
                <w:sz w:val="22"/>
                <w:szCs w:val="22"/>
              </w:rPr>
              <w:t>±3.02</w:t>
            </w:r>
          </w:p>
        </w:tc>
        <w:tc>
          <w:tcPr>
            <w:tcW w:w="2143" w:type="dxa"/>
          </w:tcPr>
          <w:p w14:paraId="0B452C94" w14:textId="77777777" w:rsidR="0015459C" w:rsidRPr="00CE76ED" w:rsidRDefault="00AA03E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50.2</w:t>
            </w:r>
            <w:r w:rsidR="0015459C">
              <w:rPr>
                <w:rFonts w:ascii="Arial" w:hAnsi="Arial" w:cs="Arial"/>
                <w:color w:val="000000"/>
                <w:sz w:val="22"/>
                <w:szCs w:val="22"/>
              </w:rPr>
              <w:t>±3.0</w:t>
            </w:r>
          </w:p>
        </w:tc>
        <w:tc>
          <w:tcPr>
            <w:tcW w:w="1561" w:type="dxa"/>
          </w:tcPr>
          <w:p w14:paraId="77CBEEEC" w14:textId="77777777" w:rsidR="0015459C" w:rsidRDefault="00AA03E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51.4</w:t>
            </w:r>
            <w:r w:rsidR="0015459C">
              <w:rPr>
                <w:rFonts w:ascii="Arial" w:hAnsi="Arial" w:cs="Arial"/>
                <w:color w:val="000000"/>
                <w:sz w:val="22"/>
                <w:szCs w:val="22"/>
              </w:rPr>
              <w:t>±2.3</w:t>
            </w:r>
          </w:p>
        </w:tc>
        <w:tc>
          <w:tcPr>
            <w:tcW w:w="2123" w:type="dxa"/>
          </w:tcPr>
          <w:p w14:paraId="6599C6AC" w14:textId="77777777" w:rsidR="0015459C" w:rsidRPr="00CE76ED" w:rsidRDefault="0015459C" w:rsidP="00D20595">
            <w:pPr>
              <w:widowControl w:val="0"/>
              <w:autoSpaceDE w:val="0"/>
              <w:autoSpaceDN w:val="0"/>
              <w:adjustRightInd w:val="0"/>
              <w:spacing w:line="480" w:lineRule="auto"/>
              <w:jc w:val="right"/>
              <w:rPr>
                <w:rFonts w:ascii="Arial" w:hAnsi="Arial"/>
                <w:sz w:val="22"/>
                <w:szCs w:val="22"/>
              </w:rPr>
            </w:pPr>
          </w:p>
        </w:tc>
      </w:tr>
      <w:tr w:rsidR="0015459C" w14:paraId="1AF005FF" w14:textId="77777777" w:rsidTr="00602C22">
        <w:tc>
          <w:tcPr>
            <w:tcW w:w="1928" w:type="dxa"/>
            <w:tcBorders>
              <w:bottom w:val="nil"/>
            </w:tcBorders>
          </w:tcPr>
          <w:p w14:paraId="3E7AAD68" w14:textId="77777777" w:rsidR="0015459C" w:rsidRDefault="0015459C" w:rsidP="00D20595">
            <w:pPr>
              <w:widowControl w:val="0"/>
              <w:autoSpaceDE w:val="0"/>
              <w:autoSpaceDN w:val="0"/>
              <w:adjustRightInd w:val="0"/>
              <w:spacing w:line="480" w:lineRule="auto"/>
              <w:rPr>
                <w:rFonts w:ascii="Arial" w:hAnsi="Arial"/>
              </w:rPr>
            </w:pPr>
            <w:r w:rsidRPr="00FE5057">
              <w:rPr>
                <w:rFonts w:ascii="Arial" w:hAnsi="Arial" w:cs="Arial"/>
                <w:color w:val="000000"/>
                <w:sz w:val="22"/>
                <w:szCs w:val="22"/>
              </w:rPr>
              <w:t>GLP1</w:t>
            </w:r>
          </w:p>
        </w:tc>
        <w:tc>
          <w:tcPr>
            <w:tcW w:w="2093" w:type="dxa"/>
            <w:tcBorders>
              <w:bottom w:val="nil"/>
            </w:tcBorders>
          </w:tcPr>
          <w:p w14:paraId="035B3F2F" w14:textId="77777777" w:rsidR="0015459C" w:rsidRPr="00CE76ED" w:rsidRDefault="00AA03E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C401CF">
              <w:rPr>
                <w:rFonts w:ascii="Arial" w:hAnsi="Arial"/>
                <w:sz w:val="22"/>
                <w:szCs w:val="22"/>
              </w:rPr>
              <w:t xml:space="preserve">   </w:t>
            </w:r>
            <w:r w:rsidR="0015459C">
              <w:rPr>
                <w:rFonts w:ascii="Arial" w:hAnsi="Arial"/>
                <w:sz w:val="22"/>
                <w:szCs w:val="22"/>
              </w:rPr>
              <w:t>7.7</w:t>
            </w:r>
            <w:r w:rsidR="0015459C">
              <w:rPr>
                <w:rFonts w:ascii="Arial" w:hAnsi="Arial" w:cs="Arial"/>
                <w:color w:val="000000"/>
                <w:sz w:val="22"/>
                <w:szCs w:val="22"/>
              </w:rPr>
              <w:t>±0.5</w:t>
            </w:r>
          </w:p>
        </w:tc>
        <w:tc>
          <w:tcPr>
            <w:tcW w:w="2143" w:type="dxa"/>
            <w:tcBorders>
              <w:bottom w:val="nil"/>
            </w:tcBorders>
          </w:tcPr>
          <w:p w14:paraId="5E939DBA" w14:textId="77777777" w:rsidR="0015459C" w:rsidRDefault="00AA03E5" w:rsidP="00D20595">
            <w:pPr>
              <w:widowControl w:val="0"/>
              <w:autoSpaceDE w:val="0"/>
              <w:autoSpaceDN w:val="0"/>
              <w:adjustRightInd w:val="0"/>
              <w:spacing w:line="480" w:lineRule="auto"/>
              <w:rPr>
                <w:rFonts w:ascii="Arial" w:hAnsi="Arial" w:cs="Arial"/>
                <w:color w:val="000000"/>
                <w:sz w:val="22"/>
                <w:szCs w:val="22"/>
              </w:rPr>
            </w:pPr>
            <w:r>
              <w:rPr>
                <w:rFonts w:ascii="Arial" w:hAnsi="Arial"/>
                <w:sz w:val="22"/>
                <w:szCs w:val="22"/>
              </w:rPr>
              <w:t xml:space="preserve">      </w:t>
            </w:r>
            <w:r w:rsidR="0015459C">
              <w:rPr>
                <w:rFonts w:ascii="Arial" w:hAnsi="Arial"/>
                <w:sz w:val="22"/>
                <w:szCs w:val="22"/>
              </w:rPr>
              <w:t>7.0</w:t>
            </w:r>
            <w:r w:rsidR="0015459C">
              <w:rPr>
                <w:rFonts w:ascii="Arial" w:hAnsi="Arial" w:cs="Arial"/>
                <w:color w:val="000000"/>
                <w:sz w:val="22"/>
                <w:szCs w:val="22"/>
              </w:rPr>
              <w:t>±0.4</w:t>
            </w:r>
          </w:p>
          <w:p w14:paraId="6016D67D" w14:textId="77777777" w:rsidR="0015459C" w:rsidRPr="00CE76ED" w:rsidRDefault="0015459C" w:rsidP="00D20595">
            <w:pPr>
              <w:widowControl w:val="0"/>
              <w:autoSpaceDE w:val="0"/>
              <w:autoSpaceDN w:val="0"/>
              <w:adjustRightInd w:val="0"/>
              <w:spacing w:line="480" w:lineRule="auto"/>
              <w:rPr>
                <w:rFonts w:ascii="Arial" w:hAnsi="Arial"/>
                <w:sz w:val="22"/>
                <w:szCs w:val="22"/>
              </w:rPr>
            </w:pPr>
          </w:p>
        </w:tc>
        <w:tc>
          <w:tcPr>
            <w:tcW w:w="1561" w:type="dxa"/>
            <w:tcBorders>
              <w:bottom w:val="nil"/>
            </w:tcBorders>
          </w:tcPr>
          <w:p w14:paraId="672F6528" w14:textId="77777777" w:rsidR="0015459C" w:rsidRDefault="00AA03E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7.0</w:t>
            </w:r>
            <w:r w:rsidR="0015459C">
              <w:rPr>
                <w:rFonts w:ascii="Arial" w:hAnsi="Arial" w:cs="Arial"/>
                <w:color w:val="000000"/>
                <w:sz w:val="22"/>
                <w:szCs w:val="22"/>
              </w:rPr>
              <w:t>±0.5</w:t>
            </w:r>
          </w:p>
        </w:tc>
        <w:tc>
          <w:tcPr>
            <w:tcW w:w="2123" w:type="dxa"/>
            <w:tcBorders>
              <w:bottom w:val="nil"/>
            </w:tcBorders>
          </w:tcPr>
          <w:p w14:paraId="20489104" w14:textId="77777777" w:rsidR="0015459C" w:rsidRPr="00CE76ED" w:rsidRDefault="0015459C" w:rsidP="00D20595">
            <w:pPr>
              <w:widowControl w:val="0"/>
              <w:autoSpaceDE w:val="0"/>
              <w:autoSpaceDN w:val="0"/>
              <w:adjustRightInd w:val="0"/>
              <w:spacing w:line="480" w:lineRule="auto"/>
              <w:jc w:val="right"/>
              <w:rPr>
                <w:rFonts w:ascii="Arial" w:hAnsi="Arial"/>
                <w:sz w:val="22"/>
                <w:szCs w:val="22"/>
              </w:rPr>
            </w:pPr>
          </w:p>
        </w:tc>
      </w:tr>
      <w:tr w:rsidR="0015459C" w:rsidRPr="00A019D7" w14:paraId="679BE08C" w14:textId="77777777" w:rsidTr="00602C22">
        <w:tc>
          <w:tcPr>
            <w:tcW w:w="1928" w:type="dxa"/>
            <w:tcBorders>
              <w:bottom w:val="nil"/>
            </w:tcBorders>
          </w:tcPr>
          <w:p w14:paraId="0522BC51" w14:textId="77777777" w:rsidR="0015459C" w:rsidRPr="00A019D7" w:rsidRDefault="0015459C" w:rsidP="00D20595">
            <w:pPr>
              <w:widowControl w:val="0"/>
              <w:autoSpaceDE w:val="0"/>
              <w:autoSpaceDN w:val="0"/>
              <w:adjustRightInd w:val="0"/>
              <w:spacing w:line="480" w:lineRule="auto"/>
              <w:jc w:val="both"/>
              <w:rPr>
                <w:rFonts w:ascii="Arial" w:hAnsi="Arial"/>
              </w:rPr>
            </w:pPr>
          </w:p>
        </w:tc>
        <w:tc>
          <w:tcPr>
            <w:tcW w:w="2093" w:type="dxa"/>
            <w:tcBorders>
              <w:bottom w:val="nil"/>
            </w:tcBorders>
          </w:tcPr>
          <w:p w14:paraId="209F1724" w14:textId="77777777" w:rsidR="0015459C" w:rsidRPr="00A019D7" w:rsidRDefault="0015459C" w:rsidP="00D20595">
            <w:pPr>
              <w:widowControl w:val="0"/>
              <w:autoSpaceDE w:val="0"/>
              <w:autoSpaceDN w:val="0"/>
              <w:adjustRightInd w:val="0"/>
              <w:spacing w:line="480" w:lineRule="auto"/>
              <w:jc w:val="both"/>
              <w:rPr>
                <w:rFonts w:ascii="Arial" w:hAnsi="Arial"/>
                <w:sz w:val="22"/>
                <w:szCs w:val="22"/>
              </w:rPr>
            </w:pPr>
          </w:p>
        </w:tc>
        <w:tc>
          <w:tcPr>
            <w:tcW w:w="2143" w:type="dxa"/>
            <w:tcBorders>
              <w:bottom w:val="nil"/>
            </w:tcBorders>
          </w:tcPr>
          <w:p w14:paraId="12477DE6" w14:textId="77777777" w:rsidR="0015459C" w:rsidRPr="00490817" w:rsidRDefault="0015459C" w:rsidP="00D20595">
            <w:pPr>
              <w:widowControl w:val="0"/>
              <w:autoSpaceDE w:val="0"/>
              <w:autoSpaceDN w:val="0"/>
              <w:adjustRightInd w:val="0"/>
              <w:spacing w:line="480" w:lineRule="auto"/>
              <w:jc w:val="center"/>
              <w:rPr>
                <w:rFonts w:ascii="Arial" w:hAnsi="Arial" w:cs="Arial"/>
                <w:b/>
                <w:color w:val="000000"/>
              </w:rPr>
            </w:pPr>
            <w:r>
              <w:rPr>
                <w:rFonts w:ascii="Arial" w:hAnsi="Arial" w:cs="Arial"/>
                <w:b/>
                <w:color w:val="000000"/>
              </w:rPr>
              <w:t>Fasted Fed</w:t>
            </w:r>
          </w:p>
          <w:p w14:paraId="5BB58E69" w14:textId="77777777" w:rsidR="0015459C" w:rsidRPr="00A019D7" w:rsidRDefault="0015459C" w:rsidP="00D20595">
            <w:pPr>
              <w:widowControl w:val="0"/>
              <w:autoSpaceDE w:val="0"/>
              <w:autoSpaceDN w:val="0"/>
              <w:adjustRightInd w:val="0"/>
              <w:spacing w:line="480" w:lineRule="auto"/>
              <w:jc w:val="center"/>
              <w:rPr>
                <w:rFonts w:ascii="Arial" w:hAnsi="Arial"/>
                <w:sz w:val="22"/>
                <w:szCs w:val="22"/>
              </w:rPr>
            </w:pPr>
          </w:p>
        </w:tc>
        <w:tc>
          <w:tcPr>
            <w:tcW w:w="1561" w:type="dxa"/>
            <w:tcBorders>
              <w:bottom w:val="nil"/>
            </w:tcBorders>
          </w:tcPr>
          <w:p w14:paraId="5F253247" w14:textId="77777777" w:rsidR="0015459C" w:rsidRPr="00A019D7" w:rsidRDefault="0015459C" w:rsidP="00D20595">
            <w:pPr>
              <w:widowControl w:val="0"/>
              <w:autoSpaceDE w:val="0"/>
              <w:autoSpaceDN w:val="0"/>
              <w:adjustRightInd w:val="0"/>
              <w:spacing w:line="480" w:lineRule="auto"/>
              <w:jc w:val="both"/>
              <w:rPr>
                <w:rFonts w:ascii="Arial" w:hAnsi="Arial"/>
                <w:sz w:val="22"/>
                <w:szCs w:val="22"/>
              </w:rPr>
            </w:pPr>
          </w:p>
        </w:tc>
        <w:tc>
          <w:tcPr>
            <w:tcW w:w="2123" w:type="dxa"/>
            <w:tcBorders>
              <w:bottom w:val="nil"/>
            </w:tcBorders>
          </w:tcPr>
          <w:p w14:paraId="3106A95B" w14:textId="77777777" w:rsidR="0015459C" w:rsidRPr="00A019D7" w:rsidRDefault="0015459C" w:rsidP="00D20595">
            <w:pPr>
              <w:widowControl w:val="0"/>
              <w:autoSpaceDE w:val="0"/>
              <w:autoSpaceDN w:val="0"/>
              <w:adjustRightInd w:val="0"/>
              <w:spacing w:line="480" w:lineRule="auto"/>
              <w:jc w:val="both"/>
              <w:rPr>
                <w:rFonts w:ascii="Arial" w:hAnsi="Arial"/>
                <w:sz w:val="22"/>
                <w:szCs w:val="22"/>
              </w:rPr>
            </w:pPr>
          </w:p>
        </w:tc>
      </w:tr>
      <w:tr w:rsidR="0015459C" w:rsidRPr="00A019D7" w14:paraId="6E9F74EC" w14:textId="77777777" w:rsidTr="00602C22">
        <w:tc>
          <w:tcPr>
            <w:tcW w:w="1928" w:type="dxa"/>
            <w:tcBorders>
              <w:top w:val="nil"/>
            </w:tcBorders>
          </w:tcPr>
          <w:p w14:paraId="6202488D" w14:textId="77777777" w:rsidR="0015459C" w:rsidRPr="00A019D7" w:rsidRDefault="0015459C" w:rsidP="00D20595">
            <w:pPr>
              <w:widowControl w:val="0"/>
              <w:autoSpaceDE w:val="0"/>
              <w:autoSpaceDN w:val="0"/>
              <w:adjustRightInd w:val="0"/>
              <w:spacing w:line="480" w:lineRule="auto"/>
              <w:rPr>
                <w:rFonts w:ascii="Arial" w:hAnsi="Arial"/>
              </w:rPr>
            </w:pPr>
            <w:r w:rsidRPr="00A019D7">
              <w:rPr>
                <w:rFonts w:ascii="Arial" w:hAnsi="Arial" w:cs="Arial"/>
                <w:color w:val="000000"/>
                <w:sz w:val="22"/>
                <w:szCs w:val="22"/>
              </w:rPr>
              <w:t>Ghrelin</w:t>
            </w:r>
          </w:p>
        </w:tc>
        <w:tc>
          <w:tcPr>
            <w:tcW w:w="2093" w:type="dxa"/>
            <w:tcBorders>
              <w:top w:val="nil"/>
            </w:tcBorders>
          </w:tcPr>
          <w:p w14:paraId="0CA6466E" w14:textId="77777777" w:rsidR="0015459C" w:rsidRPr="00A019D7" w:rsidRDefault="0015459C" w:rsidP="00D20595">
            <w:pPr>
              <w:widowControl w:val="0"/>
              <w:autoSpaceDE w:val="0"/>
              <w:autoSpaceDN w:val="0"/>
              <w:adjustRightInd w:val="0"/>
              <w:spacing w:line="480" w:lineRule="auto"/>
              <w:rPr>
                <w:rFonts w:ascii="Arial" w:hAnsi="Arial"/>
                <w:sz w:val="22"/>
                <w:szCs w:val="22"/>
              </w:rPr>
            </w:pPr>
            <w:r w:rsidRPr="00A019D7">
              <w:rPr>
                <w:rFonts w:ascii="Arial" w:hAnsi="Arial"/>
                <w:sz w:val="22"/>
                <w:szCs w:val="22"/>
              </w:rPr>
              <w:t>1233.4</w:t>
            </w:r>
            <w:r w:rsidRPr="00A019D7">
              <w:rPr>
                <w:rFonts w:ascii="Arial" w:hAnsi="Arial" w:cs="Arial"/>
                <w:color w:val="000000"/>
                <w:sz w:val="22"/>
                <w:szCs w:val="22"/>
              </w:rPr>
              <w:t>±250.8</w:t>
            </w:r>
          </w:p>
        </w:tc>
        <w:tc>
          <w:tcPr>
            <w:tcW w:w="2143" w:type="dxa"/>
            <w:tcBorders>
              <w:top w:val="nil"/>
            </w:tcBorders>
          </w:tcPr>
          <w:p w14:paraId="61E8B171" w14:textId="77777777" w:rsidR="0015459C" w:rsidRPr="00A019D7" w:rsidRDefault="00AA03E5"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sidRPr="00A019D7">
              <w:rPr>
                <w:rFonts w:ascii="Arial" w:hAnsi="Arial"/>
                <w:sz w:val="22"/>
                <w:szCs w:val="22"/>
              </w:rPr>
              <w:t>757.2</w:t>
            </w:r>
            <w:r w:rsidR="0015459C" w:rsidRPr="00A019D7">
              <w:rPr>
                <w:rFonts w:ascii="Arial" w:hAnsi="Arial" w:cs="Arial"/>
                <w:color w:val="000000"/>
                <w:sz w:val="22"/>
                <w:szCs w:val="22"/>
              </w:rPr>
              <w:t>±95.1</w:t>
            </w:r>
            <w:r w:rsidR="0015459C" w:rsidRPr="00A019D7">
              <w:rPr>
                <w:rFonts w:ascii="Arial" w:hAnsi="Arial" w:cs="Arial"/>
                <w:color w:val="000000"/>
                <w:sz w:val="22"/>
                <w:szCs w:val="22"/>
                <w:vertAlign w:val="superscript"/>
              </w:rPr>
              <w:t>1</w:t>
            </w:r>
          </w:p>
        </w:tc>
        <w:tc>
          <w:tcPr>
            <w:tcW w:w="1561" w:type="dxa"/>
            <w:tcBorders>
              <w:top w:val="nil"/>
            </w:tcBorders>
          </w:tcPr>
          <w:p w14:paraId="36EC20D5" w14:textId="77777777" w:rsidR="0015459C" w:rsidRPr="00A019D7" w:rsidRDefault="0015459C" w:rsidP="00D20595">
            <w:pPr>
              <w:widowControl w:val="0"/>
              <w:autoSpaceDE w:val="0"/>
              <w:autoSpaceDN w:val="0"/>
              <w:adjustRightInd w:val="0"/>
              <w:spacing w:line="480" w:lineRule="auto"/>
              <w:rPr>
                <w:rFonts w:ascii="Arial" w:hAnsi="Arial"/>
                <w:sz w:val="22"/>
                <w:szCs w:val="22"/>
              </w:rPr>
            </w:pPr>
            <w:r w:rsidRPr="00A019D7">
              <w:rPr>
                <w:rFonts w:ascii="Arial" w:hAnsi="Arial"/>
                <w:sz w:val="22"/>
                <w:szCs w:val="22"/>
              </w:rPr>
              <w:t>1142.6</w:t>
            </w:r>
            <w:r w:rsidRPr="00A019D7">
              <w:rPr>
                <w:rFonts w:ascii="Arial" w:hAnsi="Arial" w:cs="Arial"/>
                <w:color w:val="000000"/>
                <w:sz w:val="22"/>
                <w:szCs w:val="22"/>
              </w:rPr>
              <w:t>±47.9</w:t>
            </w:r>
          </w:p>
        </w:tc>
        <w:tc>
          <w:tcPr>
            <w:tcW w:w="2123" w:type="dxa"/>
            <w:tcBorders>
              <w:top w:val="nil"/>
            </w:tcBorders>
          </w:tcPr>
          <w:p w14:paraId="1BB44A9F" w14:textId="77777777" w:rsidR="0015459C" w:rsidRPr="00A019D7" w:rsidRDefault="0015459C" w:rsidP="00D20595">
            <w:pPr>
              <w:widowControl w:val="0"/>
              <w:autoSpaceDE w:val="0"/>
              <w:autoSpaceDN w:val="0"/>
              <w:adjustRightInd w:val="0"/>
              <w:spacing w:line="480" w:lineRule="auto"/>
              <w:jc w:val="center"/>
              <w:rPr>
                <w:rFonts w:ascii="Arial" w:hAnsi="Arial"/>
                <w:sz w:val="22"/>
                <w:szCs w:val="22"/>
              </w:rPr>
            </w:pPr>
          </w:p>
        </w:tc>
      </w:tr>
      <w:tr w:rsidR="0015459C" w:rsidRPr="00A019D7" w14:paraId="58C9F650" w14:textId="77777777" w:rsidTr="00602C22">
        <w:tc>
          <w:tcPr>
            <w:tcW w:w="1928" w:type="dxa"/>
          </w:tcPr>
          <w:p w14:paraId="765586A7" w14:textId="77777777" w:rsidR="0015459C" w:rsidRPr="00A019D7" w:rsidRDefault="0015459C" w:rsidP="00D20595">
            <w:pPr>
              <w:widowControl w:val="0"/>
              <w:autoSpaceDE w:val="0"/>
              <w:autoSpaceDN w:val="0"/>
              <w:adjustRightInd w:val="0"/>
              <w:spacing w:line="480" w:lineRule="auto"/>
              <w:rPr>
                <w:rFonts w:ascii="Arial" w:hAnsi="Arial"/>
              </w:rPr>
            </w:pPr>
            <w:r w:rsidRPr="00A019D7">
              <w:rPr>
                <w:rFonts w:ascii="Arial" w:hAnsi="Arial" w:cs="Arial"/>
                <w:color w:val="000000"/>
                <w:sz w:val="22"/>
                <w:szCs w:val="22"/>
              </w:rPr>
              <w:t>Leptin</w:t>
            </w:r>
          </w:p>
        </w:tc>
        <w:tc>
          <w:tcPr>
            <w:tcW w:w="2093" w:type="dxa"/>
          </w:tcPr>
          <w:p w14:paraId="4A1BBDDD" w14:textId="77777777" w:rsidR="0015459C" w:rsidRPr="00A019D7" w:rsidRDefault="00C401CF"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sidRPr="00A019D7">
              <w:rPr>
                <w:rFonts w:ascii="Arial" w:hAnsi="Arial"/>
                <w:sz w:val="22"/>
                <w:szCs w:val="22"/>
              </w:rPr>
              <w:t>95.3</w:t>
            </w:r>
            <w:r w:rsidR="0015459C" w:rsidRPr="00A019D7">
              <w:rPr>
                <w:rFonts w:ascii="Arial" w:hAnsi="Arial" w:cs="Arial"/>
                <w:color w:val="000000"/>
                <w:sz w:val="22"/>
                <w:szCs w:val="22"/>
              </w:rPr>
              <w:t>±14.6</w:t>
            </w:r>
            <w:r w:rsidR="0015459C" w:rsidRPr="00A019D7">
              <w:rPr>
                <w:rFonts w:ascii="Arial" w:hAnsi="Arial" w:cs="Arial"/>
                <w:color w:val="000000"/>
                <w:sz w:val="22"/>
                <w:szCs w:val="22"/>
                <w:vertAlign w:val="superscript"/>
              </w:rPr>
              <w:t>1</w:t>
            </w:r>
          </w:p>
        </w:tc>
        <w:tc>
          <w:tcPr>
            <w:tcW w:w="2143" w:type="dxa"/>
          </w:tcPr>
          <w:p w14:paraId="254F913E" w14:textId="77777777" w:rsidR="0015459C" w:rsidRPr="00A019D7" w:rsidRDefault="00AA03E5"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sidRPr="00A019D7">
              <w:rPr>
                <w:rFonts w:ascii="Arial" w:hAnsi="Arial"/>
                <w:sz w:val="22"/>
                <w:szCs w:val="22"/>
              </w:rPr>
              <w:t>436.7</w:t>
            </w:r>
            <w:r w:rsidR="0015459C" w:rsidRPr="00A019D7">
              <w:rPr>
                <w:rFonts w:ascii="Arial" w:hAnsi="Arial" w:cs="Arial"/>
                <w:color w:val="000000"/>
                <w:sz w:val="22"/>
                <w:szCs w:val="22"/>
              </w:rPr>
              <w:t>±62.3</w:t>
            </w:r>
          </w:p>
        </w:tc>
        <w:tc>
          <w:tcPr>
            <w:tcW w:w="1561" w:type="dxa"/>
          </w:tcPr>
          <w:p w14:paraId="7883B5B6" w14:textId="77777777" w:rsidR="0015459C" w:rsidRPr="0088133D" w:rsidRDefault="001A00D4"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sidRPr="00A019D7">
              <w:rPr>
                <w:rFonts w:ascii="Arial" w:hAnsi="Arial"/>
                <w:sz w:val="22"/>
                <w:szCs w:val="22"/>
              </w:rPr>
              <w:t>600.6</w:t>
            </w:r>
            <w:r w:rsidR="0015459C" w:rsidRPr="00A019D7">
              <w:rPr>
                <w:rFonts w:ascii="Arial" w:hAnsi="Arial" w:cs="Arial"/>
                <w:color w:val="000000"/>
                <w:sz w:val="22"/>
                <w:szCs w:val="22"/>
              </w:rPr>
              <w:t>±76.1</w:t>
            </w:r>
            <w:r w:rsidR="0015459C">
              <w:rPr>
                <w:rFonts w:ascii="Arial" w:hAnsi="Arial" w:cs="Arial"/>
                <w:color w:val="000000"/>
                <w:sz w:val="22"/>
                <w:szCs w:val="22"/>
                <w:vertAlign w:val="superscript"/>
              </w:rPr>
              <w:t>3</w:t>
            </w:r>
          </w:p>
        </w:tc>
        <w:tc>
          <w:tcPr>
            <w:tcW w:w="2123" w:type="dxa"/>
          </w:tcPr>
          <w:p w14:paraId="6FDEFE2D" w14:textId="77777777" w:rsidR="0015459C" w:rsidRPr="00A019D7" w:rsidRDefault="0015459C" w:rsidP="00D20595">
            <w:pPr>
              <w:widowControl w:val="0"/>
              <w:autoSpaceDE w:val="0"/>
              <w:autoSpaceDN w:val="0"/>
              <w:adjustRightInd w:val="0"/>
              <w:spacing w:line="480" w:lineRule="auto"/>
              <w:jc w:val="center"/>
              <w:rPr>
                <w:rFonts w:ascii="Arial" w:hAnsi="Arial"/>
                <w:sz w:val="22"/>
                <w:szCs w:val="22"/>
                <w:vertAlign w:val="superscript"/>
              </w:rPr>
            </w:pPr>
            <w:r>
              <w:rPr>
                <w:rFonts w:ascii="Arial" w:hAnsi="Arial"/>
                <w:sz w:val="22"/>
                <w:szCs w:val="22"/>
              </w:rPr>
              <w:t>&lt;0.0001</w:t>
            </w:r>
            <w:r>
              <w:rPr>
                <w:rFonts w:ascii="Arial" w:hAnsi="Arial"/>
                <w:sz w:val="22"/>
                <w:szCs w:val="22"/>
                <w:vertAlign w:val="superscript"/>
              </w:rPr>
              <w:t>b</w:t>
            </w:r>
          </w:p>
        </w:tc>
      </w:tr>
      <w:tr w:rsidR="0015459C" w:rsidRPr="00A019D7" w14:paraId="11C71978" w14:textId="77777777" w:rsidTr="00602C22">
        <w:tc>
          <w:tcPr>
            <w:tcW w:w="1928" w:type="dxa"/>
          </w:tcPr>
          <w:p w14:paraId="56FB3F8A" w14:textId="77777777" w:rsidR="0015459C" w:rsidRPr="00A019D7" w:rsidRDefault="0015459C" w:rsidP="00D20595">
            <w:pPr>
              <w:widowControl w:val="0"/>
              <w:autoSpaceDE w:val="0"/>
              <w:autoSpaceDN w:val="0"/>
              <w:adjustRightInd w:val="0"/>
              <w:spacing w:line="480" w:lineRule="auto"/>
              <w:rPr>
                <w:rFonts w:ascii="Arial" w:hAnsi="Arial"/>
              </w:rPr>
            </w:pPr>
            <w:r w:rsidRPr="00A019D7">
              <w:rPr>
                <w:rFonts w:ascii="Arial" w:hAnsi="Arial" w:cs="Arial"/>
                <w:color w:val="000000"/>
                <w:sz w:val="22"/>
                <w:szCs w:val="22"/>
              </w:rPr>
              <w:t>Insulin</w:t>
            </w:r>
          </w:p>
        </w:tc>
        <w:tc>
          <w:tcPr>
            <w:tcW w:w="2093" w:type="dxa"/>
          </w:tcPr>
          <w:p w14:paraId="7FC18139" w14:textId="77777777" w:rsidR="0015459C" w:rsidRPr="00A019D7" w:rsidRDefault="00C401CF"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sidRPr="00A019D7">
              <w:rPr>
                <w:rFonts w:ascii="Arial" w:hAnsi="Arial"/>
                <w:sz w:val="22"/>
                <w:szCs w:val="22"/>
              </w:rPr>
              <w:t>552.04</w:t>
            </w:r>
            <w:r w:rsidR="0015459C" w:rsidRPr="00A019D7">
              <w:rPr>
                <w:rFonts w:ascii="Arial" w:hAnsi="Arial" w:cs="Arial"/>
                <w:color w:val="000000"/>
                <w:sz w:val="22"/>
                <w:szCs w:val="22"/>
              </w:rPr>
              <w:t>±0.0</w:t>
            </w:r>
          </w:p>
        </w:tc>
        <w:tc>
          <w:tcPr>
            <w:tcW w:w="2143" w:type="dxa"/>
          </w:tcPr>
          <w:p w14:paraId="3D875DB8" w14:textId="77777777" w:rsidR="0015459C" w:rsidRPr="004E36BB" w:rsidRDefault="0015459C" w:rsidP="00D20595">
            <w:pPr>
              <w:widowControl w:val="0"/>
              <w:autoSpaceDE w:val="0"/>
              <w:autoSpaceDN w:val="0"/>
              <w:adjustRightInd w:val="0"/>
              <w:spacing w:line="480" w:lineRule="auto"/>
              <w:rPr>
                <w:rFonts w:ascii="Arial" w:hAnsi="Arial"/>
                <w:sz w:val="22"/>
                <w:szCs w:val="22"/>
                <w:vertAlign w:val="superscript"/>
              </w:rPr>
            </w:pPr>
            <w:r w:rsidRPr="00A019D7">
              <w:rPr>
                <w:rFonts w:ascii="Arial" w:hAnsi="Arial"/>
                <w:sz w:val="22"/>
                <w:szCs w:val="22"/>
              </w:rPr>
              <w:t>2175.4</w:t>
            </w:r>
            <w:r w:rsidRPr="00A019D7">
              <w:rPr>
                <w:rFonts w:ascii="Arial" w:hAnsi="Arial" w:cs="Arial"/>
                <w:color w:val="000000"/>
                <w:sz w:val="22"/>
                <w:szCs w:val="22"/>
              </w:rPr>
              <w:t>±302.7</w:t>
            </w:r>
            <w:r>
              <w:rPr>
                <w:rFonts w:ascii="Arial" w:hAnsi="Arial" w:cs="Arial"/>
                <w:color w:val="000000"/>
                <w:sz w:val="22"/>
                <w:szCs w:val="22"/>
                <w:vertAlign w:val="superscript"/>
              </w:rPr>
              <w:t>2</w:t>
            </w:r>
          </w:p>
        </w:tc>
        <w:tc>
          <w:tcPr>
            <w:tcW w:w="1561" w:type="dxa"/>
          </w:tcPr>
          <w:p w14:paraId="0D2338FC" w14:textId="77777777" w:rsidR="0015459C" w:rsidRPr="00A019D7" w:rsidRDefault="0015459C" w:rsidP="00D20595">
            <w:pPr>
              <w:widowControl w:val="0"/>
              <w:autoSpaceDE w:val="0"/>
              <w:autoSpaceDN w:val="0"/>
              <w:adjustRightInd w:val="0"/>
              <w:spacing w:line="480" w:lineRule="auto"/>
              <w:rPr>
                <w:rFonts w:ascii="Arial" w:hAnsi="Arial"/>
                <w:sz w:val="22"/>
                <w:szCs w:val="22"/>
              </w:rPr>
            </w:pPr>
            <w:r w:rsidRPr="00A019D7">
              <w:rPr>
                <w:rFonts w:ascii="Arial" w:hAnsi="Arial"/>
                <w:sz w:val="22"/>
                <w:szCs w:val="22"/>
              </w:rPr>
              <w:t>1319.4</w:t>
            </w:r>
            <w:r w:rsidRPr="00A019D7">
              <w:rPr>
                <w:rFonts w:ascii="Arial" w:hAnsi="Arial" w:cs="Arial"/>
                <w:color w:val="000000"/>
                <w:sz w:val="22"/>
                <w:szCs w:val="22"/>
              </w:rPr>
              <w:t>±107.2</w:t>
            </w:r>
          </w:p>
        </w:tc>
        <w:tc>
          <w:tcPr>
            <w:tcW w:w="2123" w:type="dxa"/>
          </w:tcPr>
          <w:p w14:paraId="1B4DC68F" w14:textId="77777777" w:rsidR="0015459C" w:rsidRPr="00A019D7" w:rsidRDefault="0015459C" w:rsidP="00D20595">
            <w:pPr>
              <w:widowControl w:val="0"/>
              <w:autoSpaceDE w:val="0"/>
              <w:autoSpaceDN w:val="0"/>
              <w:adjustRightInd w:val="0"/>
              <w:spacing w:line="480" w:lineRule="auto"/>
              <w:jc w:val="center"/>
              <w:rPr>
                <w:rFonts w:ascii="Arial" w:hAnsi="Arial"/>
                <w:sz w:val="22"/>
                <w:szCs w:val="22"/>
                <w:vertAlign w:val="superscript"/>
              </w:rPr>
            </w:pPr>
            <w:r>
              <w:rPr>
                <w:rFonts w:ascii="Arial" w:hAnsi="Arial"/>
                <w:sz w:val="22"/>
                <w:szCs w:val="22"/>
              </w:rPr>
              <w:t>&lt;0.05</w:t>
            </w:r>
            <w:r>
              <w:rPr>
                <w:rFonts w:ascii="Arial" w:hAnsi="Arial"/>
                <w:sz w:val="22"/>
                <w:szCs w:val="22"/>
                <w:vertAlign w:val="superscript"/>
              </w:rPr>
              <w:t>c</w:t>
            </w:r>
          </w:p>
        </w:tc>
      </w:tr>
      <w:tr w:rsidR="0015459C" w:rsidRPr="00A019D7" w14:paraId="7149AE96" w14:textId="77777777" w:rsidTr="00602C22">
        <w:tc>
          <w:tcPr>
            <w:tcW w:w="1928" w:type="dxa"/>
          </w:tcPr>
          <w:p w14:paraId="1E28C8F1" w14:textId="77777777" w:rsidR="0015459C" w:rsidRPr="00A019D7" w:rsidRDefault="0015459C" w:rsidP="00D20595">
            <w:pPr>
              <w:widowControl w:val="0"/>
              <w:autoSpaceDE w:val="0"/>
              <w:autoSpaceDN w:val="0"/>
              <w:adjustRightInd w:val="0"/>
              <w:spacing w:line="480" w:lineRule="auto"/>
              <w:rPr>
                <w:rFonts w:ascii="Arial" w:hAnsi="Arial"/>
              </w:rPr>
            </w:pPr>
            <w:r w:rsidRPr="00A019D7">
              <w:rPr>
                <w:rFonts w:ascii="Arial" w:hAnsi="Arial" w:cs="Arial"/>
                <w:color w:val="000000"/>
                <w:sz w:val="22"/>
                <w:szCs w:val="22"/>
              </w:rPr>
              <w:t>GIP</w:t>
            </w:r>
          </w:p>
        </w:tc>
        <w:tc>
          <w:tcPr>
            <w:tcW w:w="2093" w:type="dxa"/>
          </w:tcPr>
          <w:p w14:paraId="1DB18FCF" w14:textId="77777777" w:rsidR="0015459C" w:rsidRPr="00A019D7" w:rsidRDefault="00C401CF"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sidRPr="00A019D7">
              <w:rPr>
                <w:rFonts w:ascii="Arial" w:hAnsi="Arial"/>
                <w:sz w:val="22"/>
                <w:szCs w:val="22"/>
              </w:rPr>
              <w:t>43.7</w:t>
            </w:r>
            <w:r w:rsidR="0015459C" w:rsidRPr="00A019D7">
              <w:rPr>
                <w:rFonts w:ascii="Arial" w:hAnsi="Arial" w:cs="Arial"/>
                <w:color w:val="000000"/>
                <w:sz w:val="22"/>
                <w:szCs w:val="22"/>
              </w:rPr>
              <w:t>±1.5</w:t>
            </w:r>
          </w:p>
        </w:tc>
        <w:tc>
          <w:tcPr>
            <w:tcW w:w="2143" w:type="dxa"/>
          </w:tcPr>
          <w:p w14:paraId="3FE6ABE6" w14:textId="77777777" w:rsidR="0015459C" w:rsidRPr="00A019D7" w:rsidRDefault="00AA03E5"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sidRPr="00A019D7">
              <w:rPr>
                <w:rFonts w:ascii="Arial" w:hAnsi="Arial"/>
                <w:sz w:val="22"/>
                <w:szCs w:val="22"/>
              </w:rPr>
              <w:t>57.9</w:t>
            </w:r>
            <w:r w:rsidR="0015459C" w:rsidRPr="00A019D7">
              <w:rPr>
                <w:rFonts w:ascii="Arial" w:hAnsi="Arial" w:cs="Arial"/>
                <w:color w:val="000000"/>
                <w:sz w:val="22"/>
                <w:szCs w:val="22"/>
              </w:rPr>
              <w:t>±2.1</w:t>
            </w:r>
          </w:p>
        </w:tc>
        <w:tc>
          <w:tcPr>
            <w:tcW w:w="1561" w:type="dxa"/>
          </w:tcPr>
          <w:p w14:paraId="0F5D7D23" w14:textId="77777777" w:rsidR="0015459C" w:rsidRPr="00A019D7" w:rsidRDefault="001A00D4"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sidRPr="00A019D7">
              <w:rPr>
                <w:rFonts w:ascii="Arial" w:hAnsi="Arial"/>
                <w:sz w:val="22"/>
                <w:szCs w:val="22"/>
              </w:rPr>
              <w:t>56.4</w:t>
            </w:r>
            <w:r w:rsidR="0015459C" w:rsidRPr="00A019D7">
              <w:rPr>
                <w:rFonts w:ascii="Arial" w:hAnsi="Arial" w:cs="Arial"/>
                <w:color w:val="000000"/>
                <w:sz w:val="22"/>
                <w:szCs w:val="22"/>
              </w:rPr>
              <w:t>±3.3</w:t>
            </w:r>
          </w:p>
        </w:tc>
        <w:tc>
          <w:tcPr>
            <w:tcW w:w="2123" w:type="dxa"/>
          </w:tcPr>
          <w:p w14:paraId="10964E62" w14:textId="77777777" w:rsidR="0015459C" w:rsidRPr="004C670F" w:rsidRDefault="0015459C" w:rsidP="00D20595">
            <w:pPr>
              <w:widowControl w:val="0"/>
              <w:autoSpaceDE w:val="0"/>
              <w:autoSpaceDN w:val="0"/>
              <w:adjustRightInd w:val="0"/>
              <w:spacing w:line="480" w:lineRule="auto"/>
              <w:jc w:val="center"/>
              <w:rPr>
                <w:rFonts w:ascii="Arial" w:hAnsi="Arial"/>
                <w:sz w:val="22"/>
                <w:szCs w:val="22"/>
                <w:vertAlign w:val="superscript"/>
              </w:rPr>
            </w:pPr>
            <w:r w:rsidRPr="004C670F">
              <w:rPr>
                <w:rFonts w:ascii="Arial" w:hAnsi="Arial"/>
                <w:sz w:val="22"/>
                <w:szCs w:val="22"/>
              </w:rPr>
              <w:t>0.01</w:t>
            </w:r>
            <w:r>
              <w:rPr>
                <w:rFonts w:ascii="Arial" w:hAnsi="Arial"/>
                <w:sz w:val="22"/>
                <w:szCs w:val="22"/>
                <w:vertAlign w:val="superscript"/>
              </w:rPr>
              <w:t>b</w:t>
            </w:r>
          </w:p>
        </w:tc>
      </w:tr>
      <w:tr w:rsidR="0015459C" w:rsidRPr="00A019D7" w14:paraId="77B2F44F" w14:textId="77777777" w:rsidTr="00602C22">
        <w:tc>
          <w:tcPr>
            <w:tcW w:w="1928" w:type="dxa"/>
          </w:tcPr>
          <w:p w14:paraId="32BB980B" w14:textId="77777777" w:rsidR="0015459C" w:rsidRPr="00A019D7" w:rsidRDefault="0015459C" w:rsidP="00D20595">
            <w:pPr>
              <w:widowControl w:val="0"/>
              <w:autoSpaceDE w:val="0"/>
              <w:autoSpaceDN w:val="0"/>
              <w:adjustRightInd w:val="0"/>
              <w:spacing w:line="480" w:lineRule="auto"/>
              <w:rPr>
                <w:rFonts w:ascii="Arial" w:hAnsi="Arial"/>
              </w:rPr>
            </w:pPr>
            <w:r w:rsidRPr="00A019D7">
              <w:rPr>
                <w:rFonts w:ascii="Arial" w:hAnsi="Arial" w:cs="Arial"/>
                <w:color w:val="000000"/>
                <w:sz w:val="22"/>
                <w:szCs w:val="22"/>
              </w:rPr>
              <w:t>GLP1</w:t>
            </w:r>
          </w:p>
        </w:tc>
        <w:tc>
          <w:tcPr>
            <w:tcW w:w="2093" w:type="dxa"/>
          </w:tcPr>
          <w:p w14:paraId="61C4B908" w14:textId="77777777" w:rsidR="0015459C" w:rsidRPr="00A019D7" w:rsidRDefault="00C401CF"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sidRPr="00A019D7">
              <w:rPr>
                <w:rFonts w:ascii="Arial" w:hAnsi="Arial"/>
                <w:sz w:val="22"/>
                <w:szCs w:val="22"/>
              </w:rPr>
              <w:t>6.9</w:t>
            </w:r>
            <w:r w:rsidR="0015459C" w:rsidRPr="00A019D7">
              <w:rPr>
                <w:rFonts w:ascii="Arial" w:hAnsi="Arial" w:cs="Arial"/>
                <w:color w:val="000000"/>
                <w:sz w:val="22"/>
                <w:szCs w:val="22"/>
              </w:rPr>
              <w:t>±0.6</w:t>
            </w:r>
          </w:p>
        </w:tc>
        <w:tc>
          <w:tcPr>
            <w:tcW w:w="2143" w:type="dxa"/>
          </w:tcPr>
          <w:p w14:paraId="52FB5C58" w14:textId="77777777" w:rsidR="0015459C" w:rsidRPr="00A019D7" w:rsidRDefault="00AA03E5"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sidRPr="00A019D7">
              <w:rPr>
                <w:rFonts w:ascii="Arial" w:hAnsi="Arial"/>
                <w:sz w:val="22"/>
                <w:szCs w:val="22"/>
              </w:rPr>
              <w:t>10.4</w:t>
            </w:r>
            <w:r w:rsidR="0015459C" w:rsidRPr="00A019D7">
              <w:rPr>
                <w:rFonts w:ascii="Arial" w:hAnsi="Arial" w:cs="Arial"/>
                <w:color w:val="000000"/>
                <w:sz w:val="22"/>
                <w:szCs w:val="22"/>
              </w:rPr>
              <w:t>±1.2</w:t>
            </w:r>
          </w:p>
        </w:tc>
        <w:tc>
          <w:tcPr>
            <w:tcW w:w="1561" w:type="dxa"/>
          </w:tcPr>
          <w:p w14:paraId="10128027" w14:textId="77777777" w:rsidR="0015459C" w:rsidRPr="00545B1C" w:rsidRDefault="001A00D4"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sidRPr="00A019D7">
              <w:rPr>
                <w:rFonts w:ascii="Arial" w:hAnsi="Arial"/>
                <w:sz w:val="22"/>
                <w:szCs w:val="22"/>
              </w:rPr>
              <w:t>10.7</w:t>
            </w:r>
            <w:r w:rsidR="0015459C" w:rsidRPr="00A019D7">
              <w:rPr>
                <w:rFonts w:ascii="Arial" w:hAnsi="Arial" w:cs="Arial"/>
                <w:color w:val="000000"/>
                <w:sz w:val="22"/>
                <w:szCs w:val="22"/>
              </w:rPr>
              <w:t>±1.1</w:t>
            </w:r>
            <w:r w:rsidR="0015459C">
              <w:rPr>
                <w:rFonts w:ascii="Arial" w:hAnsi="Arial" w:cs="Arial"/>
                <w:color w:val="000000"/>
                <w:sz w:val="22"/>
                <w:szCs w:val="22"/>
                <w:vertAlign w:val="superscript"/>
              </w:rPr>
              <w:t>1</w:t>
            </w:r>
          </w:p>
        </w:tc>
        <w:tc>
          <w:tcPr>
            <w:tcW w:w="2123" w:type="dxa"/>
          </w:tcPr>
          <w:p w14:paraId="30CB0606" w14:textId="77777777" w:rsidR="0015459C" w:rsidRPr="00545B1C" w:rsidRDefault="0015459C" w:rsidP="00D20595">
            <w:pPr>
              <w:widowControl w:val="0"/>
              <w:autoSpaceDE w:val="0"/>
              <w:autoSpaceDN w:val="0"/>
              <w:adjustRightInd w:val="0"/>
              <w:spacing w:line="480" w:lineRule="auto"/>
              <w:jc w:val="center"/>
              <w:rPr>
                <w:rFonts w:ascii="Arial" w:hAnsi="Arial"/>
                <w:sz w:val="22"/>
                <w:szCs w:val="22"/>
                <w:vertAlign w:val="superscript"/>
              </w:rPr>
            </w:pPr>
            <w:r>
              <w:rPr>
                <w:rFonts w:ascii="Arial" w:hAnsi="Arial"/>
                <w:sz w:val="22"/>
                <w:szCs w:val="22"/>
              </w:rPr>
              <w:t>0.05</w:t>
            </w:r>
            <w:r>
              <w:rPr>
                <w:rFonts w:ascii="Arial" w:hAnsi="Arial"/>
                <w:sz w:val="22"/>
                <w:szCs w:val="22"/>
                <w:vertAlign w:val="superscript"/>
              </w:rPr>
              <w:t>b</w:t>
            </w:r>
          </w:p>
        </w:tc>
      </w:tr>
    </w:tbl>
    <w:p w14:paraId="27537CA0" w14:textId="77777777" w:rsidR="0015459C" w:rsidRDefault="0015459C" w:rsidP="0015459C">
      <w:pPr>
        <w:widowControl w:val="0"/>
        <w:autoSpaceDE w:val="0"/>
        <w:autoSpaceDN w:val="0"/>
        <w:adjustRightInd w:val="0"/>
        <w:spacing w:line="480" w:lineRule="auto"/>
        <w:jc w:val="both"/>
        <w:rPr>
          <w:rFonts w:ascii="Arial" w:hAnsi="Arial"/>
        </w:rPr>
      </w:pPr>
    </w:p>
    <w:p w14:paraId="48E0DEC4" w14:textId="77777777" w:rsidR="0015459C" w:rsidRDefault="0015459C" w:rsidP="0015459C">
      <w:pPr>
        <w:widowControl w:val="0"/>
        <w:autoSpaceDE w:val="0"/>
        <w:autoSpaceDN w:val="0"/>
        <w:adjustRightInd w:val="0"/>
        <w:spacing w:line="360" w:lineRule="auto"/>
        <w:jc w:val="both"/>
        <w:rPr>
          <w:rFonts w:ascii="Arial" w:eastAsiaTheme="minorHAnsi" w:hAnsi="Arial" w:cs="Arial"/>
          <w:sz w:val="22"/>
          <w:szCs w:val="22"/>
          <w:lang w:val="en-US"/>
        </w:rPr>
      </w:pPr>
      <w:r>
        <w:rPr>
          <w:rFonts w:ascii="Arial" w:eastAsiaTheme="minorHAnsi" w:hAnsi="Arial" w:cs="Arial"/>
          <w:sz w:val="22"/>
          <w:szCs w:val="22"/>
          <w:lang w:val="en-US"/>
        </w:rPr>
        <w:t xml:space="preserve">Two-way ANOVA used to assess the differences within and between the groups. </w:t>
      </w:r>
      <w:r w:rsidRPr="000E5168">
        <w:rPr>
          <w:rFonts w:ascii="Arial" w:hAnsi="Arial" w:cs="Verdana"/>
          <w:color w:val="0E0E0E"/>
          <w:sz w:val="22"/>
          <w:szCs w:val="22"/>
        </w:rPr>
        <w:t>Differences were considered statistically significant at a value of p&lt;0.05.</w:t>
      </w:r>
      <w:r>
        <w:rPr>
          <w:rFonts w:ascii="Arial" w:hAnsi="Arial" w:cs="Verdana"/>
          <w:color w:val="0E0E0E"/>
          <w:sz w:val="22"/>
          <w:szCs w:val="22"/>
        </w:rPr>
        <w:t xml:space="preserve"> Comparisons of time points within the same group are indicated as </w:t>
      </w:r>
      <w:r w:rsidRPr="00FB4567">
        <w:rPr>
          <w:rFonts w:ascii="Arial" w:hAnsi="Arial"/>
          <w:sz w:val="22"/>
          <w:szCs w:val="22"/>
          <w:vertAlign w:val="superscript"/>
        </w:rPr>
        <w:t>a</w:t>
      </w:r>
      <w:r w:rsidRPr="00FB4567">
        <w:rPr>
          <w:rFonts w:ascii="Arial" w:hAnsi="Arial"/>
          <w:sz w:val="22"/>
          <w:szCs w:val="22"/>
        </w:rPr>
        <w:t>12:00&lt;14:00</w:t>
      </w:r>
      <w:r>
        <w:rPr>
          <w:rFonts w:ascii="Arial" w:hAnsi="Arial"/>
          <w:sz w:val="22"/>
          <w:szCs w:val="22"/>
        </w:rPr>
        <w:t xml:space="preserve">; </w:t>
      </w:r>
      <w:r>
        <w:rPr>
          <w:rFonts w:ascii="Arial" w:hAnsi="Arial"/>
          <w:sz w:val="22"/>
          <w:szCs w:val="22"/>
          <w:vertAlign w:val="superscript"/>
        </w:rPr>
        <w:t>b</w:t>
      </w:r>
      <w:r w:rsidRPr="00FB4567">
        <w:rPr>
          <w:rFonts w:ascii="Arial" w:hAnsi="Arial"/>
          <w:sz w:val="22"/>
          <w:szCs w:val="22"/>
        </w:rPr>
        <w:t>12:00&lt;14:00</w:t>
      </w:r>
      <w:r>
        <w:rPr>
          <w:rFonts w:ascii="Arial" w:hAnsi="Arial"/>
          <w:sz w:val="22"/>
          <w:szCs w:val="22"/>
        </w:rPr>
        <w:t xml:space="preserve">,15:00; </w:t>
      </w:r>
      <w:r w:rsidRPr="004E36BB">
        <w:rPr>
          <w:rFonts w:ascii="Arial" w:hAnsi="Arial"/>
          <w:sz w:val="22"/>
          <w:szCs w:val="22"/>
          <w:vertAlign w:val="superscript"/>
        </w:rPr>
        <w:t>c</w:t>
      </w:r>
      <w:r>
        <w:rPr>
          <w:rFonts w:ascii="Arial" w:hAnsi="Arial"/>
          <w:sz w:val="22"/>
          <w:szCs w:val="22"/>
        </w:rPr>
        <w:t>1</w:t>
      </w:r>
      <w:r w:rsidRPr="004E36BB">
        <w:rPr>
          <w:rFonts w:ascii="Arial" w:hAnsi="Arial"/>
          <w:sz w:val="22"/>
          <w:szCs w:val="22"/>
        </w:rPr>
        <w:t>2</w:t>
      </w:r>
      <w:r w:rsidRPr="00FB4567">
        <w:rPr>
          <w:rFonts w:ascii="Arial" w:hAnsi="Arial"/>
          <w:sz w:val="22"/>
          <w:szCs w:val="22"/>
        </w:rPr>
        <w:t>:00&lt;14:00</w:t>
      </w:r>
      <w:r>
        <w:rPr>
          <w:rFonts w:ascii="Arial" w:hAnsi="Arial"/>
          <w:sz w:val="22"/>
          <w:szCs w:val="22"/>
        </w:rPr>
        <w:t xml:space="preserve">&gt;15:00. </w:t>
      </w:r>
      <w:r w:rsidRPr="004E36BB">
        <w:rPr>
          <w:rFonts w:ascii="Arial" w:eastAsiaTheme="minorHAnsi" w:hAnsi="Arial" w:cs="Arial"/>
          <w:sz w:val="22"/>
          <w:szCs w:val="22"/>
          <w:lang w:val="en-US"/>
        </w:rPr>
        <w:t xml:space="preserve">Comparisons </w:t>
      </w:r>
      <w:r>
        <w:rPr>
          <w:rFonts w:ascii="Arial" w:eastAsiaTheme="minorHAnsi" w:hAnsi="Arial" w:cs="Arial"/>
          <w:sz w:val="22"/>
          <w:szCs w:val="22"/>
          <w:lang w:val="en-US"/>
        </w:rPr>
        <w:t>of</w:t>
      </w:r>
      <w:r w:rsidRPr="004E36BB">
        <w:rPr>
          <w:rFonts w:ascii="Arial" w:eastAsiaTheme="minorHAnsi" w:hAnsi="Arial" w:cs="Arial"/>
          <w:sz w:val="22"/>
          <w:szCs w:val="22"/>
          <w:lang w:val="en-US"/>
        </w:rPr>
        <w:t xml:space="preserve"> same time point</w:t>
      </w:r>
      <w:r>
        <w:rPr>
          <w:rFonts w:ascii="Arial" w:eastAsiaTheme="minorHAnsi" w:hAnsi="Arial" w:cs="Arial"/>
          <w:sz w:val="22"/>
          <w:szCs w:val="22"/>
          <w:lang w:val="en-US"/>
        </w:rPr>
        <w:t>s</w:t>
      </w:r>
      <w:r w:rsidRPr="004E36BB">
        <w:rPr>
          <w:rFonts w:ascii="Arial" w:eastAsiaTheme="minorHAnsi" w:hAnsi="Arial" w:cs="Arial"/>
          <w:sz w:val="22"/>
          <w:szCs w:val="22"/>
          <w:lang w:val="en-US"/>
        </w:rPr>
        <w:t xml:space="preserve"> between the groups are indicated as </w:t>
      </w:r>
      <w:r w:rsidRPr="004E36BB">
        <w:rPr>
          <w:rFonts w:ascii="Arial" w:eastAsia="MS Gothic" w:hAnsi="Arial" w:cs="Arial"/>
          <w:color w:val="000000"/>
          <w:sz w:val="22"/>
          <w:szCs w:val="22"/>
          <w:vertAlign w:val="superscript"/>
        </w:rPr>
        <w:t>1</w:t>
      </w:r>
      <w:r w:rsidRPr="004E36BB">
        <w:rPr>
          <w:rFonts w:ascii="Arial" w:eastAsiaTheme="minorHAnsi" w:hAnsi="Arial" w:cs="Arial"/>
          <w:sz w:val="22"/>
          <w:szCs w:val="22"/>
          <w:lang w:val="en-US"/>
        </w:rPr>
        <w:t>p&lt;0.05</w:t>
      </w:r>
      <w:r>
        <w:rPr>
          <w:rFonts w:ascii="Arial" w:eastAsiaTheme="minorHAnsi" w:hAnsi="Arial" w:cs="Arial"/>
          <w:sz w:val="22"/>
          <w:szCs w:val="22"/>
          <w:lang w:val="en-US"/>
        </w:rPr>
        <w:t>;</w:t>
      </w:r>
      <w:r w:rsidRPr="004E36BB">
        <w:rPr>
          <w:rFonts w:ascii="Arial" w:eastAsiaTheme="minorHAnsi" w:hAnsi="Arial" w:cs="Arial"/>
          <w:sz w:val="22"/>
          <w:szCs w:val="22"/>
          <w:lang w:val="en-US"/>
        </w:rPr>
        <w:t xml:space="preserve"> </w:t>
      </w:r>
      <w:r>
        <w:rPr>
          <w:rFonts w:ascii="Arial" w:eastAsiaTheme="minorHAnsi" w:hAnsi="Arial" w:cs="Arial"/>
          <w:sz w:val="22"/>
          <w:szCs w:val="22"/>
          <w:vertAlign w:val="superscript"/>
          <w:lang w:val="en-US"/>
        </w:rPr>
        <w:t>2</w:t>
      </w:r>
      <w:r w:rsidRPr="004E36BB">
        <w:rPr>
          <w:rFonts w:ascii="Arial" w:eastAsiaTheme="minorHAnsi" w:hAnsi="Arial" w:cs="Arial"/>
          <w:sz w:val="22"/>
          <w:szCs w:val="22"/>
          <w:lang w:val="en-US"/>
        </w:rPr>
        <w:t>p</w:t>
      </w:r>
      <w:r w:rsidRPr="004E36BB">
        <w:rPr>
          <w:rFonts w:ascii="Arial" w:hAnsi="Arial"/>
          <w:sz w:val="22"/>
          <w:szCs w:val="22"/>
        </w:rPr>
        <w:t>&lt;0.01</w:t>
      </w:r>
      <w:r>
        <w:rPr>
          <w:rFonts w:ascii="Arial" w:hAnsi="Arial"/>
          <w:sz w:val="22"/>
          <w:szCs w:val="22"/>
        </w:rPr>
        <w:t xml:space="preserve">; </w:t>
      </w:r>
      <w:r>
        <w:rPr>
          <w:rFonts w:ascii="Arial" w:eastAsia="MS Gothic" w:hAnsi="Arial" w:cs="Arial"/>
          <w:color w:val="000000"/>
          <w:sz w:val="22"/>
          <w:szCs w:val="22"/>
          <w:vertAlign w:val="superscript"/>
        </w:rPr>
        <w:t>3</w:t>
      </w:r>
      <w:r w:rsidRPr="004E36BB">
        <w:rPr>
          <w:rFonts w:ascii="Arial" w:eastAsiaTheme="minorHAnsi" w:hAnsi="Arial" w:cs="Arial"/>
          <w:sz w:val="22"/>
          <w:szCs w:val="22"/>
          <w:lang w:val="en-US"/>
        </w:rPr>
        <w:t>p&lt;0.001</w:t>
      </w:r>
    </w:p>
    <w:p w14:paraId="75CEDA78" w14:textId="77777777" w:rsidR="0015459C" w:rsidRDefault="0015459C" w:rsidP="0015459C">
      <w:pPr>
        <w:widowControl w:val="0"/>
        <w:autoSpaceDE w:val="0"/>
        <w:autoSpaceDN w:val="0"/>
        <w:adjustRightInd w:val="0"/>
        <w:spacing w:line="480" w:lineRule="auto"/>
        <w:jc w:val="both"/>
        <w:rPr>
          <w:rFonts w:ascii="Arial" w:eastAsiaTheme="minorHAnsi" w:hAnsi="Arial" w:cs="Arial"/>
          <w:sz w:val="22"/>
          <w:szCs w:val="22"/>
          <w:lang w:val="en-US"/>
        </w:rPr>
      </w:pPr>
      <w:r>
        <w:rPr>
          <w:rFonts w:ascii="Arial" w:hAnsi="Arial"/>
          <w:sz w:val="22"/>
          <w:szCs w:val="22"/>
        </w:rPr>
        <w:t>Results are expressed as pg/ml, mean</w:t>
      </w:r>
      <w:r w:rsidRPr="00F20B1F">
        <w:rPr>
          <w:rFonts w:ascii="Arial" w:eastAsia="MS Gothic" w:hAnsi="Arial" w:cs="Arial"/>
          <w:sz w:val="22"/>
          <w:szCs w:val="22"/>
        </w:rPr>
        <w:t>±</w:t>
      </w:r>
      <w:r w:rsidRPr="00F20B1F">
        <w:rPr>
          <w:rFonts w:ascii="Arial" w:eastAsiaTheme="minorHAnsi" w:hAnsi="Arial" w:cs="Arial"/>
          <w:sz w:val="22"/>
          <w:szCs w:val="22"/>
          <w:lang w:val="en-US"/>
        </w:rPr>
        <w:t>SE</w:t>
      </w:r>
    </w:p>
    <w:p w14:paraId="1BA0228F" w14:textId="77777777" w:rsidR="00942687" w:rsidRDefault="00942687" w:rsidP="0015459C">
      <w:pPr>
        <w:widowControl w:val="0"/>
        <w:autoSpaceDE w:val="0"/>
        <w:autoSpaceDN w:val="0"/>
        <w:adjustRightInd w:val="0"/>
        <w:spacing w:line="480" w:lineRule="auto"/>
        <w:jc w:val="both"/>
        <w:rPr>
          <w:rFonts w:ascii="Arial" w:hAnsi="Arial"/>
        </w:rPr>
      </w:pPr>
    </w:p>
    <w:p w14:paraId="695A9041" w14:textId="77777777" w:rsidR="00E85DE4" w:rsidRDefault="0015459C" w:rsidP="00E85DE4">
      <w:pPr>
        <w:keepNext/>
        <w:widowControl w:val="0"/>
        <w:autoSpaceDE w:val="0"/>
        <w:autoSpaceDN w:val="0"/>
        <w:adjustRightInd w:val="0"/>
        <w:spacing w:line="480" w:lineRule="auto"/>
        <w:jc w:val="both"/>
      </w:pPr>
      <w:r>
        <w:rPr>
          <w:rFonts w:ascii="Arial" w:hAnsi="Arial"/>
          <w:noProof/>
          <w:lang w:val="en-US"/>
        </w:rPr>
        <w:lastRenderedPageBreak/>
        <w:drawing>
          <wp:inline distT="0" distB="0" distL="0" distR="0" wp14:anchorId="150F332B" wp14:editId="032ABCA9">
            <wp:extent cx="4317004" cy="2742178"/>
            <wp:effectExtent l="0" t="0" r="127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317805" cy="2742687"/>
                    </a:xfrm>
                    <a:prstGeom prst="rect">
                      <a:avLst/>
                    </a:prstGeom>
                    <a:noFill/>
                    <a:ln>
                      <a:noFill/>
                    </a:ln>
                  </pic:spPr>
                </pic:pic>
              </a:graphicData>
            </a:graphic>
          </wp:inline>
        </w:drawing>
      </w:r>
    </w:p>
    <w:p w14:paraId="525CF251" w14:textId="77777777" w:rsidR="0015459C" w:rsidRPr="00F57D8B" w:rsidRDefault="00E85DE4" w:rsidP="00F57D8B">
      <w:pPr>
        <w:pStyle w:val="Caption"/>
        <w:spacing w:line="360" w:lineRule="auto"/>
        <w:jc w:val="both"/>
        <w:rPr>
          <w:rFonts w:ascii="Arial" w:hAnsi="Arial"/>
          <w:color w:val="244061" w:themeColor="accent1" w:themeShade="80"/>
          <w:sz w:val="24"/>
          <w:szCs w:val="24"/>
        </w:rPr>
      </w:pPr>
      <w:bookmarkStart w:id="162" w:name="_Toc383544641"/>
      <w:r w:rsidRPr="00F57D8B">
        <w:rPr>
          <w:rFonts w:ascii="Arial" w:hAnsi="Arial"/>
          <w:color w:val="244061" w:themeColor="accent1" w:themeShade="80"/>
          <w:sz w:val="24"/>
          <w:szCs w:val="24"/>
        </w:rPr>
        <w:t xml:space="preserve">Figure </w:t>
      </w:r>
      <w:r w:rsidRPr="00F57D8B">
        <w:rPr>
          <w:rFonts w:ascii="Arial" w:hAnsi="Arial"/>
          <w:color w:val="244061" w:themeColor="accent1" w:themeShade="80"/>
          <w:sz w:val="24"/>
          <w:szCs w:val="24"/>
        </w:rPr>
        <w:fldChar w:fldCharType="begin"/>
      </w:r>
      <w:r w:rsidRPr="00F57D8B">
        <w:rPr>
          <w:rFonts w:ascii="Arial" w:hAnsi="Arial"/>
          <w:color w:val="244061" w:themeColor="accent1" w:themeShade="80"/>
          <w:sz w:val="24"/>
          <w:szCs w:val="24"/>
        </w:rPr>
        <w:instrText xml:space="preserve"> SEQ Figure \* ARABIC </w:instrText>
      </w:r>
      <w:r w:rsidRPr="00F57D8B">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50</w:t>
      </w:r>
      <w:r w:rsidRPr="00F57D8B">
        <w:rPr>
          <w:rFonts w:ascii="Arial" w:hAnsi="Arial"/>
          <w:color w:val="244061" w:themeColor="accent1" w:themeShade="80"/>
          <w:sz w:val="24"/>
          <w:szCs w:val="24"/>
        </w:rPr>
        <w:fldChar w:fldCharType="end"/>
      </w:r>
      <w:r w:rsidR="00F57D8B" w:rsidRPr="00F57D8B">
        <w:rPr>
          <w:rFonts w:ascii="Arial" w:hAnsi="Arial"/>
          <w:color w:val="244061" w:themeColor="accent1" w:themeShade="80"/>
          <w:sz w:val="24"/>
          <w:szCs w:val="24"/>
        </w:rPr>
        <w:t xml:space="preserve"> </w:t>
      </w:r>
      <w:r w:rsidR="0015459C" w:rsidRPr="00F57D8B">
        <w:rPr>
          <w:rFonts w:ascii="Arial" w:hAnsi="Arial"/>
          <w:color w:val="244061" w:themeColor="accent1" w:themeShade="80"/>
          <w:sz w:val="24"/>
          <w:szCs w:val="24"/>
        </w:rPr>
        <w:t>Changes in</w:t>
      </w:r>
      <w:r w:rsidR="0015459C" w:rsidRPr="00F57D8B">
        <w:rPr>
          <w:rFonts w:ascii="Arial" w:hAnsi="Arial"/>
          <w:i/>
          <w:color w:val="244061" w:themeColor="accent1" w:themeShade="80"/>
          <w:sz w:val="24"/>
          <w:szCs w:val="24"/>
        </w:rPr>
        <w:t xml:space="preserve"> </w:t>
      </w:r>
      <w:r w:rsidR="0015459C" w:rsidRPr="00F57D8B">
        <w:rPr>
          <w:rFonts w:ascii="Arial" w:hAnsi="Arial"/>
          <w:color w:val="244061" w:themeColor="accent1" w:themeShade="80"/>
          <w:sz w:val="24"/>
          <w:szCs w:val="24"/>
        </w:rPr>
        <w:t>ghrelin serum concentrations in</w:t>
      </w:r>
      <w:r w:rsidR="0015459C" w:rsidRPr="00F57D8B">
        <w:rPr>
          <w:rFonts w:ascii="Arial" w:hAnsi="Arial"/>
          <w:i/>
          <w:color w:val="244061" w:themeColor="accent1" w:themeShade="80"/>
          <w:sz w:val="24"/>
          <w:szCs w:val="24"/>
        </w:rPr>
        <w:t xml:space="preserve"> </w:t>
      </w:r>
      <w:r w:rsidR="00E60B8B" w:rsidRPr="00F57D8B">
        <w:rPr>
          <w:rFonts w:ascii="Arial" w:hAnsi="Arial"/>
          <w:color w:val="244061" w:themeColor="accent1" w:themeShade="80"/>
          <w:sz w:val="24"/>
          <w:szCs w:val="24"/>
        </w:rPr>
        <w:t>young</w:t>
      </w:r>
      <w:r w:rsidR="00E60B8B" w:rsidRPr="00F57D8B">
        <w:rPr>
          <w:rFonts w:ascii="Arial" w:hAnsi="Arial"/>
          <w:i/>
          <w:color w:val="244061" w:themeColor="accent1" w:themeShade="80"/>
          <w:sz w:val="24"/>
          <w:szCs w:val="24"/>
        </w:rPr>
        <w:t xml:space="preserve"> </w:t>
      </w:r>
      <w:r w:rsidR="0015459C" w:rsidRPr="00F57D8B">
        <w:rPr>
          <w:rFonts w:ascii="Arial" w:eastAsiaTheme="minorHAnsi" w:hAnsi="Arial"/>
          <w:bCs w:val="0"/>
          <w:color w:val="244061" w:themeColor="accent1" w:themeShade="80"/>
          <w:sz w:val="24"/>
          <w:szCs w:val="24"/>
          <w:lang w:val="en-US"/>
        </w:rPr>
        <w:t>17-week-old fed (n=6) or overnight fasted fed (n=7) male mice</w:t>
      </w:r>
      <w:bookmarkEnd w:id="162"/>
      <w:r w:rsidR="0015459C" w:rsidRPr="00F57D8B">
        <w:rPr>
          <w:rFonts w:ascii="Arial" w:eastAsiaTheme="minorHAnsi" w:hAnsi="Arial"/>
          <w:bCs w:val="0"/>
          <w:color w:val="244061" w:themeColor="accent1" w:themeShade="80"/>
          <w:sz w:val="24"/>
          <w:szCs w:val="24"/>
          <w:lang w:val="en-US"/>
        </w:rPr>
        <w:t xml:space="preserve"> </w:t>
      </w:r>
    </w:p>
    <w:p w14:paraId="52C8EC0F" w14:textId="77777777" w:rsidR="0015459C" w:rsidRDefault="00266128" w:rsidP="0015459C">
      <w:pPr>
        <w:spacing w:line="360" w:lineRule="auto"/>
        <w:jc w:val="both"/>
        <w:rPr>
          <w:rFonts w:ascii="Arial" w:eastAsiaTheme="minorHAnsi" w:hAnsi="Arial" w:cs="Arial"/>
          <w:sz w:val="22"/>
          <w:szCs w:val="22"/>
          <w:lang w:val="en-US"/>
        </w:rPr>
      </w:pPr>
      <w:r>
        <w:rPr>
          <w:rFonts w:ascii="Arial" w:hAnsi="Arial" w:cs="Arial"/>
          <w:color w:val="000000" w:themeColor="text1"/>
          <w:sz w:val="22"/>
          <w:szCs w:val="22"/>
        </w:rPr>
        <w:t>In fed mice, s</w:t>
      </w:r>
      <w:r w:rsidR="0015459C" w:rsidRPr="00DF4A38">
        <w:rPr>
          <w:rFonts w:ascii="Arial" w:hAnsi="Arial" w:cs="Arial"/>
          <w:color w:val="000000" w:themeColor="text1"/>
          <w:sz w:val="22"/>
          <w:szCs w:val="22"/>
        </w:rPr>
        <w:t xml:space="preserve">erum ghrelin concentration </w:t>
      </w:r>
      <w:r w:rsidR="0015459C">
        <w:rPr>
          <w:rFonts w:ascii="Arial" w:hAnsi="Arial" w:cs="Arial"/>
          <w:color w:val="000000" w:themeColor="text1"/>
          <w:sz w:val="22"/>
          <w:szCs w:val="22"/>
        </w:rPr>
        <w:t>significantly increased from 12:00 to</w:t>
      </w:r>
      <w:r w:rsidR="0015459C" w:rsidRPr="00DF4A38">
        <w:rPr>
          <w:rFonts w:ascii="Arial" w:hAnsi="Arial" w:cs="Arial"/>
          <w:color w:val="000000" w:themeColor="text1"/>
          <w:sz w:val="22"/>
          <w:szCs w:val="22"/>
        </w:rPr>
        <w:t xml:space="preserve"> 14:00 and declined at 14:00 in fasted </w:t>
      </w:r>
      <w:r w:rsidR="0015459C">
        <w:rPr>
          <w:rFonts w:ascii="Arial" w:hAnsi="Arial" w:cs="Arial"/>
          <w:color w:val="000000" w:themeColor="text1"/>
          <w:sz w:val="22"/>
          <w:szCs w:val="22"/>
        </w:rPr>
        <w:t xml:space="preserve">2-hour </w:t>
      </w:r>
      <w:r w:rsidR="00F57D8B">
        <w:rPr>
          <w:rFonts w:ascii="Arial" w:hAnsi="Arial" w:cs="Arial"/>
          <w:color w:val="000000" w:themeColor="text1"/>
          <w:sz w:val="22"/>
          <w:szCs w:val="22"/>
        </w:rPr>
        <w:t xml:space="preserve">fed </w:t>
      </w:r>
      <w:r w:rsidR="0015459C" w:rsidRPr="00DF4A38">
        <w:rPr>
          <w:rFonts w:ascii="Arial" w:hAnsi="Arial" w:cs="Arial"/>
          <w:color w:val="000000" w:themeColor="text1"/>
          <w:sz w:val="22"/>
          <w:szCs w:val="22"/>
        </w:rPr>
        <w:t xml:space="preserve">mice compared </w:t>
      </w:r>
      <w:r w:rsidR="00F57D8B">
        <w:rPr>
          <w:rFonts w:ascii="Arial" w:hAnsi="Arial" w:cs="Arial"/>
          <w:color w:val="000000" w:themeColor="text1"/>
          <w:sz w:val="22"/>
          <w:szCs w:val="22"/>
        </w:rPr>
        <w:t>with</w:t>
      </w:r>
      <w:r w:rsidR="0015459C">
        <w:rPr>
          <w:rFonts w:ascii="Arial" w:hAnsi="Arial" w:cs="Arial"/>
          <w:color w:val="000000" w:themeColor="text1"/>
          <w:sz w:val="22"/>
          <w:szCs w:val="22"/>
        </w:rPr>
        <w:t xml:space="preserve"> that in </w:t>
      </w:r>
      <w:r w:rsidR="0015459C" w:rsidRPr="00DF4A38">
        <w:rPr>
          <w:rFonts w:ascii="Arial" w:hAnsi="Arial" w:cs="Arial"/>
          <w:color w:val="000000" w:themeColor="text1"/>
          <w:sz w:val="22"/>
          <w:szCs w:val="22"/>
        </w:rPr>
        <w:t>fed mice</w:t>
      </w:r>
      <w:r w:rsidR="0015459C">
        <w:rPr>
          <w:rFonts w:ascii="Arial" w:hAnsi="Arial" w:cs="Arial"/>
          <w:color w:val="000000" w:themeColor="text1"/>
          <w:sz w:val="22"/>
          <w:szCs w:val="22"/>
        </w:rPr>
        <w:t xml:space="preserve">. </w:t>
      </w:r>
      <w:r w:rsidR="0015459C" w:rsidRPr="006F6740">
        <w:rPr>
          <w:rFonts w:ascii="Arial" w:eastAsiaTheme="minorHAnsi" w:hAnsi="Arial" w:cs="Arial"/>
          <w:sz w:val="22"/>
          <w:szCs w:val="22"/>
          <w:lang w:val="en-US"/>
        </w:rPr>
        <w:t>Bars represent mean</w:t>
      </w:r>
      <w:r w:rsidR="0015459C" w:rsidRPr="006F6740">
        <w:rPr>
          <w:rFonts w:ascii="Arial" w:eastAsia="MS Gothic" w:hAnsi="Arial" w:cs="Arial"/>
          <w:sz w:val="22"/>
          <w:szCs w:val="22"/>
        </w:rPr>
        <w:t>±</w:t>
      </w:r>
      <w:r w:rsidR="0015459C">
        <w:rPr>
          <w:rFonts w:ascii="Arial" w:eastAsiaTheme="minorHAnsi" w:hAnsi="Arial" w:cs="Arial"/>
          <w:sz w:val="22"/>
          <w:szCs w:val="22"/>
          <w:lang w:val="en-US"/>
        </w:rPr>
        <w:t>SE</w:t>
      </w:r>
      <w:r w:rsidR="00F57D8B">
        <w:rPr>
          <w:rFonts w:ascii="Arial" w:eastAsiaTheme="minorHAnsi" w:hAnsi="Arial" w:cs="Arial"/>
          <w:sz w:val="22"/>
          <w:szCs w:val="22"/>
          <w:lang w:val="en-US"/>
        </w:rPr>
        <w:t xml:space="preserve">. </w:t>
      </w:r>
      <w:r w:rsidR="0015459C">
        <w:rPr>
          <w:rFonts w:ascii="Arial" w:eastAsiaTheme="minorHAnsi" w:hAnsi="Arial" w:cs="Arial"/>
          <w:sz w:val="22"/>
          <w:szCs w:val="22"/>
          <w:lang w:val="en-US"/>
        </w:rPr>
        <w:t>Significant differences are indicated as * p&lt;0.05</w:t>
      </w:r>
    </w:p>
    <w:p w14:paraId="0114E51A" w14:textId="77777777" w:rsidR="00F57D8B" w:rsidRDefault="00F57D8B" w:rsidP="0015459C">
      <w:pPr>
        <w:spacing w:line="360" w:lineRule="auto"/>
        <w:jc w:val="both"/>
        <w:rPr>
          <w:rFonts w:ascii="Arial" w:eastAsiaTheme="minorHAnsi" w:hAnsi="Arial" w:cs="Arial"/>
          <w:sz w:val="22"/>
          <w:szCs w:val="22"/>
          <w:lang w:val="en-US"/>
        </w:rPr>
      </w:pPr>
    </w:p>
    <w:p w14:paraId="19A5CE45" w14:textId="77777777" w:rsidR="00906C2F" w:rsidRDefault="0015459C" w:rsidP="00906C2F">
      <w:pPr>
        <w:keepNext/>
        <w:spacing w:line="360" w:lineRule="auto"/>
        <w:jc w:val="both"/>
      </w:pPr>
      <w:r>
        <w:rPr>
          <w:rFonts w:ascii="Arial" w:eastAsiaTheme="minorHAnsi" w:hAnsi="Arial" w:cs="Arial"/>
          <w:noProof/>
          <w:sz w:val="22"/>
          <w:szCs w:val="22"/>
          <w:lang w:val="en-US"/>
        </w:rPr>
        <w:drawing>
          <wp:inline distT="0" distB="0" distL="0" distR="0" wp14:anchorId="1994502D" wp14:editId="69D48B57">
            <wp:extent cx="4304153" cy="277197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04153" cy="2771970"/>
                    </a:xfrm>
                    <a:prstGeom prst="rect">
                      <a:avLst/>
                    </a:prstGeom>
                    <a:noFill/>
                    <a:ln>
                      <a:noFill/>
                    </a:ln>
                  </pic:spPr>
                </pic:pic>
              </a:graphicData>
            </a:graphic>
          </wp:inline>
        </w:drawing>
      </w:r>
    </w:p>
    <w:p w14:paraId="08E6ECE9" w14:textId="77777777" w:rsidR="0015459C" w:rsidRPr="00F57D8B" w:rsidRDefault="00906C2F" w:rsidP="00F57D8B">
      <w:pPr>
        <w:pStyle w:val="Caption"/>
        <w:spacing w:line="360" w:lineRule="auto"/>
        <w:jc w:val="both"/>
        <w:rPr>
          <w:rFonts w:ascii="Arial" w:eastAsiaTheme="minorHAnsi" w:hAnsi="Arial" w:cs="Arial"/>
          <w:color w:val="244061" w:themeColor="accent1" w:themeShade="80"/>
          <w:sz w:val="24"/>
          <w:szCs w:val="24"/>
          <w:lang w:val="en-US"/>
        </w:rPr>
      </w:pPr>
      <w:bookmarkStart w:id="163" w:name="_Toc383544642"/>
      <w:r w:rsidRPr="00F57D8B">
        <w:rPr>
          <w:rFonts w:ascii="Arial" w:hAnsi="Arial"/>
          <w:color w:val="244061" w:themeColor="accent1" w:themeShade="80"/>
          <w:sz w:val="24"/>
          <w:szCs w:val="24"/>
        </w:rPr>
        <w:t xml:space="preserve">Figure </w:t>
      </w:r>
      <w:r w:rsidRPr="00F57D8B">
        <w:rPr>
          <w:rFonts w:ascii="Arial" w:hAnsi="Arial"/>
          <w:color w:val="244061" w:themeColor="accent1" w:themeShade="80"/>
          <w:sz w:val="24"/>
          <w:szCs w:val="24"/>
        </w:rPr>
        <w:fldChar w:fldCharType="begin"/>
      </w:r>
      <w:r w:rsidRPr="00F57D8B">
        <w:rPr>
          <w:rFonts w:ascii="Arial" w:hAnsi="Arial"/>
          <w:color w:val="244061" w:themeColor="accent1" w:themeShade="80"/>
          <w:sz w:val="24"/>
          <w:szCs w:val="24"/>
        </w:rPr>
        <w:instrText xml:space="preserve"> SEQ Figure \* ARABIC </w:instrText>
      </w:r>
      <w:r w:rsidRPr="00F57D8B">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51</w:t>
      </w:r>
      <w:r w:rsidRPr="00F57D8B">
        <w:rPr>
          <w:rFonts w:ascii="Arial" w:hAnsi="Arial"/>
          <w:color w:val="244061" w:themeColor="accent1" w:themeShade="80"/>
          <w:sz w:val="24"/>
          <w:szCs w:val="24"/>
        </w:rPr>
        <w:fldChar w:fldCharType="end"/>
      </w:r>
      <w:r w:rsidR="00F57D8B" w:rsidRPr="00F57D8B">
        <w:rPr>
          <w:rFonts w:ascii="Arial" w:eastAsiaTheme="minorHAnsi" w:hAnsi="Arial" w:cs="Arial"/>
          <w:color w:val="244061" w:themeColor="accent1" w:themeShade="80"/>
          <w:sz w:val="24"/>
          <w:szCs w:val="24"/>
          <w:lang w:val="en-US"/>
        </w:rPr>
        <w:t xml:space="preserve"> </w:t>
      </w:r>
      <w:r w:rsidR="0015459C" w:rsidRPr="00F57D8B">
        <w:rPr>
          <w:rFonts w:ascii="Arial" w:hAnsi="Arial"/>
          <w:color w:val="244061" w:themeColor="accent1" w:themeShade="80"/>
          <w:sz w:val="24"/>
          <w:szCs w:val="24"/>
        </w:rPr>
        <w:t>Changes in</w:t>
      </w:r>
      <w:r w:rsidR="0015459C" w:rsidRPr="00F57D8B">
        <w:rPr>
          <w:rFonts w:ascii="Arial" w:hAnsi="Arial"/>
          <w:i/>
          <w:color w:val="244061" w:themeColor="accent1" w:themeShade="80"/>
          <w:sz w:val="24"/>
          <w:szCs w:val="24"/>
        </w:rPr>
        <w:t xml:space="preserve"> </w:t>
      </w:r>
      <w:r w:rsidR="0015459C" w:rsidRPr="00F57D8B">
        <w:rPr>
          <w:rFonts w:ascii="Arial" w:hAnsi="Arial"/>
          <w:color w:val="244061" w:themeColor="accent1" w:themeShade="80"/>
          <w:sz w:val="24"/>
          <w:szCs w:val="24"/>
        </w:rPr>
        <w:t>leptin serum concentrations in</w:t>
      </w:r>
      <w:r w:rsidR="00E60B8B" w:rsidRPr="00F57D8B">
        <w:rPr>
          <w:rFonts w:ascii="Arial" w:hAnsi="Arial"/>
          <w:color w:val="244061" w:themeColor="accent1" w:themeShade="80"/>
          <w:sz w:val="24"/>
          <w:szCs w:val="24"/>
        </w:rPr>
        <w:t xml:space="preserve"> young </w:t>
      </w:r>
      <w:r w:rsidR="0015459C" w:rsidRPr="00F57D8B">
        <w:rPr>
          <w:rFonts w:ascii="Arial" w:eastAsiaTheme="minorHAnsi" w:hAnsi="Arial"/>
          <w:bCs w:val="0"/>
          <w:color w:val="244061" w:themeColor="accent1" w:themeShade="80"/>
          <w:sz w:val="24"/>
          <w:szCs w:val="24"/>
          <w:lang w:val="en-US"/>
        </w:rPr>
        <w:t>17-week-old fed (n=6) or overnight fasted fed (n=7) male mice</w:t>
      </w:r>
      <w:bookmarkEnd w:id="163"/>
      <w:r w:rsidR="0015459C" w:rsidRPr="00F57D8B">
        <w:rPr>
          <w:rFonts w:ascii="Arial" w:eastAsiaTheme="minorHAnsi" w:hAnsi="Arial"/>
          <w:bCs w:val="0"/>
          <w:color w:val="244061" w:themeColor="accent1" w:themeShade="80"/>
          <w:sz w:val="24"/>
          <w:szCs w:val="24"/>
          <w:lang w:val="en-US"/>
        </w:rPr>
        <w:t xml:space="preserve"> </w:t>
      </w:r>
    </w:p>
    <w:p w14:paraId="1E1B5C55" w14:textId="77777777" w:rsidR="0015459C" w:rsidRPr="00F57D8B" w:rsidRDefault="00266128" w:rsidP="0015459C">
      <w:pPr>
        <w:spacing w:line="360" w:lineRule="auto"/>
        <w:jc w:val="both"/>
        <w:rPr>
          <w:rFonts w:ascii="Arial" w:eastAsiaTheme="minorHAnsi" w:hAnsi="Arial" w:cs="Arial"/>
          <w:sz w:val="22"/>
          <w:szCs w:val="22"/>
          <w:lang w:val="en-US"/>
        </w:rPr>
      </w:pPr>
      <w:r>
        <w:rPr>
          <w:rFonts w:ascii="Arial" w:hAnsi="Arial"/>
          <w:sz w:val="22"/>
          <w:szCs w:val="22"/>
        </w:rPr>
        <w:t>I</w:t>
      </w:r>
      <w:r w:rsidRPr="00015682">
        <w:rPr>
          <w:rFonts w:ascii="Arial" w:hAnsi="Arial"/>
          <w:sz w:val="22"/>
          <w:szCs w:val="22"/>
        </w:rPr>
        <w:t>n faste</w:t>
      </w:r>
      <w:r>
        <w:rPr>
          <w:rFonts w:ascii="Arial" w:hAnsi="Arial"/>
          <w:sz w:val="22"/>
          <w:szCs w:val="22"/>
        </w:rPr>
        <w:t>d fed mice,</w:t>
      </w:r>
      <w:r w:rsidRPr="00015682">
        <w:rPr>
          <w:rFonts w:ascii="Arial" w:hAnsi="Arial"/>
          <w:sz w:val="22"/>
          <w:szCs w:val="22"/>
        </w:rPr>
        <w:t xml:space="preserve"> </w:t>
      </w:r>
      <w:r>
        <w:rPr>
          <w:rFonts w:ascii="Arial" w:hAnsi="Arial"/>
          <w:sz w:val="22"/>
          <w:szCs w:val="22"/>
        </w:rPr>
        <w:t>s</w:t>
      </w:r>
      <w:r w:rsidR="0015459C" w:rsidRPr="00015682">
        <w:rPr>
          <w:rFonts w:ascii="Arial" w:hAnsi="Arial"/>
          <w:sz w:val="22"/>
          <w:szCs w:val="22"/>
        </w:rPr>
        <w:t xml:space="preserve">erum leptin concentrations </w:t>
      </w:r>
      <w:r w:rsidR="0015459C">
        <w:rPr>
          <w:rFonts w:ascii="Arial" w:hAnsi="Arial" w:cs="Arial"/>
          <w:color w:val="000000" w:themeColor="text1"/>
          <w:sz w:val="22"/>
          <w:szCs w:val="22"/>
        </w:rPr>
        <w:t>significantly</w:t>
      </w:r>
      <w:r w:rsidR="0015459C">
        <w:rPr>
          <w:rFonts w:ascii="Arial" w:hAnsi="Arial"/>
          <w:sz w:val="22"/>
          <w:szCs w:val="22"/>
        </w:rPr>
        <w:t xml:space="preserve"> increased at</w:t>
      </w:r>
      <w:r w:rsidR="0015459C" w:rsidRPr="00015682">
        <w:rPr>
          <w:rFonts w:ascii="Arial" w:hAnsi="Arial"/>
          <w:sz w:val="22"/>
          <w:szCs w:val="22"/>
        </w:rPr>
        <w:t xml:space="preserve"> 14:00 and 15:00 compared with </w:t>
      </w:r>
      <w:r w:rsidR="0015459C">
        <w:rPr>
          <w:rFonts w:ascii="Arial" w:hAnsi="Arial"/>
          <w:sz w:val="22"/>
          <w:szCs w:val="22"/>
        </w:rPr>
        <w:t>fasting serum concentration</w:t>
      </w:r>
      <w:r w:rsidR="0015459C" w:rsidRPr="00015682">
        <w:rPr>
          <w:rFonts w:ascii="Arial" w:hAnsi="Arial"/>
          <w:sz w:val="22"/>
          <w:szCs w:val="22"/>
        </w:rPr>
        <w:t xml:space="preserve"> at 12:00 </w:t>
      </w:r>
      <w:r w:rsidR="0015459C">
        <w:rPr>
          <w:rFonts w:ascii="Arial" w:hAnsi="Arial"/>
          <w:sz w:val="22"/>
          <w:szCs w:val="22"/>
        </w:rPr>
        <w:t>and remained unchanged in ad-lib fed mice. C</w:t>
      </w:r>
      <w:r w:rsidR="0015459C" w:rsidRPr="00015682">
        <w:rPr>
          <w:rFonts w:ascii="Arial" w:hAnsi="Arial"/>
          <w:sz w:val="22"/>
          <w:szCs w:val="22"/>
        </w:rPr>
        <w:t>oncentration of serum leptin was significantly lower at 12:00 and significantly higher at 15:00 in fasted fed mice compared to those in ad-lib fed mice</w:t>
      </w:r>
      <w:r w:rsidR="0015459C">
        <w:rPr>
          <w:rFonts w:ascii="Arial" w:hAnsi="Arial"/>
          <w:sz w:val="22"/>
          <w:szCs w:val="22"/>
        </w:rPr>
        <w:t xml:space="preserve">. </w:t>
      </w:r>
      <w:r w:rsidR="0015459C" w:rsidRPr="006F6740">
        <w:rPr>
          <w:rFonts w:ascii="Arial" w:eastAsiaTheme="minorHAnsi" w:hAnsi="Arial" w:cs="Arial"/>
          <w:sz w:val="22"/>
          <w:szCs w:val="22"/>
          <w:lang w:val="en-US"/>
        </w:rPr>
        <w:t>Bars represent mean</w:t>
      </w:r>
      <w:r w:rsidR="0015459C" w:rsidRPr="006F6740">
        <w:rPr>
          <w:rFonts w:ascii="Arial" w:eastAsia="MS Gothic" w:hAnsi="Arial" w:cs="Arial"/>
          <w:sz w:val="22"/>
          <w:szCs w:val="22"/>
        </w:rPr>
        <w:t>±</w:t>
      </w:r>
      <w:r w:rsidR="0015459C">
        <w:rPr>
          <w:rFonts w:ascii="Arial" w:eastAsiaTheme="minorHAnsi" w:hAnsi="Arial" w:cs="Arial"/>
          <w:sz w:val="22"/>
          <w:szCs w:val="22"/>
          <w:lang w:val="en-US"/>
        </w:rPr>
        <w:t>SE</w:t>
      </w:r>
      <w:r w:rsidR="00F57D8B">
        <w:rPr>
          <w:rFonts w:ascii="Arial" w:eastAsiaTheme="minorHAnsi" w:hAnsi="Arial" w:cs="Arial"/>
          <w:sz w:val="22"/>
          <w:szCs w:val="22"/>
          <w:lang w:val="en-US"/>
        </w:rPr>
        <w:t xml:space="preserve">. </w:t>
      </w:r>
      <w:r w:rsidR="0015459C">
        <w:rPr>
          <w:rFonts w:ascii="Arial" w:eastAsiaTheme="minorHAnsi" w:hAnsi="Arial" w:cs="Arial"/>
          <w:sz w:val="22"/>
          <w:szCs w:val="22"/>
          <w:lang w:val="en-US"/>
        </w:rPr>
        <w:t xml:space="preserve">Significant differences are indicated as * p&lt;0.05, *** p&lt;0.001, </w:t>
      </w:r>
      <w:r w:rsidR="0015459C" w:rsidRPr="006F6740">
        <w:rPr>
          <w:rFonts w:ascii="Arial" w:eastAsiaTheme="minorHAnsi" w:hAnsi="Arial" w:cs="Arial"/>
          <w:sz w:val="22"/>
          <w:szCs w:val="22"/>
          <w:lang w:val="en-US"/>
        </w:rPr>
        <w:t>**** p&lt;0.0001</w:t>
      </w:r>
    </w:p>
    <w:p w14:paraId="1AB1F51F" w14:textId="77777777" w:rsidR="004A0070" w:rsidRPr="004A0070" w:rsidRDefault="0015459C" w:rsidP="004A0070">
      <w:pPr>
        <w:keepNext/>
        <w:spacing w:line="360" w:lineRule="auto"/>
        <w:jc w:val="both"/>
      </w:pPr>
      <w:r>
        <w:rPr>
          <w:noProof/>
          <w:lang w:val="en-US"/>
        </w:rPr>
        <w:lastRenderedPageBreak/>
        <w:drawing>
          <wp:inline distT="0" distB="0" distL="0" distR="0" wp14:anchorId="19F273E8" wp14:editId="055542F5">
            <wp:extent cx="4319465" cy="275525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19465" cy="2755255"/>
                    </a:xfrm>
                    <a:prstGeom prst="rect">
                      <a:avLst/>
                    </a:prstGeom>
                    <a:noFill/>
                    <a:ln>
                      <a:noFill/>
                    </a:ln>
                  </pic:spPr>
                </pic:pic>
              </a:graphicData>
            </a:graphic>
          </wp:inline>
        </w:drawing>
      </w:r>
      <w:bookmarkStart w:id="164" w:name="_Toc383544643"/>
    </w:p>
    <w:p w14:paraId="381565FD" w14:textId="77777777" w:rsidR="0015459C" w:rsidRPr="00F57D8B" w:rsidRDefault="00A3205E" w:rsidP="00F57D8B">
      <w:pPr>
        <w:pStyle w:val="Caption"/>
        <w:spacing w:line="360" w:lineRule="auto"/>
        <w:jc w:val="both"/>
        <w:rPr>
          <w:rFonts w:ascii="Arial" w:hAnsi="Arial"/>
          <w:color w:val="244061" w:themeColor="accent1" w:themeShade="80"/>
          <w:sz w:val="24"/>
          <w:szCs w:val="24"/>
        </w:rPr>
      </w:pPr>
      <w:r w:rsidRPr="00F57D8B">
        <w:rPr>
          <w:rFonts w:ascii="Arial" w:hAnsi="Arial"/>
          <w:color w:val="244061" w:themeColor="accent1" w:themeShade="80"/>
          <w:sz w:val="24"/>
          <w:szCs w:val="24"/>
        </w:rPr>
        <w:t xml:space="preserve">Figure </w:t>
      </w:r>
      <w:r w:rsidRPr="00F57D8B">
        <w:rPr>
          <w:rFonts w:ascii="Arial" w:hAnsi="Arial"/>
          <w:color w:val="244061" w:themeColor="accent1" w:themeShade="80"/>
          <w:sz w:val="24"/>
          <w:szCs w:val="24"/>
        </w:rPr>
        <w:fldChar w:fldCharType="begin"/>
      </w:r>
      <w:r w:rsidRPr="00F57D8B">
        <w:rPr>
          <w:rFonts w:ascii="Arial" w:hAnsi="Arial"/>
          <w:color w:val="244061" w:themeColor="accent1" w:themeShade="80"/>
          <w:sz w:val="24"/>
          <w:szCs w:val="24"/>
        </w:rPr>
        <w:instrText xml:space="preserve"> SEQ Figure \* ARABIC </w:instrText>
      </w:r>
      <w:r w:rsidRPr="00F57D8B">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52</w:t>
      </w:r>
      <w:r w:rsidRPr="00F57D8B">
        <w:rPr>
          <w:rFonts w:ascii="Arial" w:hAnsi="Arial"/>
          <w:color w:val="244061" w:themeColor="accent1" w:themeShade="80"/>
          <w:sz w:val="24"/>
          <w:szCs w:val="24"/>
        </w:rPr>
        <w:fldChar w:fldCharType="end"/>
      </w:r>
      <w:r w:rsidR="00F57D8B" w:rsidRPr="00F57D8B">
        <w:rPr>
          <w:rFonts w:ascii="Arial" w:hAnsi="Arial"/>
          <w:color w:val="244061" w:themeColor="accent1" w:themeShade="80"/>
          <w:sz w:val="24"/>
          <w:szCs w:val="24"/>
        </w:rPr>
        <w:t xml:space="preserve"> </w:t>
      </w:r>
      <w:r w:rsidR="0015459C" w:rsidRPr="00F57D8B">
        <w:rPr>
          <w:rFonts w:ascii="Arial" w:hAnsi="Arial"/>
          <w:color w:val="244061" w:themeColor="accent1" w:themeShade="80"/>
          <w:sz w:val="24"/>
          <w:szCs w:val="24"/>
        </w:rPr>
        <w:t>Changes in insulin serum concentrations in</w:t>
      </w:r>
      <w:r w:rsidR="0015459C" w:rsidRPr="00F57D8B">
        <w:rPr>
          <w:rFonts w:ascii="Arial" w:hAnsi="Arial"/>
          <w:i/>
          <w:color w:val="244061" w:themeColor="accent1" w:themeShade="80"/>
          <w:sz w:val="24"/>
          <w:szCs w:val="24"/>
        </w:rPr>
        <w:t xml:space="preserve"> </w:t>
      </w:r>
      <w:r w:rsidR="00E60B8B" w:rsidRPr="00F57D8B">
        <w:rPr>
          <w:rFonts w:ascii="Arial" w:hAnsi="Arial"/>
          <w:color w:val="244061" w:themeColor="accent1" w:themeShade="80"/>
          <w:sz w:val="24"/>
          <w:szCs w:val="24"/>
        </w:rPr>
        <w:t>young</w:t>
      </w:r>
      <w:r w:rsidR="00E60B8B" w:rsidRPr="00F57D8B">
        <w:rPr>
          <w:rFonts w:ascii="Arial" w:hAnsi="Arial"/>
          <w:i/>
          <w:color w:val="244061" w:themeColor="accent1" w:themeShade="80"/>
          <w:sz w:val="24"/>
          <w:szCs w:val="24"/>
        </w:rPr>
        <w:t xml:space="preserve"> </w:t>
      </w:r>
      <w:r w:rsidR="0015459C" w:rsidRPr="00F57D8B">
        <w:rPr>
          <w:rFonts w:ascii="Arial" w:eastAsiaTheme="minorHAnsi" w:hAnsi="Arial"/>
          <w:bCs w:val="0"/>
          <w:color w:val="244061" w:themeColor="accent1" w:themeShade="80"/>
          <w:sz w:val="24"/>
          <w:szCs w:val="24"/>
          <w:lang w:val="en-US"/>
        </w:rPr>
        <w:t>17-week-old fed (n=6) or overnight fasted fed (n=7) male mice</w:t>
      </w:r>
      <w:bookmarkEnd w:id="164"/>
      <w:r w:rsidR="0015459C" w:rsidRPr="00F57D8B">
        <w:rPr>
          <w:rFonts w:ascii="Arial" w:eastAsiaTheme="minorHAnsi" w:hAnsi="Arial"/>
          <w:bCs w:val="0"/>
          <w:color w:val="244061" w:themeColor="accent1" w:themeShade="80"/>
          <w:sz w:val="24"/>
          <w:szCs w:val="24"/>
          <w:lang w:val="en-US"/>
        </w:rPr>
        <w:t xml:space="preserve"> </w:t>
      </w:r>
    </w:p>
    <w:p w14:paraId="27F67430" w14:textId="77777777" w:rsidR="0015459C" w:rsidRDefault="0015459C" w:rsidP="0015459C">
      <w:pPr>
        <w:spacing w:line="360" w:lineRule="auto"/>
        <w:jc w:val="both"/>
        <w:rPr>
          <w:rFonts w:ascii="Arial" w:eastAsiaTheme="minorHAnsi" w:hAnsi="Arial" w:cs="Arial"/>
          <w:sz w:val="22"/>
          <w:szCs w:val="22"/>
          <w:lang w:val="en-US"/>
        </w:rPr>
      </w:pPr>
      <w:r w:rsidRPr="00735414">
        <w:rPr>
          <w:rFonts w:ascii="Arial" w:hAnsi="Arial"/>
          <w:sz w:val="22"/>
          <w:szCs w:val="22"/>
        </w:rPr>
        <w:t xml:space="preserve">Serum insulin concentration significantly increased </w:t>
      </w:r>
      <w:r w:rsidR="00F46B8C">
        <w:rPr>
          <w:rFonts w:ascii="Arial" w:hAnsi="Arial"/>
          <w:sz w:val="22"/>
          <w:szCs w:val="22"/>
        </w:rPr>
        <w:t xml:space="preserve">from 12:00 to </w:t>
      </w:r>
      <w:r>
        <w:rPr>
          <w:rFonts w:ascii="Arial" w:hAnsi="Arial"/>
          <w:sz w:val="22"/>
          <w:szCs w:val="22"/>
        </w:rPr>
        <w:t xml:space="preserve">14:00 </w:t>
      </w:r>
      <w:r w:rsidRPr="00735414">
        <w:rPr>
          <w:rFonts w:ascii="Arial" w:hAnsi="Arial"/>
          <w:sz w:val="22"/>
          <w:szCs w:val="22"/>
        </w:rPr>
        <w:t>in fasted</w:t>
      </w:r>
      <w:r>
        <w:rPr>
          <w:rFonts w:ascii="Arial" w:hAnsi="Arial"/>
          <w:sz w:val="22"/>
          <w:szCs w:val="22"/>
        </w:rPr>
        <w:t xml:space="preserve"> fed</w:t>
      </w:r>
      <w:r w:rsidRPr="00735414">
        <w:rPr>
          <w:rFonts w:ascii="Arial" w:hAnsi="Arial"/>
          <w:sz w:val="22"/>
          <w:szCs w:val="22"/>
        </w:rPr>
        <w:t xml:space="preserve"> mice and in comparison to that in ad-lib fed mice, then significantly decreased at 15:00</w:t>
      </w:r>
      <w:r>
        <w:rPr>
          <w:rFonts w:ascii="Arial" w:hAnsi="Arial"/>
          <w:sz w:val="22"/>
          <w:szCs w:val="22"/>
        </w:rPr>
        <w:t>.</w:t>
      </w:r>
      <w:r w:rsidRPr="00704075">
        <w:rPr>
          <w:rFonts w:ascii="Arial" w:eastAsiaTheme="minorHAnsi" w:hAnsi="Arial" w:cs="Arial"/>
          <w:sz w:val="22"/>
          <w:szCs w:val="22"/>
          <w:lang w:val="en-US"/>
        </w:rPr>
        <w:t xml:space="preserve"> </w:t>
      </w:r>
      <w:r w:rsidRPr="006F6740">
        <w:rPr>
          <w:rFonts w:ascii="Arial" w:eastAsiaTheme="minorHAnsi" w:hAnsi="Arial" w:cs="Arial"/>
          <w:sz w:val="22"/>
          <w:szCs w:val="22"/>
          <w:lang w:val="en-US"/>
        </w:rPr>
        <w:t>Bars represent mean</w:t>
      </w:r>
      <w:r w:rsidRPr="006F6740">
        <w:rPr>
          <w:rFonts w:ascii="Arial" w:eastAsia="MS Gothic" w:hAnsi="Arial" w:cs="Arial"/>
          <w:sz w:val="22"/>
          <w:szCs w:val="22"/>
        </w:rPr>
        <w:t>±</w:t>
      </w:r>
      <w:r>
        <w:rPr>
          <w:rFonts w:ascii="Arial" w:eastAsiaTheme="minorHAnsi" w:hAnsi="Arial" w:cs="Arial"/>
          <w:sz w:val="22"/>
          <w:szCs w:val="22"/>
          <w:lang w:val="en-US"/>
        </w:rPr>
        <w:t>SE</w:t>
      </w:r>
      <w:r w:rsidR="00F46B8C">
        <w:rPr>
          <w:rFonts w:ascii="Arial" w:eastAsiaTheme="minorHAnsi" w:hAnsi="Arial" w:cs="Arial"/>
          <w:sz w:val="22"/>
          <w:szCs w:val="22"/>
          <w:lang w:val="en-US"/>
        </w:rPr>
        <w:t xml:space="preserve">. </w:t>
      </w:r>
      <w:r>
        <w:rPr>
          <w:rFonts w:ascii="Arial" w:eastAsiaTheme="minorHAnsi" w:hAnsi="Arial" w:cs="Arial"/>
          <w:sz w:val="22"/>
          <w:szCs w:val="22"/>
          <w:lang w:val="en-US"/>
        </w:rPr>
        <w:t>Significant differences are indicated as * p&lt;0.05, ** p&lt;0.01</w:t>
      </w:r>
    </w:p>
    <w:p w14:paraId="34D42C5B" w14:textId="77777777" w:rsidR="00F46B8C" w:rsidRDefault="00F46B8C" w:rsidP="0015459C">
      <w:pPr>
        <w:spacing w:line="360" w:lineRule="auto"/>
        <w:jc w:val="both"/>
        <w:rPr>
          <w:rFonts w:ascii="Arial" w:eastAsiaTheme="minorHAnsi" w:hAnsi="Arial" w:cs="Arial"/>
          <w:sz w:val="22"/>
          <w:szCs w:val="22"/>
          <w:lang w:val="en-US"/>
        </w:rPr>
      </w:pPr>
    </w:p>
    <w:p w14:paraId="4AB66D82" w14:textId="77777777" w:rsidR="0015459C" w:rsidRPr="00E9191D" w:rsidRDefault="0015459C" w:rsidP="0015459C">
      <w:pPr>
        <w:spacing w:line="360" w:lineRule="auto"/>
        <w:jc w:val="both"/>
        <w:rPr>
          <w:rFonts w:ascii="Arial" w:hAnsi="Arial"/>
          <w:sz w:val="22"/>
          <w:szCs w:val="22"/>
        </w:rPr>
      </w:pPr>
    </w:p>
    <w:p w14:paraId="5393F4E2" w14:textId="77777777" w:rsidR="00A3205E" w:rsidRDefault="0015459C" w:rsidP="003E7777">
      <w:pPr>
        <w:keepNext/>
        <w:spacing w:line="360" w:lineRule="auto"/>
        <w:ind w:left="284"/>
        <w:jc w:val="both"/>
      </w:pPr>
      <w:r>
        <w:rPr>
          <w:noProof/>
          <w:lang w:val="en-US"/>
        </w:rPr>
        <w:drawing>
          <wp:inline distT="0" distB="0" distL="0" distR="0" wp14:anchorId="32F662E8" wp14:editId="73BA3408">
            <wp:extent cx="4319465" cy="2756403"/>
            <wp:effectExtent l="0" t="0" r="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319465" cy="2756403"/>
                    </a:xfrm>
                    <a:prstGeom prst="rect">
                      <a:avLst/>
                    </a:prstGeom>
                    <a:noFill/>
                    <a:ln>
                      <a:noFill/>
                    </a:ln>
                  </pic:spPr>
                </pic:pic>
              </a:graphicData>
            </a:graphic>
          </wp:inline>
        </w:drawing>
      </w:r>
    </w:p>
    <w:p w14:paraId="6E266814" w14:textId="77777777" w:rsidR="0015459C" w:rsidRPr="00F46B8C" w:rsidRDefault="00A3205E" w:rsidP="00F46B8C">
      <w:pPr>
        <w:pStyle w:val="Caption"/>
        <w:spacing w:line="360" w:lineRule="auto"/>
        <w:jc w:val="both"/>
        <w:rPr>
          <w:rFonts w:ascii="Arial" w:hAnsi="Arial"/>
          <w:color w:val="244061" w:themeColor="accent1" w:themeShade="80"/>
          <w:sz w:val="24"/>
          <w:szCs w:val="24"/>
        </w:rPr>
      </w:pPr>
      <w:bookmarkStart w:id="165" w:name="_Toc383544644"/>
      <w:r w:rsidRPr="00F46B8C">
        <w:rPr>
          <w:rFonts w:ascii="Arial" w:hAnsi="Arial"/>
          <w:color w:val="244061" w:themeColor="accent1" w:themeShade="80"/>
          <w:sz w:val="24"/>
          <w:szCs w:val="24"/>
        </w:rPr>
        <w:t xml:space="preserve">Figure </w:t>
      </w:r>
      <w:r w:rsidRPr="00F46B8C">
        <w:rPr>
          <w:rFonts w:ascii="Arial" w:hAnsi="Arial"/>
          <w:color w:val="244061" w:themeColor="accent1" w:themeShade="80"/>
          <w:sz w:val="24"/>
          <w:szCs w:val="24"/>
        </w:rPr>
        <w:fldChar w:fldCharType="begin"/>
      </w:r>
      <w:r w:rsidRPr="00F46B8C">
        <w:rPr>
          <w:rFonts w:ascii="Arial" w:hAnsi="Arial"/>
          <w:color w:val="244061" w:themeColor="accent1" w:themeShade="80"/>
          <w:sz w:val="24"/>
          <w:szCs w:val="24"/>
        </w:rPr>
        <w:instrText xml:space="preserve"> SEQ Figure \* ARABIC </w:instrText>
      </w:r>
      <w:r w:rsidRPr="00F46B8C">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53</w:t>
      </w:r>
      <w:r w:rsidRPr="00F46B8C">
        <w:rPr>
          <w:rFonts w:ascii="Arial" w:hAnsi="Arial"/>
          <w:color w:val="244061" w:themeColor="accent1" w:themeShade="80"/>
          <w:sz w:val="24"/>
          <w:szCs w:val="24"/>
        </w:rPr>
        <w:fldChar w:fldCharType="end"/>
      </w:r>
      <w:r w:rsidR="00F46B8C" w:rsidRPr="00F46B8C">
        <w:rPr>
          <w:rFonts w:ascii="Arial" w:hAnsi="Arial"/>
          <w:color w:val="244061" w:themeColor="accent1" w:themeShade="80"/>
          <w:sz w:val="24"/>
          <w:szCs w:val="24"/>
        </w:rPr>
        <w:t xml:space="preserve"> </w:t>
      </w:r>
      <w:r w:rsidR="0015459C" w:rsidRPr="00F46B8C">
        <w:rPr>
          <w:rFonts w:ascii="Arial" w:hAnsi="Arial"/>
          <w:color w:val="244061" w:themeColor="accent1" w:themeShade="80"/>
          <w:sz w:val="24"/>
          <w:szCs w:val="24"/>
        </w:rPr>
        <w:t>Changes in</w:t>
      </w:r>
      <w:r w:rsidR="0015459C" w:rsidRPr="00F46B8C">
        <w:rPr>
          <w:rFonts w:ascii="Arial" w:hAnsi="Arial"/>
          <w:i/>
          <w:color w:val="244061" w:themeColor="accent1" w:themeShade="80"/>
          <w:sz w:val="24"/>
          <w:szCs w:val="24"/>
        </w:rPr>
        <w:t xml:space="preserve"> </w:t>
      </w:r>
      <w:r w:rsidR="0015459C" w:rsidRPr="00F46B8C">
        <w:rPr>
          <w:rFonts w:ascii="Arial" w:hAnsi="Arial"/>
          <w:color w:val="244061" w:themeColor="accent1" w:themeShade="80"/>
          <w:sz w:val="24"/>
          <w:szCs w:val="24"/>
        </w:rPr>
        <w:t>GIP serum concentrations in</w:t>
      </w:r>
      <w:r w:rsidR="0015459C" w:rsidRPr="00F46B8C">
        <w:rPr>
          <w:rFonts w:ascii="Arial" w:hAnsi="Arial"/>
          <w:i/>
          <w:color w:val="244061" w:themeColor="accent1" w:themeShade="80"/>
          <w:sz w:val="24"/>
          <w:szCs w:val="24"/>
        </w:rPr>
        <w:t xml:space="preserve"> </w:t>
      </w:r>
      <w:r w:rsidR="00E60B8B" w:rsidRPr="00F46B8C">
        <w:rPr>
          <w:rFonts w:ascii="Arial" w:hAnsi="Arial"/>
          <w:color w:val="244061" w:themeColor="accent1" w:themeShade="80"/>
          <w:sz w:val="24"/>
          <w:szCs w:val="24"/>
        </w:rPr>
        <w:t>young</w:t>
      </w:r>
      <w:r w:rsidR="00E60B8B" w:rsidRPr="00F46B8C">
        <w:rPr>
          <w:rFonts w:ascii="Arial" w:hAnsi="Arial"/>
          <w:i/>
          <w:color w:val="244061" w:themeColor="accent1" w:themeShade="80"/>
          <w:sz w:val="24"/>
          <w:szCs w:val="24"/>
        </w:rPr>
        <w:t xml:space="preserve"> </w:t>
      </w:r>
      <w:r w:rsidR="0015459C" w:rsidRPr="00F46B8C">
        <w:rPr>
          <w:rFonts w:ascii="Arial" w:eastAsiaTheme="minorHAnsi" w:hAnsi="Arial"/>
          <w:bCs w:val="0"/>
          <w:color w:val="244061" w:themeColor="accent1" w:themeShade="80"/>
          <w:sz w:val="24"/>
          <w:szCs w:val="24"/>
          <w:lang w:val="en-US"/>
        </w:rPr>
        <w:t>17-week-old fed (n=6) or overnight fasted fed (n=7) male mice</w:t>
      </w:r>
      <w:bookmarkEnd w:id="165"/>
    </w:p>
    <w:p w14:paraId="5273A945" w14:textId="77777777" w:rsidR="0015459C" w:rsidRPr="00F46B8C" w:rsidRDefault="00266128" w:rsidP="0015459C">
      <w:pPr>
        <w:spacing w:line="360" w:lineRule="auto"/>
        <w:jc w:val="both"/>
        <w:rPr>
          <w:rFonts w:ascii="Arial" w:eastAsiaTheme="minorHAnsi" w:hAnsi="Arial" w:cs="Arial"/>
          <w:sz w:val="22"/>
          <w:szCs w:val="22"/>
          <w:lang w:val="en-US"/>
        </w:rPr>
      </w:pPr>
      <w:r>
        <w:rPr>
          <w:rFonts w:ascii="Arial" w:hAnsi="Arial"/>
          <w:sz w:val="22"/>
          <w:szCs w:val="22"/>
        </w:rPr>
        <w:t>I</w:t>
      </w:r>
      <w:r w:rsidRPr="00D95184">
        <w:rPr>
          <w:rFonts w:ascii="Arial" w:hAnsi="Arial"/>
          <w:sz w:val="22"/>
          <w:szCs w:val="22"/>
        </w:rPr>
        <w:t xml:space="preserve">n fasted fed </w:t>
      </w:r>
      <w:r>
        <w:rPr>
          <w:rFonts w:ascii="Arial" w:hAnsi="Arial"/>
          <w:sz w:val="22"/>
          <w:szCs w:val="22"/>
        </w:rPr>
        <w:t>mice,</w:t>
      </w:r>
      <w:r w:rsidRPr="00D95184">
        <w:rPr>
          <w:rFonts w:ascii="Arial" w:hAnsi="Arial"/>
          <w:sz w:val="22"/>
          <w:szCs w:val="22"/>
        </w:rPr>
        <w:t xml:space="preserve"> </w:t>
      </w:r>
      <w:r>
        <w:rPr>
          <w:rFonts w:ascii="Arial" w:hAnsi="Arial"/>
          <w:sz w:val="22"/>
          <w:szCs w:val="22"/>
        </w:rPr>
        <w:t>s</w:t>
      </w:r>
      <w:r w:rsidR="0015459C">
        <w:rPr>
          <w:rFonts w:ascii="Arial" w:hAnsi="Arial"/>
          <w:sz w:val="22"/>
          <w:szCs w:val="22"/>
        </w:rPr>
        <w:t>erum GIP concentration</w:t>
      </w:r>
      <w:r w:rsidR="0015459C" w:rsidRPr="00D95184">
        <w:rPr>
          <w:rFonts w:ascii="Arial" w:hAnsi="Arial"/>
          <w:sz w:val="22"/>
          <w:szCs w:val="22"/>
        </w:rPr>
        <w:t xml:space="preserve"> significantly increased at 14:00 and 15:00 compared with </w:t>
      </w:r>
      <w:r w:rsidR="0015459C">
        <w:rPr>
          <w:rFonts w:ascii="Arial" w:hAnsi="Arial"/>
          <w:sz w:val="22"/>
          <w:szCs w:val="22"/>
        </w:rPr>
        <w:t>those</w:t>
      </w:r>
      <w:r w:rsidR="0015459C" w:rsidRPr="00D95184">
        <w:rPr>
          <w:rFonts w:ascii="Arial" w:hAnsi="Arial"/>
          <w:sz w:val="22"/>
          <w:szCs w:val="22"/>
        </w:rPr>
        <w:t xml:space="preserve"> at 12:00 </w:t>
      </w:r>
      <w:r w:rsidR="0015459C">
        <w:rPr>
          <w:rFonts w:ascii="Arial" w:hAnsi="Arial"/>
          <w:sz w:val="22"/>
          <w:szCs w:val="22"/>
        </w:rPr>
        <w:t xml:space="preserve">and remained unchanged in </w:t>
      </w:r>
      <w:r w:rsidR="0015459C" w:rsidRPr="00D95184">
        <w:rPr>
          <w:rFonts w:ascii="Arial" w:hAnsi="Arial"/>
          <w:sz w:val="22"/>
          <w:szCs w:val="22"/>
        </w:rPr>
        <w:t>fed mice</w:t>
      </w:r>
      <w:r w:rsidR="00F46B8C">
        <w:rPr>
          <w:rFonts w:ascii="Arial" w:hAnsi="Arial"/>
          <w:sz w:val="22"/>
          <w:szCs w:val="22"/>
        </w:rPr>
        <w:t>.</w:t>
      </w:r>
      <w:r w:rsidR="0015459C" w:rsidRPr="00D95184">
        <w:rPr>
          <w:rFonts w:ascii="Arial" w:hAnsi="Arial"/>
          <w:sz w:val="22"/>
          <w:szCs w:val="22"/>
        </w:rPr>
        <w:t xml:space="preserve"> </w:t>
      </w:r>
      <w:r w:rsidR="0015459C" w:rsidRPr="006F6740">
        <w:rPr>
          <w:rFonts w:ascii="Arial" w:eastAsiaTheme="minorHAnsi" w:hAnsi="Arial" w:cs="Arial"/>
          <w:sz w:val="22"/>
          <w:szCs w:val="22"/>
          <w:lang w:val="en-US"/>
        </w:rPr>
        <w:t>Bars represent mean</w:t>
      </w:r>
      <w:r w:rsidR="0015459C" w:rsidRPr="006F6740">
        <w:rPr>
          <w:rFonts w:ascii="Arial" w:eastAsia="MS Gothic" w:hAnsi="Arial" w:cs="Arial"/>
          <w:sz w:val="22"/>
          <w:szCs w:val="22"/>
        </w:rPr>
        <w:t>±</w:t>
      </w:r>
      <w:r w:rsidR="0015459C">
        <w:rPr>
          <w:rFonts w:ascii="Arial" w:eastAsiaTheme="minorHAnsi" w:hAnsi="Arial" w:cs="Arial"/>
          <w:sz w:val="22"/>
          <w:szCs w:val="22"/>
          <w:lang w:val="en-US"/>
        </w:rPr>
        <w:t>SE</w:t>
      </w:r>
      <w:r w:rsidR="00F46B8C">
        <w:rPr>
          <w:rFonts w:ascii="Arial" w:eastAsiaTheme="minorHAnsi" w:hAnsi="Arial" w:cs="Arial"/>
          <w:sz w:val="22"/>
          <w:szCs w:val="22"/>
          <w:lang w:val="en-US"/>
        </w:rPr>
        <w:t xml:space="preserve">. </w:t>
      </w:r>
      <w:r w:rsidR="0015459C">
        <w:rPr>
          <w:rFonts w:ascii="Arial" w:eastAsiaTheme="minorHAnsi" w:hAnsi="Arial" w:cs="Arial"/>
          <w:sz w:val="22"/>
          <w:szCs w:val="22"/>
          <w:lang w:val="en-US"/>
        </w:rPr>
        <w:t>Significant differences are indicated as * p&lt;0.05, ** p&lt;0.01</w:t>
      </w:r>
    </w:p>
    <w:p w14:paraId="3A31AC62" w14:textId="77777777" w:rsidR="0015459C" w:rsidRPr="00D43112" w:rsidRDefault="0015459C" w:rsidP="0015459C">
      <w:pPr>
        <w:spacing w:line="360" w:lineRule="auto"/>
        <w:jc w:val="both"/>
      </w:pPr>
    </w:p>
    <w:p w14:paraId="1EAF1028" w14:textId="77777777" w:rsidR="00A3205E" w:rsidRDefault="0015459C" w:rsidP="00A3205E">
      <w:pPr>
        <w:pStyle w:val="Caption"/>
        <w:keepNext/>
        <w:spacing w:line="360" w:lineRule="auto"/>
      </w:pPr>
      <w:r>
        <w:rPr>
          <w:noProof/>
          <w:color w:val="1F497D" w:themeColor="text2"/>
          <w:sz w:val="24"/>
          <w:szCs w:val="24"/>
          <w:lang w:val="en-US"/>
        </w:rPr>
        <w:lastRenderedPageBreak/>
        <w:drawing>
          <wp:inline distT="0" distB="0" distL="0" distR="0" wp14:anchorId="147690BF" wp14:editId="239BB5BF">
            <wp:extent cx="4319221" cy="275209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319465" cy="2752245"/>
                    </a:xfrm>
                    <a:prstGeom prst="rect">
                      <a:avLst/>
                    </a:prstGeom>
                    <a:noFill/>
                    <a:ln>
                      <a:noFill/>
                    </a:ln>
                  </pic:spPr>
                </pic:pic>
              </a:graphicData>
            </a:graphic>
          </wp:inline>
        </w:drawing>
      </w:r>
    </w:p>
    <w:p w14:paraId="3D0B9F3B" w14:textId="77777777" w:rsidR="0015459C" w:rsidRPr="00266128" w:rsidRDefault="00A3205E" w:rsidP="00266128">
      <w:pPr>
        <w:pStyle w:val="Caption"/>
        <w:spacing w:line="360" w:lineRule="auto"/>
        <w:jc w:val="both"/>
        <w:rPr>
          <w:rFonts w:ascii="Arial" w:hAnsi="Arial"/>
          <w:color w:val="244061" w:themeColor="accent1" w:themeShade="80"/>
          <w:sz w:val="24"/>
          <w:szCs w:val="24"/>
        </w:rPr>
      </w:pPr>
      <w:bookmarkStart w:id="166" w:name="_Toc383544645"/>
      <w:r w:rsidRPr="00266128">
        <w:rPr>
          <w:rFonts w:ascii="Arial" w:hAnsi="Arial"/>
          <w:color w:val="244061" w:themeColor="accent1" w:themeShade="80"/>
          <w:sz w:val="24"/>
          <w:szCs w:val="24"/>
        </w:rPr>
        <w:t xml:space="preserve">Figure </w:t>
      </w:r>
      <w:r w:rsidRPr="00266128">
        <w:rPr>
          <w:rFonts w:ascii="Arial" w:hAnsi="Arial"/>
          <w:color w:val="244061" w:themeColor="accent1" w:themeShade="80"/>
          <w:sz w:val="24"/>
          <w:szCs w:val="24"/>
        </w:rPr>
        <w:fldChar w:fldCharType="begin"/>
      </w:r>
      <w:r w:rsidRPr="00266128">
        <w:rPr>
          <w:rFonts w:ascii="Arial" w:hAnsi="Arial"/>
          <w:color w:val="244061" w:themeColor="accent1" w:themeShade="80"/>
          <w:sz w:val="24"/>
          <w:szCs w:val="24"/>
        </w:rPr>
        <w:instrText xml:space="preserve"> SEQ Figure \* ARABIC </w:instrText>
      </w:r>
      <w:r w:rsidRPr="00266128">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54</w:t>
      </w:r>
      <w:r w:rsidRPr="00266128">
        <w:rPr>
          <w:rFonts w:ascii="Arial" w:hAnsi="Arial"/>
          <w:color w:val="244061" w:themeColor="accent1" w:themeShade="80"/>
          <w:sz w:val="24"/>
          <w:szCs w:val="24"/>
        </w:rPr>
        <w:fldChar w:fldCharType="end"/>
      </w:r>
      <w:r w:rsidR="00266128" w:rsidRPr="00266128">
        <w:rPr>
          <w:rFonts w:ascii="Arial" w:hAnsi="Arial"/>
          <w:color w:val="244061" w:themeColor="accent1" w:themeShade="80"/>
          <w:sz w:val="24"/>
          <w:szCs w:val="24"/>
        </w:rPr>
        <w:t xml:space="preserve"> </w:t>
      </w:r>
      <w:r w:rsidR="0015459C" w:rsidRPr="00266128">
        <w:rPr>
          <w:rFonts w:ascii="Arial" w:hAnsi="Arial"/>
          <w:color w:val="244061" w:themeColor="accent1" w:themeShade="80"/>
          <w:sz w:val="24"/>
          <w:szCs w:val="24"/>
        </w:rPr>
        <w:t>Changes in</w:t>
      </w:r>
      <w:r w:rsidR="0015459C" w:rsidRPr="00266128">
        <w:rPr>
          <w:rFonts w:ascii="Arial" w:hAnsi="Arial"/>
          <w:i/>
          <w:color w:val="244061" w:themeColor="accent1" w:themeShade="80"/>
          <w:sz w:val="24"/>
          <w:szCs w:val="24"/>
        </w:rPr>
        <w:t xml:space="preserve"> </w:t>
      </w:r>
      <w:r w:rsidR="0015459C" w:rsidRPr="00266128">
        <w:rPr>
          <w:rFonts w:ascii="Arial" w:hAnsi="Arial"/>
          <w:color w:val="244061" w:themeColor="accent1" w:themeShade="80"/>
          <w:sz w:val="24"/>
          <w:szCs w:val="24"/>
        </w:rPr>
        <w:t>GLP1 serum concentrations in</w:t>
      </w:r>
      <w:r w:rsidR="0015459C" w:rsidRPr="00266128">
        <w:rPr>
          <w:rFonts w:ascii="Arial" w:hAnsi="Arial"/>
          <w:i/>
          <w:color w:val="244061" w:themeColor="accent1" w:themeShade="80"/>
          <w:sz w:val="24"/>
          <w:szCs w:val="24"/>
        </w:rPr>
        <w:t xml:space="preserve"> </w:t>
      </w:r>
      <w:r w:rsidR="00E60B8B" w:rsidRPr="00266128">
        <w:rPr>
          <w:rFonts w:ascii="Arial" w:hAnsi="Arial"/>
          <w:color w:val="244061" w:themeColor="accent1" w:themeShade="80"/>
          <w:sz w:val="24"/>
          <w:szCs w:val="24"/>
        </w:rPr>
        <w:t>young</w:t>
      </w:r>
      <w:r w:rsidR="00E60B8B" w:rsidRPr="00266128">
        <w:rPr>
          <w:rFonts w:ascii="Arial" w:hAnsi="Arial"/>
          <w:i/>
          <w:color w:val="244061" w:themeColor="accent1" w:themeShade="80"/>
          <w:sz w:val="24"/>
          <w:szCs w:val="24"/>
        </w:rPr>
        <w:t xml:space="preserve"> </w:t>
      </w:r>
      <w:r w:rsidR="0015459C" w:rsidRPr="00266128">
        <w:rPr>
          <w:rFonts w:ascii="Arial" w:eastAsiaTheme="minorHAnsi" w:hAnsi="Arial"/>
          <w:bCs w:val="0"/>
          <w:color w:val="244061" w:themeColor="accent1" w:themeShade="80"/>
          <w:sz w:val="24"/>
          <w:szCs w:val="24"/>
          <w:lang w:val="en-US"/>
        </w:rPr>
        <w:t>17-week-old fed (n=6) or overnight fasted fed (n=7) male mice</w:t>
      </w:r>
      <w:bookmarkEnd w:id="166"/>
      <w:r w:rsidR="0015459C" w:rsidRPr="00266128">
        <w:rPr>
          <w:rFonts w:ascii="Arial" w:eastAsiaTheme="minorHAnsi" w:hAnsi="Arial"/>
          <w:bCs w:val="0"/>
          <w:color w:val="244061" w:themeColor="accent1" w:themeShade="80"/>
          <w:sz w:val="24"/>
          <w:szCs w:val="24"/>
          <w:lang w:val="en-US"/>
        </w:rPr>
        <w:t xml:space="preserve"> </w:t>
      </w:r>
    </w:p>
    <w:p w14:paraId="01E865F7" w14:textId="77777777" w:rsidR="0015459C" w:rsidRPr="00266128" w:rsidRDefault="00266128" w:rsidP="0015459C">
      <w:pPr>
        <w:spacing w:line="360" w:lineRule="auto"/>
        <w:jc w:val="both"/>
        <w:rPr>
          <w:rFonts w:ascii="Arial" w:eastAsiaTheme="minorHAnsi" w:hAnsi="Arial" w:cs="Arial"/>
          <w:sz w:val="22"/>
          <w:szCs w:val="22"/>
          <w:lang w:val="en-US"/>
        </w:rPr>
      </w:pPr>
      <w:r>
        <w:rPr>
          <w:rFonts w:ascii="Arial" w:hAnsi="Arial"/>
          <w:sz w:val="22"/>
          <w:szCs w:val="22"/>
        </w:rPr>
        <w:t>I</w:t>
      </w:r>
      <w:r w:rsidRPr="00D95184">
        <w:rPr>
          <w:rFonts w:ascii="Arial" w:hAnsi="Arial"/>
          <w:sz w:val="22"/>
          <w:szCs w:val="22"/>
        </w:rPr>
        <w:t xml:space="preserve">n fasted fed </w:t>
      </w:r>
      <w:r>
        <w:rPr>
          <w:rFonts w:ascii="Arial" w:hAnsi="Arial"/>
          <w:sz w:val="22"/>
          <w:szCs w:val="22"/>
        </w:rPr>
        <w:t>mice,</w:t>
      </w:r>
      <w:r w:rsidRPr="00D95184">
        <w:rPr>
          <w:rFonts w:ascii="Arial" w:hAnsi="Arial"/>
          <w:sz w:val="22"/>
          <w:szCs w:val="22"/>
        </w:rPr>
        <w:t xml:space="preserve"> </w:t>
      </w:r>
      <w:r>
        <w:rPr>
          <w:rFonts w:ascii="Arial" w:hAnsi="Arial"/>
          <w:sz w:val="22"/>
          <w:szCs w:val="22"/>
        </w:rPr>
        <w:t>s</w:t>
      </w:r>
      <w:r w:rsidR="0015459C">
        <w:rPr>
          <w:rFonts w:ascii="Arial" w:hAnsi="Arial"/>
          <w:sz w:val="22"/>
          <w:szCs w:val="22"/>
        </w:rPr>
        <w:t xml:space="preserve">erum </w:t>
      </w:r>
      <w:r w:rsidR="0015459C" w:rsidRPr="00D95184">
        <w:rPr>
          <w:rFonts w:ascii="Arial" w:hAnsi="Arial"/>
          <w:sz w:val="22"/>
          <w:szCs w:val="22"/>
        </w:rPr>
        <w:t xml:space="preserve">GLP1 concentrations significantly increased at 14:00 and 15:00 compared with </w:t>
      </w:r>
      <w:r w:rsidR="0015459C">
        <w:rPr>
          <w:rFonts w:ascii="Arial" w:hAnsi="Arial"/>
          <w:sz w:val="22"/>
          <w:szCs w:val="22"/>
        </w:rPr>
        <w:t>those</w:t>
      </w:r>
      <w:r w:rsidR="0015459C" w:rsidRPr="00D95184">
        <w:rPr>
          <w:rFonts w:ascii="Arial" w:hAnsi="Arial"/>
          <w:sz w:val="22"/>
          <w:szCs w:val="22"/>
        </w:rPr>
        <w:t xml:space="preserve"> at 12:00 </w:t>
      </w:r>
      <w:r w:rsidR="0015459C">
        <w:rPr>
          <w:rFonts w:ascii="Arial" w:hAnsi="Arial"/>
          <w:sz w:val="22"/>
          <w:szCs w:val="22"/>
        </w:rPr>
        <w:t xml:space="preserve">and remained unchanged in </w:t>
      </w:r>
      <w:r w:rsidR="0015459C" w:rsidRPr="00D95184">
        <w:rPr>
          <w:rFonts w:ascii="Arial" w:hAnsi="Arial"/>
          <w:sz w:val="22"/>
          <w:szCs w:val="22"/>
        </w:rPr>
        <w:t>fed mice</w:t>
      </w:r>
      <w:r w:rsidR="0015459C">
        <w:rPr>
          <w:rFonts w:ascii="Arial" w:hAnsi="Arial"/>
          <w:sz w:val="22"/>
          <w:szCs w:val="22"/>
        </w:rPr>
        <w:t>. S</w:t>
      </w:r>
      <w:r w:rsidR="0015459C" w:rsidRPr="00D95184">
        <w:rPr>
          <w:rFonts w:ascii="Arial" w:hAnsi="Arial"/>
          <w:sz w:val="22"/>
          <w:szCs w:val="22"/>
        </w:rPr>
        <w:t>erum GLP1 concentration was significantly higher at 15:00 in fasted fed mice compared to t</w:t>
      </w:r>
      <w:r w:rsidR="0015459C">
        <w:rPr>
          <w:rFonts w:ascii="Arial" w:hAnsi="Arial"/>
          <w:sz w:val="22"/>
          <w:szCs w:val="22"/>
        </w:rPr>
        <w:t>hat in ad-lib fed mice</w:t>
      </w:r>
      <w:r w:rsidR="0015459C" w:rsidRPr="00D95184">
        <w:rPr>
          <w:rFonts w:ascii="Arial" w:hAnsi="Arial"/>
          <w:sz w:val="22"/>
          <w:szCs w:val="22"/>
        </w:rPr>
        <w:t xml:space="preserve">.  </w:t>
      </w:r>
      <w:r w:rsidR="0015459C" w:rsidRPr="006F6740">
        <w:rPr>
          <w:rFonts w:ascii="Arial" w:eastAsiaTheme="minorHAnsi" w:hAnsi="Arial" w:cs="Arial"/>
          <w:sz w:val="22"/>
          <w:szCs w:val="22"/>
          <w:lang w:val="en-US"/>
        </w:rPr>
        <w:t>Bars represent mean</w:t>
      </w:r>
      <w:r w:rsidR="0015459C" w:rsidRPr="006F6740">
        <w:rPr>
          <w:rFonts w:ascii="Arial" w:eastAsia="MS Gothic" w:hAnsi="Arial" w:cs="Arial"/>
          <w:sz w:val="22"/>
          <w:szCs w:val="22"/>
        </w:rPr>
        <w:t>±</w:t>
      </w:r>
      <w:r w:rsidR="0015459C">
        <w:rPr>
          <w:rFonts w:ascii="Arial" w:eastAsiaTheme="minorHAnsi" w:hAnsi="Arial" w:cs="Arial"/>
          <w:sz w:val="22"/>
          <w:szCs w:val="22"/>
          <w:lang w:val="en-US"/>
        </w:rPr>
        <w:t>SE</w:t>
      </w:r>
      <w:r>
        <w:rPr>
          <w:rFonts w:ascii="Arial" w:eastAsiaTheme="minorHAnsi" w:hAnsi="Arial" w:cs="Arial"/>
          <w:sz w:val="22"/>
          <w:szCs w:val="22"/>
          <w:lang w:val="en-US"/>
        </w:rPr>
        <w:t xml:space="preserve">. </w:t>
      </w:r>
      <w:r w:rsidR="0015459C">
        <w:rPr>
          <w:rFonts w:ascii="Arial" w:eastAsiaTheme="minorHAnsi" w:hAnsi="Arial" w:cs="Arial"/>
          <w:sz w:val="22"/>
          <w:szCs w:val="22"/>
          <w:lang w:val="en-US"/>
        </w:rPr>
        <w:t>Significant differences are indicated as * p&lt;0.05</w:t>
      </w:r>
    </w:p>
    <w:p w14:paraId="4B9C6BCD" w14:textId="77777777" w:rsidR="0015459C" w:rsidRDefault="0015459C" w:rsidP="0015459C">
      <w:pPr>
        <w:spacing w:line="360" w:lineRule="auto"/>
        <w:jc w:val="both"/>
      </w:pPr>
    </w:p>
    <w:p w14:paraId="4AE084B8" w14:textId="77777777" w:rsidR="00400C8B" w:rsidRPr="00D43112" w:rsidRDefault="00400C8B" w:rsidP="0015459C">
      <w:pPr>
        <w:spacing w:line="360" w:lineRule="auto"/>
        <w:jc w:val="both"/>
      </w:pPr>
    </w:p>
    <w:p w14:paraId="2250713E" w14:textId="77777777" w:rsidR="00400C8B" w:rsidRDefault="00E60B8B" w:rsidP="00400C8B">
      <w:pPr>
        <w:pStyle w:val="Heading3"/>
        <w:spacing w:line="480" w:lineRule="auto"/>
        <w:jc w:val="both"/>
        <w:rPr>
          <w:rFonts w:ascii="Arial" w:eastAsia="Times New Roman" w:hAnsi="Arial"/>
          <w:bCs w:val="0"/>
          <w:color w:val="auto"/>
        </w:rPr>
      </w:pPr>
      <w:bookmarkStart w:id="167" w:name="_Toc383723932"/>
      <w:r w:rsidRPr="00400C8B">
        <w:rPr>
          <w:rFonts w:ascii="Arial" w:eastAsia="Times New Roman" w:hAnsi="Arial"/>
          <w:bCs w:val="0"/>
          <w:color w:val="auto"/>
        </w:rPr>
        <w:t>7.2.2</w:t>
      </w:r>
      <w:r w:rsidR="00266128" w:rsidRPr="00400C8B">
        <w:rPr>
          <w:rFonts w:ascii="Arial" w:hAnsi="Arial"/>
          <w:color w:val="auto"/>
        </w:rPr>
        <w:t xml:space="preserve"> Serum concentrations of ghrelin, leptin, insulin, GIP and GLP1 in fed or overnight fasted fed </w:t>
      </w:r>
      <w:r w:rsidR="00400C8B" w:rsidRPr="00400C8B">
        <w:rPr>
          <w:rFonts w:ascii="Arial" w:hAnsi="Arial"/>
          <w:color w:val="auto"/>
        </w:rPr>
        <w:t>aged</w:t>
      </w:r>
      <w:r w:rsidR="00266128" w:rsidRPr="00400C8B">
        <w:rPr>
          <w:rFonts w:ascii="Arial" w:hAnsi="Arial"/>
          <w:color w:val="auto"/>
        </w:rPr>
        <w:t xml:space="preserve"> </w:t>
      </w:r>
      <w:r w:rsidR="004A0070">
        <w:rPr>
          <w:rFonts w:ascii="Arial" w:eastAsia="Times New Roman" w:hAnsi="Arial"/>
          <w:bCs w:val="0"/>
          <w:color w:val="auto"/>
        </w:rPr>
        <w:t>20-month</w:t>
      </w:r>
      <w:r w:rsidR="00400C8B" w:rsidRPr="00400C8B">
        <w:rPr>
          <w:rFonts w:ascii="Arial" w:eastAsia="Times New Roman" w:hAnsi="Arial"/>
          <w:bCs w:val="0"/>
          <w:color w:val="auto"/>
        </w:rPr>
        <w:t>-old male mice</w:t>
      </w:r>
      <w:bookmarkEnd w:id="167"/>
    </w:p>
    <w:p w14:paraId="03152EAB" w14:textId="77777777" w:rsidR="00BE31A2" w:rsidRDefault="0015459C" w:rsidP="00400C8B">
      <w:pPr>
        <w:spacing w:line="480" w:lineRule="auto"/>
        <w:jc w:val="both"/>
        <w:rPr>
          <w:rFonts w:ascii="Arial" w:hAnsi="Arial"/>
        </w:rPr>
      </w:pPr>
      <w:r w:rsidRPr="00400C8B">
        <w:rPr>
          <w:rFonts w:ascii="Arial" w:hAnsi="Arial"/>
        </w:rPr>
        <w:t xml:space="preserve">In order to determine synergistic interactions between timing of feeding and bone’s impaired adaptive response to mechanical loading, we next examined the effect of ageing on the concentrations of five candidate hormones with anabolic effects on bone secreted in </w:t>
      </w:r>
      <w:r w:rsidR="004A0070" w:rsidRPr="00400C8B">
        <w:rPr>
          <w:rFonts w:ascii="Arial" w:hAnsi="Arial"/>
        </w:rPr>
        <w:t>anticipation</w:t>
      </w:r>
      <w:r w:rsidRPr="00400C8B">
        <w:rPr>
          <w:rFonts w:ascii="Arial" w:hAnsi="Arial"/>
        </w:rPr>
        <w:t xml:space="preserve"> or in response to feeding/fasting. </w:t>
      </w:r>
    </w:p>
    <w:p w14:paraId="5EAC131C" w14:textId="77777777" w:rsidR="00BE31A2" w:rsidRDefault="00BE31A2" w:rsidP="00400C8B">
      <w:pPr>
        <w:spacing w:line="480" w:lineRule="auto"/>
        <w:jc w:val="both"/>
        <w:rPr>
          <w:rFonts w:ascii="Arial" w:hAnsi="Arial"/>
        </w:rPr>
      </w:pPr>
    </w:p>
    <w:p w14:paraId="0A6613D6" w14:textId="77777777" w:rsidR="0015459C" w:rsidRPr="00400C8B" w:rsidRDefault="00BE31A2" w:rsidP="00400C8B">
      <w:pPr>
        <w:spacing w:line="480" w:lineRule="auto"/>
        <w:jc w:val="both"/>
        <w:rPr>
          <w:rFonts w:ascii="Arial" w:eastAsiaTheme="majorEastAsia" w:hAnsi="Arial"/>
        </w:rPr>
      </w:pPr>
      <w:r w:rsidRPr="00FB7BA7">
        <w:rPr>
          <w:rFonts w:ascii="Arial" w:hAnsi="Arial" w:cs="Arial"/>
          <w:b/>
          <w:bCs/>
          <w:i/>
          <w:noProof/>
          <w:color w:val="000000" w:themeColor="text1"/>
        </w:rPr>
        <w:t>Experimental details:</w:t>
      </w:r>
      <w:r>
        <w:rPr>
          <w:rFonts w:ascii="Arial" w:hAnsi="Arial" w:cs="Arial"/>
          <w:bCs/>
          <w:noProof/>
          <w:color w:val="000000" w:themeColor="text1"/>
        </w:rPr>
        <w:t xml:space="preserve"> </w:t>
      </w:r>
      <w:r w:rsidR="0015459C" w:rsidRPr="00400C8B">
        <w:rPr>
          <w:rFonts w:ascii="Arial" w:hAnsi="Arial"/>
        </w:rPr>
        <w:t xml:space="preserve">Similarly, </w:t>
      </w:r>
      <w:r w:rsidR="00AB3CB6">
        <w:rPr>
          <w:rFonts w:ascii="Arial" w:hAnsi="Arial"/>
        </w:rPr>
        <w:t>serum</w:t>
      </w:r>
      <w:r w:rsidR="0015459C" w:rsidRPr="00400C8B">
        <w:rPr>
          <w:rFonts w:ascii="Arial" w:hAnsi="Arial"/>
        </w:rPr>
        <w:t xml:space="preserve"> concentrations of </w:t>
      </w:r>
      <w:r w:rsidR="00AB3CB6" w:rsidRPr="00400C8B">
        <w:rPr>
          <w:rFonts w:ascii="Arial" w:hAnsi="Arial"/>
        </w:rPr>
        <w:t>ghrelin, leptin, insulin, GIP and GLIP1</w:t>
      </w:r>
      <w:r w:rsidR="00AB3CB6">
        <w:rPr>
          <w:rFonts w:ascii="Arial" w:hAnsi="Arial"/>
        </w:rPr>
        <w:t xml:space="preserve"> were measured in duplicate</w:t>
      </w:r>
      <w:r w:rsidR="0015459C" w:rsidRPr="00400C8B">
        <w:rPr>
          <w:rFonts w:ascii="Arial" w:hAnsi="Arial"/>
        </w:rPr>
        <w:t xml:space="preserve"> of fed (n=6) or overnight</w:t>
      </w:r>
      <w:r w:rsidR="00AB3CB6">
        <w:rPr>
          <w:rFonts w:ascii="Arial" w:hAnsi="Arial"/>
        </w:rPr>
        <w:t xml:space="preserve"> (16-hour)</w:t>
      </w:r>
      <w:r w:rsidR="0015459C" w:rsidRPr="00400C8B">
        <w:rPr>
          <w:rFonts w:ascii="Arial" w:hAnsi="Arial"/>
        </w:rPr>
        <w:t xml:space="preserve"> fasted fed (n=7) </w:t>
      </w:r>
      <w:r w:rsidR="00AB3CB6" w:rsidRPr="00400C8B">
        <w:rPr>
          <w:rFonts w:ascii="Arial" w:hAnsi="Arial"/>
        </w:rPr>
        <w:t xml:space="preserve">aged 20-month-old </w:t>
      </w:r>
      <w:r w:rsidR="0015459C" w:rsidRPr="00400C8B">
        <w:rPr>
          <w:rFonts w:ascii="Arial" w:hAnsi="Arial"/>
        </w:rPr>
        <w:t>male C57BL/6 mice at three time points (12pm, 2pm and 3pm) using mouse multiplex diabetes assay as de</w:t>
      </w:r>
      <w:r w:rsidR="00AB3CB6">
        <w:rPr>
          <w:rFonts w:ascii="Arial" w:hAnsi="Arial"/>
        </w:rPr>
        <w:t xml:space="preserve">scribed in </w:t>
      </w:r>
      <w:r w:rsidR="00D229F1">
        <w:rPr>
          <w:rFonts w:ascii="Arial" w:hAnsi="Arial"/>
        </w:rPr>
        <w:t xml:space="preserve">the </w:t>
      </w:r>
      <w:r w:rsidR="00AB3CB6">
        <w:rPr>
          <w:rFonts w:ascii="Arial" w:hAnsi="Arial"/>
        </w:rPr>
        <w:t>general methods (</w:t>
      </w:r>
      <w:r w:rsidR="00226359">
        <w:rPr>
          <w:rFonts w:ascii="Arial" w:hAnsi="Arial"/>
        </w:rPr>
        <w:t xml:space="preserve">see </w:t>
      </w:r>
      <w:r w:rsidR="0015459C" w:rsidRPr="00400C8B">
        <w:rPr>
          <w:rFonts w:ascii="Arial" w:hAnsi="Arial"/>
        </w:rPr>
        <w:t xml:space="preserve">section 2.3.4). </w:t>
      </w:r>
    </w:p>
    <w:p w14:paraId="0913AA20" w14:textId="77777777" w:rsidR="0015459C" w:rsidRDefault="0015459C" w:rsidP="0015459C"/>
    <w:p w14:paraId="527235A3" w14:textId="77777777" w:rsidR="0015459C" w:rsidRPr="00DB2D31" w:rsidRDefault="0015459C" w:rsidP="0015459C">
      <w:pPr>
        <w:widowControl w:val="0"/>
        <w:autoSpaceDE w:val="0"/>
        <w:autoSpaceDN w:val="0"/>
        <w:adjustRightInd w:val="0"/>
        <w:spacing w:line="480" w:lineRule="auto"/>
        <w:jc w:val="both"/>
        <w:rPr>
          <w:rFonts w:ascii="Arial" w:hAnsi="Arial" w:cs="Arial"/>
          <w:color w:val="000000" w:themeColor="text1"/>
        </w:rPr>
      </w:pPr>
      <w:r>
        <w:rPr>
          <w:rFonts w:ascii="Arial" w:hAnsi="Arial" w:cs="Arial"/>
          <w:color w:val="000000" w:themeColor="text1"/>
        </w:rPr>
        <w:lastRenderedPageBreak/>
        <w:t>The mean concentrations of h</w:t>
      </w:r>
      <w:r w:rsidR="00EC1992">
        <w:rPr>
          <w:rFonts w:ascii="Arial" w:hAnsi="Arial" w:cs="Arial"/>
          <w:color w:val="000000" w:themeColor="text1"/>
        </w:rPr>
        <w:t>ormones are shown in the Table 7. In ad-lib fed mice, s</w:t>
      </w:r>
      <w:r>
        <w:rPr>
          <w:rFonts w:ascii="Arial" w:hAnsi="Arial" w:cs="Arial"/>
          <w:color w:val="000000" w:themeColor="text1"/>
        </w:rPr>
        <w:t>erum ghrelin concentrations were significantly higher at 14:00 and 15:00 compared to those at 12:00</w:t>
      </w:r>
      <w:r w:rsidR="00EC1992">
        <w:rPr>
          <w:rFonts w:ascii="Arial" w:hAnsi="Arial" w:cs="Arial"/>
          <w:color w:val="000000" w:themeColor="text1"/>
        </w:rPr>
        <w:t>. In fasted fed mice, s</w:t>
      </w:r>
      <w:r>
        <w:rPr>
          <w:rFonts w:ascii="Arial" w:hAnsi="Arial" w:cs="Arial"/>
          <w:color w:val="000000" w:themeColor="text1"/>
        </w:rPr>
        <w:t xml:space="preserve">erum ghrelin concentrations increased but not significantly at 14:00 and 15:00 compared with that at 12:00 </w:t>
      </w:r>
      <w:r w:rsidR="00EC1992">
        <w:rPr>
          <w:rFonts w:ascii="Arial" w:hAnsi="Arial" w:cs="Arial"/>
          <w:color w:val="000000" w:themeColor="text1"/>
        </w:rPr>
        <w:t>(Figure 55</w:t>
      </w:r>
      <w:r>
        <w:rPr>
          <w:rFonts w:ascii="Arial" w:hAnsi="Arial" w:cs="Arial"/>
          <w:color w:val="000000" w:themeColor="text1"/>
        </w:rPr>
        <w:t xml:space="preserve">). </w:t>
      </w:r>
      <w:r w:rsidR="00EC1992">
        <w:rPr>
          <w:rFonts w:ascii="Arial" w:hAnsi="Arial"/>
        </w:rPr>
        <w:t>In fasted fed mice, s</w:t>
      </w:r>
      <w:r>
        <w:rPr>
          <w:rFonts w:ascii="Arial" w:hAnsi="Arial"/>
        </w:rPr>
        <w:t>erum leptin concentrations significantly increased at 14:00 and 15:00 compared with those at 12:00, whereas in ad-lib fed mice remaine</w:t>
      </w:r>
      <w:r w:rsidR="00EC1992">
        <w:rPr>
          <w:rFonts w:ascii="Arial" w:hAnsi="Arial"/>
        </w:rPr>
        <w:t>d relatively unchanged (Figure 56</w:t>
      </w:r>
      <w:r>
        <w:rPr>
          <w:rFonts w:ascii="Arial" w:hAnsi="Arial"/>
        </w:rPr>
        <w:t>).</w:t>
      </w:r>
      <w:r w:rsidRPr="007B42D4">
        <w:rPr>
          <w:rFonts w:ascii="Arial" w:hAnsi="Arial"/>
        </w:rPr>
        <w:t xml:space="preserve"> </w:t>
      </w:r>
      <w:r>
        <w:rPr>
          <w:rFonts w:ascii="Arial" w:hAnsi="Arial"/>
        </w:rPr>
        <w:t xml:space="preserve">In fasted mice, </w:t>
      </w:r>
      <w:r w:rsidR="00EC1992">
        <w:rPr>
          <w:rFonts w:ascii="Arial" w:hAnsi="Arial"/>
        </w:rPr>
        <w:t xml:space="preserve">after 2-hour feeding, </w:t>
      </w:r>
      <w:r>
        <w:rPr>
          <w:rFonts w:ascii="Arial" w:hAnsi="Arial"/>
        </w:rPr>
        <w:t xml:space="preserve">serum insulin concentration increased </w:t>
      </w:r>
      <w:r w:rsidR="00EC1992">
        <w:rPr>
          <w:rFonts w:ascii="Arial" w:hAnsi="Arial"/>
        </w:rPr>
        <w:t>but not significantly at 14:00</w:t>
      </w:r>
      <w:r>
        <w:rPr>
          <w:rFonts w:ascii="Arial" w:hAnsi="Arial"/>
        </w:rPr>
        <w:t xml:space="preserve"> and significantly decreased at 15:00 compared to that at 14:00, whereas serum insulin concentrations remained relatively constant at three time poi</w:t>
      </w:r>
      <w:r w:rsidR="003737EB">
        <w:rPr>
          <w:rFonts w:ascii="Arial" w:hAnsi="Arial"/>
        </w:rPr>
        <w:t>nts in ad-lib fed mice (Figure 57</w:t>
      </w:r>
      <w:r>
        <w:rPr>
          <w:rFonts w:ascii="Arial" w:hAnsi="Arial"/>
        </w:rPr>
        <w:t>). There were no significant changes in serum GIP and GLIP1 concentrations at any time points within and between th</w:t>
      </w:r>
      <w:r w:rsidR="003737EB">
        <w:rPr>
          <w:rFonts w:ascii="Arial" w:hAnsi="Arial"/>
        </w:rPr>
        <w:t>e experimental groups (Figures 58, 59</w:t>
      </w:r>
      <w:r>
        <w:rPr>
          <w:rFonts w:ascii="Arial" w:hAnsi="Arial"/>
        </w:rPr>
        <w:t xml:space="preserve">). </w:t>
      </w:r>
      <w:r>
        <w:rPr>
          <w:rFonts w:ascii="Arial" w:hAnsi="Arial" w:cs="Arial"/>
          <w:color w:val="000000" w:themeColor="text1"/>
        </w:rPr>
        <w:t xml:space="preserve">No significant changes were detected in any measured hormone concentrations between fed and fasted fed aged mice. </w:t>
      </w:r>
    </w:p>
    <w:p w14:paraId="028087E8" w14:textId="77777777" w:rsidR="0015459C" w:rsidRDefault="0015459C" w:rsidP="0015459C">
      <w:pPr>
        <w:spacing w:line="360" w:lineRule="auto"/>
        <w:jc w:val="both"/>
        <w:rPr>
          <w:rFonts w:ascii="Arial" w:hAnsi="Arial" w:cs="Arial"/>
          <w:b/>
          <w:color w:val="1F497D" w:themeColor="text2"/>
        </w:rPr>
      </w:pPr>
    </w:p>
    <w:p w14:paraId="17EA9305" w14:textId="77777777" w:rsidR="0015459C" w:rsidRDefault="0015459C" w:rsidP="0015459C">
      <w:pPr>
        <w:spacing w:line="360" w:lineRule="auto"/>
        <w:jc w:val="both"/>
        <w:rPr>
          <w:rFonts w:ascii="Arial" w:hAnsi="Arial" w:cs="Arial"/>
          <w:b/>
          <w:color w:val="1F497D" w:themeColor="text2"/>
        </w:rPr>
      </w:pPr>
    </w:p>
    <w:p w14:paraId="1D16E217" w14:textId="77777777" w:rsidR="00EC1992" w:rsidRDefault="00EC1992" w:rsidP="0015459C">
      <w:pPr>
        <w:spacing w:line="360" w:lineRule="auto"/>
        <w:jc w:val="both"/>
        <w:rPr>
          <w:rFonts w:ascii="Arial" w:hAnsi="Arial" w:cs="Arial"/>
          <w:b/>
          <w:color w:val="1F497D" w:themeColor="text2"/>
        </w:rPr>
      </w:pPr>
    </w:p>
    <w:p w14:paraId="11EC4A79" w14:textId="77777777" w:rsidR="00EC1992" w:rsidRDefault="00EC1992" w:rsidP="0015459C">
      <w:pPr>
        <w:spacing w:line="360" w:lineRule="auto"/>
        <w:jc w:val="both"/>
        <w:rPr>
          <w:rFonts w:ascii="Arial" w:hAnsi="Arial" w:cs="Arial"/>
          <w:b/>
          <w:color w:val="1F497D" w:themeColor="text2"/>
        </w:rPr>
      </w:pPr>
    </w:p>
    <w:p w14:paraId="30F1CDB0" w14:textId="77777777" w:rsidR="00EC1992" w:rsidRDefault="00EC1992" w:rsidP="0015459C">
      <w:pPr>
        <w:spacing w:line="360" w:lineRule="auto"/>
        <w:jc w:val="both"/>
        <w:rPr>
          <w:rFonts w:ascii="Arial" w:hAnsi="Arial" w:cs="Arial"/>
          <w:b/>
          <w:color w:val="1F497D" w:themeColor="text2"/>
        </w:rPr>
      </w:pPr>
    </w:p>
    <w:p w14:paraId="476CA896" w14:textId="77777777" w:rsidR="00EC1992" w:rsidRDefault="00EC1992" w:rsidP="0015459C">
      <w:pPr>
        <w:spacing w:line="360" w:lineRule="auto"/>
        <w:jc w:val="both"/>
        <w:rPr>
          <w:rFonts w:ascii="Arial" w:hAnsi="Arial" w:cs="Arial"/>
          <w:b/>
          <w:color w:val="1F497D" w:themeColor="text2"/>
        </w:rPr>
      </w:pPr>
    </w:p>
    <w:p w14:paraId="2E8C5F8E" w14:textId="77777777" w:rsidR="00EC1992" w:rsidRDefault="00EC1992" w:rsidP="0015459C">
      <w:pPr>
        <w:spacing w:line="360" w:lineRule="auto"/>
        <w:jc w:val="both"/>
        <w:rPr>
          <w:rFonts w:ascii="Arial" w:hAnsi="Arial" w:cs="Arial"/>
          <w:b/>
          <w:color w:val="1F497D" w:themeColor="text2"/>
        </w:rPr>
      </w:pPr>
    </w:p>
    <w:p w14:paraId="5A3A94FD" w14:textId="77777777" w:rsidR="00EC1992" w:rsidRDefault="00EC1992" w:rsidP="0015459C">
      <w:pPr>
        <w:spacing w:line="360" w:lineRule="auto"/>
        <w:jc w:val="both"/>
        <w:rPr>
          <w:rFonts w:ascii="Arial" w:hAnsi="Arial" w:cs="Arial"/>
          <w:b/>
          <w:color w:val="1F497D" w:themeColor="text2"/>
        </w:rPr>
      </w:pPr>
    </w:p>
    <w:p w14:paraId="147295EA" w14:textId="77777777" w:rsidR="00EC1992" w:rsidRDefault="00EC1992" w:rsidP="0015459C">
      <w:pPr>
        <w:spacing w:line="360" w:lineRule="auto"/>
        <w:jc w:val="both"/>
        <w:rPr>
          <w:rFonts w:ascii="Arial" w:hAnsi="Arial" w:cs="Arial"/>
          <w:b/>
          <w:color w:val="1F497D" w:themeColor="text2"/>
        </w:rPr>
      </w:pPr>
    </w:p>
    <w:p w14:paraId="0AEDE9FC" w14:textId="77777777" w:rsidR="00EC1992" w:rsidRDefault="00EC1992" w:rsidP="0015459C">
      <w:pPr>
        <w:spacing w:line="360" w:lineRule="auto"/>
        <w:jc w:val="both"/>
        <w:rPr>
          <w:rFonts w:ascii="Arial" w:hAnsi="Arial" w:cs="Arial"/>
          <w:b/>
          <w:color w:val="1F497D" w:themeColor="text2"/>
        </w:rPr>
      </w:pPr>
    </w:p>
    <w:p w14:paraId="64360FF5" w14:textId="77777777" w:rsidR="00EC1992" w:rsidRDefault="00EC1992" w:rsidP="0015459C">
      <w:pPr>
        <w:spacing w:line="360" w:lineRule="auto"/>
        <w:jc w:val="both"/>
        <w:rPr>
          <w:rFonts w:ascii="Arial" w:hAnsi="Arial" w:cs="Arial"/>
          <w:b/>
          <w:color w:val="1F497D" w:themeColor="text2"/>
        </w:rPr>
      </w:pPr>
    </w:p>
    <w:p w14:paraId="090F18AD" w14:textId="77777777" w:rsidR="00EC1992" w:rsidRDefault="00EC1992" w:rsidP="0015459C">
      <w:pPr>
        <w:spacing w:line="360" w:lineRule="auto"/>
        <w:jc w:val="both"/>
        <w:rPr>
          <w:rFonts w:ascii="Arial" w:hAnsi="Arial" w:cs="Arial"/>
          <w:b/>
          <w:color w:val="1F497D" w:themeColor="text2"/>
        </w:rPr>
      </w:pPr>
    </w:p>
    <w:p w14:paraId="23326331" w14:textId="77777777" w:rsidR="00EC1992" w:rsidRDefault="00EC1992" w:rsidP="0015459C">
      <w:pPr>
        <w:spacing w:line="360" w:lineRule="auto"/>
        <w:jc w:val="both"/>
        <w:rPr>
          <w:rFonts w:ascii="Arial" w:hAnsi="Arial" w:cs="Arial"/>
          <w:b/>
          <w:color w:val="1F497D" w:themeColor="text2"/>
        </w:rPr>
      </w:pPr>
    </w:p>
    <w:p w14:paraId="5F140712" w14:textId="77777777" w:rsidR="00EC1992" w:rsidRDefault="00EC1992" w:rsidP="0015459C">
      <w:pPr>
        <w:spacing w:line="360" w:lineRule="auto"/>
        <w:jc w:val="both"/>
        <w:rPr>
          <w:rFonts w:ascii="Arial" w:hAnsi="Arial" w:cs="Arial"/>
          <w:b/>
          <w:color w:val="1F497D" w:themeColor="text2"/>
        </w:rPr>
      </w:pPr>
    </w:p>
    <w:p w14:paraId="1E602731" w14:textId="77777777" w:rsidR="00EC1992" w:rsidRDefault="00EC1992" w:rsidP="0015459C">
      <w:pPr>
        <w:spacing w:line="360" w:lineRule="auto"/>
        <w:jc w:val="both"/>
        <w:rPr>
          <w:rFonts w:ascii="Arial" w:hAnsi="Arial" w:cs="Arial"/>
          <w:b/>
          <w:color w:val="1F497D" w:themeColor="text2"/>
        </w:rPr>
      </w:pPr>
    </w:p>
    <w:p w14:paraId="69CC3A9F" w14:textId="77777777" w:rsidR="00EC1992" w:rsidRDefault="00EC1992" w:rsidP="0015459C">
      <w:pPr>
        <w:spacing w:line="360" w:lineRule="auto"/>
        <w:jc w:val="both"/>
        <w:rPr>
          <w:rFonts w:ascii="Arial" w:hAnsi="Arial" w:cs="Arial"/>
          <w:b/>
          <w:color w:val="1F497D" w:themeColor="text2"/>
        </w:rPr>
      </w:pPr>
    </w:p>
    <w:p w14:paraId="5AF1CBF6" w14:textId="77777777" w:rsidR="00EC1992" w:rsidRDefault="00EC1992" w:rsidP="0015459C">
      <w:pPr>
        <w:spacing w:line="360" w:lineRule="auto"/>
        <w:jc w:val="both"/>
        <w:rPr>
          <w:rFonts w:ascii="Arial" w:hAnsi="Arial" w:cs="Arial"/>
          <w:b/>
          <w:color w:val="1F497D" w:themeColor="text2"/>
        </w:rPr>
      </w:pPr>
    </w:p>
    <w:p w14:paraId="092A9348" w14:textId="77777777" w:rsidR="0015459C" w:rsidRDefault="0015459C" w:rsidP="00CC55AC">
      <w:pPr>
        <w:pStyle w:val="Caption"/>
        <w:rPr>
          <w:rFonts w:eastAsiaTheme="minorHAnsi"/>
          <w:lang w:val="en-US"/>
        </w:rPr>
      </w:pPr>
    </w:p>
    <w:p w14:paraId="4160EEBF" w14:textId="77777777" w:rsidR="00CC55AC" w:rsidRPr="00CC55AC" w:rsidRDefault="00EC1992" w:rsidP="00CC55AC">
      <w:pPr>
        <w:pStyle w:val="Caption"/>
        <w:spacing w:line="360" w:lineRule="auto"/>
        <w:jc w:val="both"/>
        <w:rPr>
          <w:rFonts w:ascii="Arial" w:hAnsi="Arial"/>
          <w:color w:val="244061" w:themeColor="accent1" w:themeShade="80"/>
          <w:sz w:val="24"/>
          <w:szCs w:val="24"/>
        </w:rPr>
      </w:pPr>
      <w:bookmarkStart w:id="168" w:name="_Toc383545833"/>
      <w:r w:rsidRPr="00CC55AC">
        <w:rPr>
          <w:rFonts w:ascii="Arial" w:hAnsi="Arial"/>
          <w:color w:val="244061" w:themeColor="accent1" w:themeShade="80"/>
          <w:sz w:val="24"/>
          <w:szCs w:val="24"/>
        </w:rPr>
        <w:lastRenderedPageBreak/>
        <w:t xml:space="preserve">Table </w:t>
      </w:r>
      <w:r w:rsidRPr="00CC55AC">
        <w:rPr>
          <w:rFonts w:ascii="Arial" w:hAnsi="Arial"/>
          <w:color w:val="244061" w:themeColor="accent1" w:themeShade="80"/>
          <w:sz w:val="24"/>
          <w:szCs w:val="24"/>
        </w:rPr>
        <w:fldChar w:fldCharType="begin"/>
      </w:r>
      <w:r w:rsidRPr="00CC55AC">
        <w:rPr>
          <w:rFonts w:ascii="Arial" w:hAnsi="Arial"/>
          <w:color w:val="244061" w:themeColor="accent1" w:themeShade="80"/>
          <w:sz w:val="24"/>
          <w:szCs w:val="24"/>
        </w:rPr>
        <w:instrText xml:space="preserve"> SEQ Table \* ARABIC </w:instrText>
      </w:r>
      <w:r w:rsidRPr="00CC55AC">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7</w:t>
      </w:r>
      <w:r w:rsidRPr="00CC55AC">
        <w:rPr>
          <w:rFonts w:ascii="Arial" w:hAnsi="Arial"/>
          <w:color w:val="244061" w:themeColor="accent1" w:themeShade="80"/>
          <w:sz w:val="24"/>
          <w:szCs w:val="24"/>
        </w:rPr>
        <w:fldChar w:fldCharType="end"/>
      </w:r>
      <w:r w:rsidR="00CC55AC" w:rsidRPr="00CC55AC">
        <w:rPr>
          <w:rFonts w:ascii="Arial" w:hAnsi="Arial"/>
          <w:color w:val="244061" w:themeColor="accent1" w:themeShade="80"/>
          <w:sz w:val="24"/>
          <w:szCs w:val="24"/>
        </w:rPr>
        <w:t xml:space="preserve"> Serum concentrations of five hormones (ghrelin, leptin, insulin, GIP and GLP1) in fed or overnight (16-hour) fasted fed aged male mice</w:t>
      </w:r>
      <w:bookmarkEnd w:id="168"/>
    </w:p>
    <w:p w14:paraId="3EB3FB11" w14:textId="77777777" w:rsidR="00EC1992" w:rsidRDefault="00EC1992" w:rsidP="00EC1992">
      <w:pPr>
        <w:pStyle w:val="Caption"/>
        <w:keepNext/>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7"/>
        <w:gridCol w:w="2091"/>
        <w:gridCol w:w="2142"/>
        <w:gridCol w:w="1561"/>
        <w:gridCol w:w="2119"/>
      </w:tblGrid>
      <w:tr w:rsidR="0015459C" w14:paraId="75B51D50" w14:textId="77777777" w:rsidTr="00EC1992">
        <w:tc>
          <w:tcPr>
            <w:tcW w:w="1929" w:type="dxa"/>
            <w:tcBorders>
              <w:top w:val="single" w:sz="4" w:space="0" w:color="auto"/>
              <w:bottom w:val="nil"/>
            </w:tcBorders>
          </w:tcPr>
          <w:p w14:paraId="19B38150" w14:textId="77777777" w:rsidR="0015459C" w:rsidRDefault="0015459C" w:rsidP="00D20595">
            <w:pPr>
              <w:widowControl w:val="0"/>
              <w:autoSpaceDE w:val="0"/>
              <w:autoSpaceDN w:val="0"/>
              <w:adjustRightInd w:val="0"/>
              <w:spacing w:line="480" w:lineRule="auto"/>
              <w:jc w:val="both"/>
              <w:rPr>
                <w:rFonts w:ascii="Arial" w:hAnsi="Arial"/>
              </w:rPr>
            </w:pPr>
          </w:p>
        </w:tc>
        <w:tc>
          <w:tcPr>
            <w:tcW w:w="2093" w:type="dxa"/>
            <w:tcBorders>
              <w:top w:val="single" w:sz="4" w:space="0" w:color="auto"/>
              <w:bottom w:val="nil"/>
            </w:tcBorders>
          </w:tcPr>
          <w:p w14:paraId="16748E24" w14:textId="77777777" w:rsidR="0015459C" w:rsidRDefault="0015459C" w:rsidP="00D20595">
            <w:pPr>
              <w:widowControl w:val="0"/>
              <w:autoSpaceDE w:val="0"/>
              <w:autoSpaceDN w:val="0"/>
              <w:adjustRightInd w:val="0"/>
              <w:spacing w:line="480" w:lineRule="auto"/>
              <w:jc w:val="both"/>
              <w:rPr>
                <w:rFonts w:ascii="Arial" w:hAnsi="Arial"/>
              </w:rPr>
            </w:pPr>
          </w:p>
        </w:tc>
        <w:tc>
          <w:tcPr>
            <w:tcW w:w="2143" w:type="dxa"/>
            <w:tcBorders>
              <w:top w:val="single" w:sz="4" w:space="0" w:color="auto"/>
              <w:bottom w:val="nil"/>
            </w:tcBorders>
          </w:tcPr>
          <w:p w14:paraId="107DB7C6" w14:textId="77777777" w:rsidR="0015459C" w:rsidRPr="00490817" w:rsidRDefault="0015459C" w:rsidP="00D20595">
            <w:pPr>
              <w:widowControl w:val="0"/>
              <w:autoSpaceDE w:val="0"/>
              <w:autoSpaceDN w:val="0"/>
              <w:adjustRightInd w:val="0"/>
              <w:spacing w:line="480" w:lineRule="auto"/>
              <w:jc w:val="center"/>
              <w:rPr>
                <w:rFonts w:ascii="Arial" w:hAnsi="Arial"/>
              </w:rPr>
            </w:pPr>
            <w:r w:rsidRPr="00490817">
              <w:rPr>
                <w:rFonts w:ascii="Arial" w:hAnsi="Arial" w:cs="Arial"/>
                <w:b/>
                <w:color w:val="000000"/>
              </w:rPr>
              <w:t>Fed</w:t>
            </w:r>
          </w:p>
        </w:tc>
        <w:tc>
          <w:tcPr>
            <w:tcW w:w="1561" w:type="dxa"/>
            <w:tcBorders>
              <w:top w:val="single" w:sz="4" w:space="0" w:color="auto"/>
              <w:bottom w:val="nil"/>
            </w:tcBorders>
          </w:tcPr>
          <w:p w14:paraId="41FFDF5A" w14:textId="77777777" w:rsidR="0015459C" w:rsidRDefault="0015459C" w:rsidP="00D20595">
            <w:pPr>
              <w:widowControl w:val="0"/>
              <w:autoSpaceDE w:val="0"/>
              <w:autoSpaceDN w:val="0"/>
              <w:adjustRightInd w:val="0"/>
              <w:spacing w:line="480" w:lineRule="auto"/>
              <w:jc w:val="both"/>
              <w:rPr>
                <w:rFonts w:ascii="Arial" w:hAnsi="Arial"/>
              </w:rPr>
            </w:pPr>
          </w:p>
        </w:tc>
        <w:tc>
          <w:tcPr>
            <w:tcW w:w="2122" w:type="dxa"/>
            <w:tcBorders>
              <w:top w:val="single" w:sz="4" w:space="0" w:color="auto"/>
              <w:bottom w:val="nil"/>
            </w:tcBorders>
          </w:tcPr>
          <w:p w14:paraId="102850EC" w14:textId="77777777" w:rsidR="0015459C" w:rsidRDefault="0015459C" w:rsidP="00D20595">
            <w:pPr>
              <w:widowControl w:val="0"/>
              <w:autoSpaceDE w:val="0"/>
              <w:autoSpaceDN w:val="0"/>
              <w:adjustRightInd w:val="0"/>
              <w:spacing w:line="480" w:lineRule="auto"/>
              <w:jc w:val="both"/>
              <w:rPr>
                <w:rFonts w:ascii="Arial" w:hAnsi="Arial"/>
              </w:rPr>
            </w:pPr>
          </w:p>
        </w:tc>
      </w:tr>
      <w:tr w:rsidR="0015459C" w14:paraId="2B97CD3A" w14:textId="77777777" w:rsidTr="00EC1992">
        <w:tc>
          <w:tcPr>
            <w:tcW w:w="1929" w:type="dxa"/>
            <w:tcBorders>
              <w:bottom w:val="single" w:sz="4" w:space="0" w:color="auto"/>
            </w:tcBorders>
          </w:tcPr>
          <w:p w14:paraId="40326D04" w14:textId="77777777" w:rsidR="0015459C" w:rsidRDefault="0015459C" w:rsidP="00D20595">
            <w:pPr>
              <w:widowControl w:val="0"/>
              <w:autoSpaceDE w:val="0"/>
              <w:autoSpaceDN w:val="0"/>
              <w:adjustRightInd w:val="0"/>
              <w:spacing w:line="480" w:lineRule="auto"/>
              <w:jc w:val="center"/>
              <w:rPr>
                <w:rFonts w:ascii="Arial" w:hAnsi="Arial"/>
              </w:rPr>
            </w:pPr>
          </w:p>
        </w:tc>
        <w:tc>
          <w:tcPr>
            <w:tcW w:w="2093" w:type="dxa"/>
            <w:tcBorders>
              <w:bottom w:val="single" w:sz="4" w:space="0" w:color="auto"/>
            </w:tcBorders>
          </w:tcPr>
          <w:p w14:paraId="698CFC1B" w14:textId="77777777" w:rsidR="0015459C" w:rsidRDefault="0015459C" w:rsidP="00D20595">
            <w:pPr>
              <w:widowControl w:val="0"/>
              <w:autoSpaceDE w:val="0"/>
              <w:autoSpaceDN w:val="0"/>
              <w:adjustRightInd w:val="0"/>
              <w:spacing w:line="480" w:lineRule="auto"/>
              <w:jc w:val="center"/>
              <w:rPr>
                <w:rFonts w:ascii="Arial" w:hAnsi="Arial"/>
              </w:rPr>
            </w:pPr>
            <w:r>
              <w:rPr>
                <w:rFonts w:ascii="Arial" w:hAnsi="Arial" w:cs="Arial"/>
                <w:b/>
                <w:sz w:val="22"/>
                <w:szCs w:val="22"/>
              </w:rPr>
              <w:t>12:00</w:t>
            </w:r>
          </w:p>
        </w:tc>
        <w:tc>
          <w:tcPr>
            <w:tcW w:w="2143" w:type="dxa"/>
            <w:tcBorders>
              <w:bottom w:val="single" w:sz="4" w:space="0" w:color="auto"/>
            </w:tcBorders>
          </w:tcPr>
          <w:p w14:paraId="60B086DA" w14:textId="77777777" w:rsidR="0015459C" w:rsidRDefault="0015459C" w:rsidP="00D20595">
            <w:pPr>
              <w:widowControl w:val="0"/>
              <w:autoSpaceDE w:val="0"/>
              <w:autoSpaceDN w:val="0"/>
              <w:adjustRightInd w:val="0"/>
              <w:spacing w:line="480" w:lineRule="auto"/>
              <w:jc w:val="center"/>
              <w:rPr>
                <w:rFonts w:ascii="Arial" w:hAnsi="Arial"/>
              </w:rPr>
            </w:pPr>
            <w:r w:rsidRPr="00FE5057">
              <w:rPr>
                <w:rFonts w:ascii="Arial" w:hAnsi="Arial" w:cs="Arial"/>
                <w:b/>
                <w:sz w:val="22"/>
                <w:szCs w:val="22"/>
              </w:rPr>
              <w:t>14:00</w:t>
            </w:r>
          </w:p>
        </w:tc>
        <w:tc>
          <w:tcPr>
            <w:tcW w:w="1561" w:type="dxa"/>
            <w:tcBorders>
              <w:bottom w:val="single" w:sz="4" w:space="0" w:color="auto"/>
            </w:tcBorders>
          </w:tcPr>
          <w:p w14:paraId="6F323A60" w14:textId="77777777" w:rsidR="0015459C" w:rsidRPr="00FE5057" w:rsidRDefault="0015459C" w:rsidP="00D20595">
            <w:pPr>
              <w:widowControl w:val="0"/>
              <w:autoSpaceDE w:val="0"/>
              <w:autoSpaceDN w:val="0"/>
              <w:adjustRightInd w:val="0"/>
              <w:spacing w:line="480" w:lineRule="auto"/>
              <w:jc w:val="center"/>
              <w:rPr>
                <w:rFonts w:ascii="Arial" w:hAnsi="Arial" w:cs="Arial"/>
                <w:b/>
                <w:sz w:val="22"/>
                <w:szCs w:val="22"/>
              </w:rPr>
            </w:pPr>
            <w:r w:rsidRPr="00FE5057">
              <w:rPr>
                <w:rFonts w:ascii="Arial" w:hAnsi="Arial" w:cs="Arial"/>
                <w:b/>
                <w:sz w:val="22"/>
                <w:szCs w:val="22"/>
              </w:rPr>
              <w:t>15:00</w:t>
            </w:r>
          </w:p>
        </w:tc>
        <w:tc>
          <w:tcPr>
            <w:tcW w:w="2122" w:type="dxa"/>
            <w:tcBorders>
              <w:bottom w:val="single" w:sz="4" w:space="0" w:color="auto"/>
            </w:tcBorders>
          </w:tcPr>
          <w:p w14:paraId="74F66544" w14:textId="77777777" w:rsidR="0015459C" w:rsidRDefault="0015459C" w:rsidP="00D20595">
            <w:pPr>
              <w:widowControl w:val="0"/>
              <w:autoSpaceDE w:val="0"/>
              <w:autoSpaceDN w:val="0"/>
              <w:adjustRightInd w:val="0"/>
              <w:spacing w:line="480" w:lineRule="auto"/>
              <w:jc w:val="center"/>
              <w:rPr>
                <w:rFonts w:ascii="Arial" w:hAnsi="Arial"/>
              </w:rPr>
            </w:pPr>
            <w:proofErr w:type="gramStart"/>
            <w:r>
              <w:rPr>
                <w:rFonts w:ascii="Arial" w:hAnsi="Arial" w:cs="Arial"/>
                <w:b/>
                <w:sz w:val="22"/>
                <w:szCs w:val="22"/>
              </w:rPr>
              <w:t>p</w:t>
            </w:r>
            <w:proofErr w:type="gramEnd"/>
            <w:r>
              <w:rPr>
                <w:rFonts w:ascii="Arial" w:hAnsi="Arial" w:cs="Arial"/>
                <w:b/>
                <w:sz w:val="22"/>
                <w:szCs w:val="22"/>
              </w:rPr>
              <w:t xml:space="preserve">-value </w:t>
            </w:r>
          </w:p>
        </w:tc>
      </w:tr>
      <w:tr w:rsidR="0015459C" w14:paraId="2F5C5096" w14:textId="77777777" w:rsidTr="00EC1992">
        <w:tc>
          <w:tcPr>
            <w:tcW w:w="1929" w:type="dxa"/>
            <w:tcBorders>
              <w:top w:val="single" w:sz="4" w:space="0" w:color="auto"/>
              <w:bottom w:val="nil"/>
            </w:tcBorders>
          </w:tcPr>
          <w:p w14:paraId="79A8F6B8" w14:textId="77777777" w:rsidR="0015459C" w:rsidRPr="00490817" w:rsidRDefault="0015459C" w:rsidP="00D20595">
            <w:pPr>
              <w:widowControl w:val="0"/>
              <w:autoSpaceDE w:val="0"/>
              <w:autoSpaceDN w:val="0"/>
              <w:adjustRightInd w:val="0"/>
              <w:spacing w:line="480" w:lineRule="auto"/>
              <w:rPr>
                <w:rFonts w:ascii="Arial" w:hAnsi="Arial" w:cs="Arial"/>
                <w:color w:val="000000"/>
              </w:rPr>
            </w:pPr>
            <w:r>
              <w:rPr>
                <w:rFonts w:ascii="Arial" w:hAnsi="Arial" w:cs="Arial"/>
                <w:b/>
              </w:rPr>
              <w:t>H</w:t>
            </w:r>
            <w:r w:rsidRPr="00490817">
              <w:rPr>
                <w:rFonts w:ascii="Arial" w:hAnsi="Arial" w:cs="Arial"/>
                <w:b/>
              </w:rPr>
              <w:t>ormone</w:t>
            </w:r>
          </w:p>
        </w:tc>
        <w:tc>
          <w:tcPr>
            <w:tcW w:w="2093" w:type="dxa"/>
            <w:tcBorders>
              <w:top w:val="single" w:sz="4" w:space="0" w:color="auto"/>
              <w:bottom w:val="nil"/>
            </w:tcBorders>
          </w:tcPr>
          <w:p w14:paraId="620DEA13"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c>
          <w:tcPr>
            <w:tcW w:w="2143" w:type="dxa"/>
            <w:tcBorders>
              <w:top w:val="single" w:sz="4" w:space="0" w:color="auto"/>
              <w:bottom w:val="nil"/>
            </w:tcBorders>
          </w:tcPr>
          <w:p w14:paraId="4AD9D735"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c>
          <w:tcPr>
            <w:tcW w:w="1561" w:type="dxa"/>
            <w:tcBorders>
              <w:top w:val="single" w:sz="4" w:space="0" w:color="auto"/>
              <w:bottom w:val="nil"/>
            </w:tcBorders>
          </w:tcPr>
          <w:p w14:paraId="2221F335"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c>
          <w:tcPr>
            <w:tcW w:w="2122" w:type="dxa"/>
            <w:tcBorders>
              <w:top w:val="single" w:sz="4" w:space="0" w:color="auto"/>
              <w:bottom w:val="nil"/>
            </w:tcBorders>
          </w:tcPr>
          <w:p w14:paraId="0B7C01C3"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r>
      <w:tr w:rsidR="0015459C" w14:paraId="0D59D024" w14:textId="77777777" w:rsidTr="00EC1992">
        <w:tc>
          <w:tcPr>
            <w:tcW w:w="1929" w:type="dxa"/>
            <w:tcBorders>
              <w:top w:val="nil"/>
            </w:tcBorders>
          </w:tcPr>
          <w:p w14:paraId="038C4D8F" w14:textId="77777777" w:rsidR="0015459C" w:rsidRDefault="0015459C" w:rsidP="00D20595">
            <w:pPr>
              <w:widowControl w:val="0"/>
              <w:autoSpaceDE w:val="0"/>
              <w:autoSpaceDN w:val="0"/>
              <w:adjustRightInd w:val="0"/>
              <w:spacing w:line="480" w:lineRule="auto"/>
              <w:rPr>
                <w:rFonts w:ascii="Arial" w:hAnsi="Arial"/>
              </w:rPr>
            </w:pPr>
            <w:r>
              <w:rPr>
                <w:rFonts w:ascii="Arial" w:hAnsi="Arial" w:cs="Arial"/>
                <w:color w:val="000000"/>
                <w:sz w:val="22"/>
                <w:szCs w:val="22"/>
              </w:rPr>
              <w:t>Ghrelin</w:t>
            </w:r>
          </w:p>
        </w:tc>
        <w:tc>
          <w:tcPr>
            <w:tcW w:w="2093" w:type="dxa"/>
            <w:tcBorders>
              <w:top w:val="nil"/>
            </w:tcBorders>
          </w:tcPr>
          <w:p w14:paraId="388809DE" w14:textId="77777777" w:rsidR="0015459C" w:rsidRPr="00CE76ED" w:rsidRDefault="0015459C" w:rsidP="00D20595">
            <w:pPr>
              <w:widowControl w:val="0"/>
              <w:autoSpaceDE w:val="0"/>
              <w:autoSpaceDN w:val="0"/>
              <w:adjustRightInd w:val="0"/>
              <w:spacing w:line="480" w:lineRule="auto"/>
              <w:rPr>
                <w:rFonts w:ascii="Arial" w:hAnsi="Arial"/>
                <w:sz w:val="22"/>
                <w:szCs w:val="22"/>
              </w:rPr>
            </w:pPr>
            <w:r>
              <w:rPr>
                <w:rFonts w:ascii="Arial" w:hAnsi="Arial"/>
                <w:sz w:val="22"/>
                <w:szCs w:val="22"/>
              </w:rPr>
              <w:t>803.1</w:t>
            </w:r>
            <w:r w:rsidRPr="00CE76ED">
              <w:rPr>
                <w:rFonts w:ascii="Arial" w:hAnsi="Arial" w:cs="Arial"/>
                <w:color w:val="000000"/>
                <w:sz w:val="22"/>
                <w:szCs w:val="22"/>
              </w:rPr>
              <w:t>±</w:t>
            </w:r>
            <w:r>
              <w:rPr>
                <w:rFonts w:ascii="Arial" w:hAnsi="Arial" w:cs="Arial"/>
                <w:color w:val="000000"/>
                <w:sz w:val="22"/>
                <w:szCs w:val="22"/>
              </w:rPr>
              <w:t>128.5</w:t>
            </w:r>
          </w:p>
        </w:tc>
        <w:tc>
          <w:tcPr>
            <w:tcW w:w="2143" w:type="dxa"/>
            <w:tcBorders>
              <w:top w:val="nil"/>
            </w:tcBorders>
          </w:tcPr>
          <w:p w14:paraId="55EF55D9" w14:textId="77777777" w:rsidR="0015459C" w:rsidRPr="00400E59" w:rsidRDefault="007F0B55"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Pr>
                <w:rFonts w:ascii="Arial" w:hAnsi="Arial"/>
                <w:sz w:val="22"/>
                <w:szCs w:val="22"/>
              </w:rPr>
              <w:t>2271</w:t>
            </w:r>
            <w:r w:rsidR="0015459C" w:rsidRPr="00835312">
              <w:rPr>
                <w:rFonts w:ascii="Arial" w:hAnsi="Arial"/>
                <w:sz w:val="22"/>
                <w:szCs w:val="22"/>
              </w:rPr>
              <w:t>.6</w:t>
            </w:r>
            <w:r w:rsidR="0015459C">
              <w:rPr>
                <w:rFonts w:ascii="Arial" w:hAnsi="Arial" w:cs="Arial"/>
                <w:color w:val="000000"/>
                <w:sz w:val="22"/>
                <w:szCs w:val="22"/>
              </w:rPr>
              <w:t>±358.7</w:t>
            </w:r>
          </w:p>
        </w:tc>
        <w:tc>
          <w:tcPr>
            <w:tcW w:w="1561" w:type="dxa"/>
            <w:tcBorders>
              <w:top w:val="nil"/>
            </w:tcBorders>
          </w:tcPr>
          <w:p w14:paraId="59BD5B9E" w14:textId="77777777" w:rsidR="0015459C" w:rsidRPr="00CE76ED" w:rsidRDefault="0015459C" w:rsidP="00D20595">
            <w:pPr>
              <w:widowControl w:val="0"/>
              <w:autoSpaceDE w:val="0"/>
              <w:autoSpaceDN w:val="0"/>
              <w:adjustRightInd w:val="0"/>
              <w:spacing w:line="480" w:lineRule="auto"/>
              <w:rPr>
                <w:rFonts w:ascii="Arial" w:hAnsi="Arial"/>
                <w:sz w:val="22"/>
                <w:szCs w:val="22"/>
              </w:rPr>
            </w:pPr>
            <w:r>
              <w:rPr>
                <w:rFonts w:ascii="Arial" w:hAnsi="Arial"/>
                <w:sz w:val="22"/>
                <w:szCs w:val="22"/>
              </w:rPr>
              <w:t>2330.2</w:t>
            </w:r>
            <w:r>
              <w:rPr>
                <w:rFonts w:ascii="Arial" w:hAnsi="Arial" w:cs="Arial"/>
                <w:color w:val="000000"/>
                <w:sz w:val="22"/>
                <w:szCs w:val="22"/>
              </w:rPr>
              <w:t>±208.9</w:t>
            </w:r>
          </w:p>
        </w:tc>
        <w:tc>
          <w:tcPr>
            <w:tcW w:w="2122" w:type="dxa"/>
            <w:tcBorders>
              <w:top w:val="nil"/>
            </w:tcBorders>
          </w:tcPr>
          <w:p w14:paraId="5070AAEB" w14:textId="77777777" w:rsidR="0015459C" w:rsidRPr="00F755AF" w:rsidRDefault="0015459C" w:rsidP="00D20595">
            <w:pPr>
              <w:widowControl w:val="0"/>
              <w:autoSpaceDE w:val="0"/>
              <w:autoSpaceDN w:val="0"/>
              <w:adjustRightInd w:val="0"/>
              <w:spacing w:line="480" w:lineRule="auto"/>
              <w:jc w:val="center"/>
              <w:rPr>
                <w:rFonts w:ascii="Arial" w:hAnsi="Arial"/>
                <w:sz w:val="22"/>
                <w:szCs w:val="22"/>
                <w:vertAlign w:val="superscript"/>
              </w:rPr>
            </w:pPr>
            <w:r>
              <w:rPr>
                <w:rFonts w:ascii="Arial" w:hAnsi="Arial"/>
                <w:sz w:val="22"/>
                <w:szCs w:val="22"/>
              </w:rPr>
              <w:t>0.01</w:t>
            </w:r>
            <w:r>
              <w:rPr>
                <w:rFonts w:ascii="Arial" w:hAnsi="Arial"/>
                <w:sz w:val="22"/>
                <w:szCs w:val="22"/>
                <w:vertAlign w:val="superscript"/>
              </w:rPr>
              <w:t>a</w:t>
            </w:r>
          </w:p>
        </w:tc>
      </w:tr>
      <w:tr w:rsidR="0015459C" w14:paraId="01EFC231" w14:textId="77777777" w:rsidTr="00EC1992">
        <w:tc>
          <w:tcPr>
            <w:tcW w:w="1929" w:type="dxa"/>
          </w:tcPr>
          <w:p w14:paraId="4992B597" w14:textId="77777777" w:rsidR="0015459C" w:rsidRDefault="0015459C" w:rsidP="00D20595">
            <w:pPr>
              <w:widowControl w:val="0"/>
              <w:autoSpaceDE w:val="0"/>
              <w:autoSpaceDN w:val="0"/>
              <w:adjustRightInd w:val="0"/>
              <w:spacing w:line="480" w:lineRule="auto"/>
              <w:rPr>
                <w:rFonts w:ascii="Arial" w:hAnsi="Arial"/>
              </w:rPr>
            </w:pPr>
            <w:r>
              <w:rPr>
                <w:rFonts w:ascii="Arial" w:hAnsi="Arial" w:cs="Arial"/>
                <w:color w:val="000000"/>
                <w:sz w:val="22"/>
                <w:szCs w:val="22"/>
              </w:rPr>
              <w:t>Leptin</w:t>
            </w:r>
          </w:p>
        </w:tc>
        <w:tc>
          <w:tcPr>
            <w:tcW w:w="2093" w:type="dxa"/>
          </w:tcPr>
          <w:p w14:paraId="1C4D4AC2" w14:textId="77777777" w:rsidR="0015459C" w:rsidRPr="00CE76ED" w:rsidRDefault="007F0B5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685.9</w:t>
            </w:r>
            <w:r w:rsidR="0015459C">
              <w:rPr>
                <w:rFonts w:ascii="Arial" w:hAnsi="Arial" w:cs="Arial"/>
                <w:color w:val="000000"/>
                <w:sz w:val="22"/>
                <w:szCs w:val="22"/>
              </w:rPr>
              <w:t>±123.1</w:t>
            </w:r>
          </w:p>
        </w:tc>
        <w:tc>
          <w:tcPr>
            <w:tcW w:w="2143" w:type="dxa"/>
          </w:tcPr>
          <w:p w14:paraId="5C39B357" w14:textId="77777777" w:rsidR="0015459C" w:rsidRPr="00CE76ED" w:rsidRDefault="007F0B5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680.7</w:t>
            </w:r>
            <w:r w:rsidR="0015459C">
              <w:rPr>
                <w:rFonts w:ascii="Arial" w:hAnsi="Arial" w:cs="Arial"/>
                <w:color w:val="000000"/>
                <w:sz w:val="22"/>
                <w:szCs w:val="22"/>
              </w:rPr>
              <w:t>±114.5</w:t>
            </w:r>
          </w:p>
        </w:tc>
        <w:tc>
          <w:tcPr>
            <w:tcW w:w="1561" w:type="dxa"/>
          </w:tcPr>
          <w:p w14:paraId="2CA1F9A8" w14:textId="77777777" w:rsidR="0015459C" w:rsidRDefault="005C6802"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527.7</w:t>
            </w:r>
            <w:r w:rsidR="0015459C">
              <w:rPr>
                <w:rFonts w:ascii="Arial" w:hAnsi="Arial" w:cs="Arial"/>
                <w:color w:val="000000"/>
                <w:sz w:val="22"/>
                <w:szCs w:val="22"/>
              </w:rPr>
              <w:t>±83.7</w:t>
            </w:r>
          </w:p>
        </w:tc>
        <w:tc>
          <w:tcPr>
            <w:tcW w:w="2122" w:type="dxa"/>
          </w:tcPr>
          <w:p w14:paraId="5CF36ED5"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r>
      <w:tr w:rsidR="0015459C" w14:paraId="337FCD54" w14:textId="77777777" w:rsidTr="00EC1992">
        <w:tc>
          <w:tcPr>
            <w:tcW w:w="1929" w:type="dxa"/>
          </w:tcPr>
          <w:p w14:paraId="65F978FC" w14:textId="77777777" w:rsidR="0015459C" w:rsidRDefault="0015459C" w:rsidP="00D20595">
            <w:pPr>
              <w:widowControl w:val="0"/>
              <w:autoSpaceDE w:val="0"/>
              <w:autoSpaceDN w:val="0"/>
              <w:adjustRightInd w:val="0"/>
              <w:spacing w:line="480" w:lineRule="auto"/>
              <w:rPr>
                <w:rFonts w:ascii="Arial" w:hAnsi="Arial"/>
              </w:rPr>
            </w:pPr>
            <w:r>
              <w:rPr>
                <w:rFonts w:ascii="Arial" w:hAnsi="Arial" w:cs="Arial"/>
                <w:color w:val="000000"/>
                <w:sz w:val="22"/>
                <w:szCs w:val="22"/>
              </w:rPr>
              <w:t>Insulin</w:t>
            </w:r>
          </w:p>
        </w:tc>
        <w:tc>
          <w:tcPr>
            <w:tcW w:w="2093" w:type="dxa"/>
          </w:tcPr>
          <w:p w14:paraId="2EA35BAE" w14:textId="77777777" w:rsidR="0015459C" w:rsidRPr="00CE76ED" w:rsidRDefault="007F0B5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999.6</w:t>
            </w:r>
            <w:r w:rsidR="0015459C">
              <w:rPr>
                <w:rFonts w:ascii="Arial" w:hAnsi="Arial" w:cs="Arial"/>
                <w:color w:val="000000"/>
                <w:sz w:val="22"/>
                <w:szCs w:val="22"/>
              </w:rPr>
              <w:t>±99.1</w:t>
            </w:r>
          </w:p>
        </w:tc>
        <w:tc>
          <w:tcPr>
            <w:tcW w:w="2143" w:type="dxa"/>
          </w:tcPr>
          <w:p w14:paraId="4C00DD8E" w14:textId="77777777" w:rsidR="0015459C" w:rsidRPr="00CE76ED" w:rsidRDefault="007F0B5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913.9</w:t>
            </w:r>
            <w:r w:rsidR="0015459C">
              <w:rPr>
                <w:rFonts w:ascii="Arial" w:hAnsi="Arial" w:cs="Arial"/>
                <w:color w:val="000000"/>
                <w:sz w:val="22"/>
                <w:szCs w:val="22"/>
              </w:rPr>
              <w:t>±87.06</w:t>
            </w:r>
          </w:p>
        </w:tc>
        <w:tc>
          <w:tcPr>
            <w:tcW w:w="1561" w:type="dxa"/>
          </w:tcPr>
          <w:p w14:paraId="58406507" w14:textId="77777777" w:rsidR="0015459C" w:rsidRDefault="0015459C" w:rsidP="00D20595">
            <w:pPr>
              <w:widowControl w:val="0"/>
              <w:autoSpaceDE w:val="0"/>
              <w:autoSpaceDN w:val="0"/>
              <w:adjustRightInd w:val="0"/>
              <w:spacing w:line="480" w:lineRule="auto"/>
              <w:rPr>
                <w:rFonts w:ascii="Arial" w:hAnsi="Arial"/>
                <w:sz w:val="22"/>
                <w:szCs w:val="22"/>
              </w:rPr>
            </w:pPr>
            <w:r>
              <w:rPr>
                <w:rFonts w:ascii="Arial" w:hAnsi="Arial"/>
                <w:sz w:val="22"/>
                <w:szCs w:val="22"/>
              </w:rPr>
              <w:t>1122.9</w:t>
            </w:r>
            <w:r>
              <w:rPr>
                <w:rFonts w:ascii="Arial" w:hAnsi="Arial" w:cs="Arial"/>
                <w:color w:val="000000"/>
                <w:sz w:val="22"/>
                <w:szCs w:val="22"/>
              </w:rPr>
              <w:t>±131.3</w:t>
            </w:r>
          </w:p>
        </w:tc>
        <w:tc>
          <w:tcPr>
            <w:tcW w:w="2122" w:type="dxa"/>
          </w:tcPr>
          <w:p w14:paraId="3970B295"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r>
      <w:tr w:rsidR="0015459C" w14:paraId="7DAADD4F" w14:textId="77777777" w:rsidTr="00EC1992">
        <w:tc>
          <w:tcPr>
            <w:tcW w:w="1929" w:type="dxa"/>
          </w:tcPr>
          <w:p w14:paraId="48F4E921" w14:textId="77777777" w:rsidR="0015459C" w:rsidRDefault="0015459C" w:rsidP="00D20595">
            <w:pPr>
              <w:widowControl w:val="0"/>
              <w:autoSpaceDE w:val="0"/>
              <w:autoSpaceDN w:val="0"/>
              <w:adjustRightInd w:val="0"/>
              <w:spacing w:line="480" w:lineRule="auto"/>
              <w:rPr>
                <w:rFonts w:ascii="Arial" w:hAnsi="Arial"/>
              </w:rPr>
            </w:pPr>
            <w:r>
              <w:rPr>
                <w:rFonts w:ascii="Arial" w:hAnsi="Arial" w:cs="Arial"/>
                <w:color w:val="000000"/>
                <w:sz w:val="22"/>
                <w:szCs w:val="22"/>
              </w:rPr>
              <w:t>GIP</w:t>
            </w:r>
          </w:p>
        </w:tc>
        <w:tc>
          <w:tcPr>
            <w:tcW w:w="2093" w:type="dxa"/>
          </w:tcPr>
          <w:p w14:paraId="76A07A1E" w14:textId="77777777" w:rsidR="0015459C" w:rsidRPr="00CE76ED" w:rsidRDefault="00071C46"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7F0B55">
              <w:rPr>
                <w:rFonts w:ascii="Arial" w:hAnsi="Arial"/>
                <w:sz w:val="22"/>
                <w:szCs w:val="22"/>
              </w:rPr>
              <w:t xml:space="preserve"> </w:t>
            </w:r>
            <w:r w:rsidR="0015459C">
              <w:rPr>
                <w:rFonts w:ascii="Arial" w:hAnsi="Arial"/>
                <w:sz w:val="22"/>
                <w:szCs w:val="22"/>
              </w:rPr>
              <w:t>45.9</w:t>
            </w:r>
            <w:r w:rsidR="0015459C">
              <w:rPr>
                <w:rFonts w:ascii="Arial" w:hAnsi="Arial" w:cs="Arial"/>
                <w:color w:val="000000"/>
                <w:sz w:val="22"/>
                <w:szCs w:val="22"/>
              </w:rPr>
              <w:t>±1.6</w:t>
            </w:r>
          </w:p>
        </w:tc>
        <w:tc>
          <w:tcPr>
            <w:tcW w:w="2143" w:type="dxa"/>
          </w:tcPr>
          <w:p w14:paraId="0579B6A8" w14:textId="77777777" w:rsidR="0015459C" w:rsidRPr="00CE76ED" w:rsidRDefault="007F0B5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43.1</w:t>
            </w:r>
            <w:r w:rsidR="0015459C">
              <w:rPr>
                <w:rFonts w:ascii="Arial" w:hAnsi="Arial" w:cs="Arial"/>
                <w:color w:val="000000"/>
                <w:sz w:val="22"/>
                <w:szCs w:val="22"/>
              </w:rPr>
              <w:t>±0.9</w:t>
            </w:r>
          </w:p>
        </w:tc>
        <w:tc>
          <w:tcPr>
            <w:tcW w:w="1561" w:type="dxa"/>
          </w:tcPr>
          <w:p w14:paraId="2960F1EC" w14:textId="77777777" w:rsidR="0015459C" w:rsidRDefault="005C6802"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44.6</w:t>
            </w:r>
            <w:r w:rsidR="0015459C">
              <w:rPr>
                <w:rFonts w:ascii="Arial" w:hAnsi="Arial" w:cs="Arial"/>
                <w:color w:val="000000"/>
                <w:sz w:val="22"/>
                <w:szCs w:val="22"/>
              </w:rPr>
              <w:t>±1.8</w:t>
            </w:r>
          </w:p>
        </w:tc>
        <w:tc>
          <w:tcPr>
            <w:tcW w:w="2122" w:type="dxa"/>
          </w:tcPr>
          <w:p w14:paraId="072DA8A1"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r>
      <w:tr w:rsidR="0015459C" w14:paraId="346F9A5C" w14:textId="77777777" w:rsidTr="00EC1992">
        <w:tc>
          <w:tcPr>
            <w:tcW w:w="1929" w:type="dxa"/>
            <w:tcBorders>
              <w:bottom w:val="nil"/>
            </w:tcBorders>
          </w:tcPr>
          <w:p w14:paraId="1EF92214" w14:textId="77777777" w:rsidR="0015459C" w:rsidRDefault="0015459C" w:rsidP="00D20595">
            <w:pPr>
              <w:widowControl w:val="0"/>
              <w:autoSpaceDE w:val="0"/>
              <w:autoSpaceDN w:val="0"/>
              <w:adjustRightInd w:val="0"/>
              <w:spacing w:line="480" w:lineRule="auto"/>
              <w:rPr>
                <w:rFonts w:ascii="Arial" w:hAnsi="Arial"/>
              </w:rPr>
            </w:pPr>
            <w:r w:rsidRPr="00FE5057">
              <w:rPr>
                <w:rFonts w:ascii="Arial" w:hAnsi="Arial" w:cs="Arial"/>
                <w:color w:val="000000"/>
                <w:sz w:val="22"/>
                <w:szCs w:val="22"/>
              </w:rPr>
              <w:t>GLP1</w:t>
            </w:r>
          </w:p>
        </w:tc>
        <w:tc>
          <w:tcPr>
            <w:tcW w:w="2093" w:type="dxa"/>
            <w:tcBorders>
              <w:bottom w:val="nil"/>
            </w:tcBorders>
          </w:tcPr>
          <w:p w14:paraId="569D0ED7" w14:textId="77777777" w:rsidR="0015459C" w:rsidRPr="00CE76ED" w:rsidRDefault="00071C46"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7F0B55">
              <w:rPr>
                <w:rFonts w:ascii="Arial" w:hAnsi="Arial"/>
                <w:sz w:val="22"/>
                <w:szCs w:val="22"/>
              </w:rPr>
              <w:t xml:space="preserve"> </w:t>
            </w:r>
            <w:r w:rsidR="0015459C">
              <w:rPr>
                <w:rFonts w:ascii="Arial" w:hAnsi="Arial"/>
                <w:sz w:val="22"/>
                <w:szCs w:val="22"/>
              </w:rPr>
              <w:t>6.2</w:t>
            </w:r>
            <w:r w:rsidR="0015459C">
              <w:rPr>
                <w:rFonts w:ascii="Arial" w:hAnsi="Arial" w:cs="Arial"/>
                <w:color w:val="000000"/>
                <w:sz w:val="22"/>
                <w:szCs w:val="22"/>
              </w:rPr>
              <w:t>±1.06</w:t>
            </w:r>
          </w:p>
        </w:tc>
        <w:tc>
          <w:tcPr>
            <w:tcW w:w="2143" w:type="dxa"/>
            <w:tcBorders>
              <w:bottom w:val="nil"/>
            </w:tcBorders>
          </w:tcPr>
          <w:p w14:paraId="624F2313" w14:textId="77777777" w:rsidR="0015459C" w:rsidRDefault="007F0B55" w:rsidP="00D20595">
            <w:pPr>
              <w:widowControl w:val="0"/>
              <w:autoSpaceDE w:val="0"/>
              <w:autoSpaceDN w:val="0"/>
              <w:adjustRightInd w:val="0"/>
              <w:spacing w:line="480" w:lineRule="auto"/>
              <w:rPr>
                <w:rFonts w:ascii="Arial" w:hAnsi="Arial" w:cs="Arial"/>
                <w:color w:val="000000"/>
                <w:sz w:val="22"/>
                <w:szCs w:val="22"/>
              </w:rPr>
            </w:pPr>
            <w:r>
              <w:rPr>
                <w:rFonts w:ascii="Arial" w:hAnsi="Arial"/>
                <w:sz w:val="22"/>
                <w:szCs w:val="22"/>
              </w:rPr>
              <w:t xml:space="preserve">        </w:t>
            </w:r>
            <w:r w:rsidR="0015459C">
              <w:rPr>
                <w:rFonts w:ascii="Arial" w:hAnsi="Arial"/>
                <w:sz w:val="22"/>
                <w:szCs w:val="22"/>
              </w:rPr>
              <w:t>7.1</w:t>
            </w:r>
            <w:r w:rsidR="0015459C">
              <w:rPr>
                <w:rFonts w:ascii="Arial" w:hAnsi="Arial" w:cs="Arial"/>
                <w:color w:val="000000"/>
                <w:sz w:val="22"/>
                <w:szCs w:val="22"/>
              </w:rPr>
              <w:t>±0.9</w:t>
            </w:r>
          </w:p>
          <w:p w14:paraId="110168FF" w14:textId="77777777" w:rsidR="0015459C" w:rsidRPr="00CE76ED" w:rsidRDefault="0015459C" w:rsidP="00D20595">
            <w:pPr>
              <w:widowControl w:val="0"/>
              <w:autoSpaceDE w:val="0"/>
              <w:autoSpaceDN w:val="0"/>
              <w:adjustRightInd w:val="0"/>
              <w:spacing w:line="480" w:lineRule="auto"/>
              <w:rPr>
                <w:rFonts w:ascii="Arial" w:hAnsi="Arial"/>
                <w:sz w:val="22"/>
                <w:szCs w:val="22"/>
              </w:rPr>
            </w:pPr>
          </w:p>
        </w:tc>
        <w:tc>
          <w:tcPr>
            <w:tcW w:w="1561" w:type="dxa"/>
            <w:tcBorders>
              <w:bottom w:val="nil"/>
            </w:tcBorders>
          </w:tcPr>
          <w:p w14:paraId="7E25B0FC" w14:textId="77777777" w:rsidR="0015459C" w:rsidRDefault="005C6802"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6.07</w:t>
            </w:r>
            <w:r w:rsidR="0015459C">
              <w:rPr>
                <w:rFonts w:ascii="Arial" w:hAnsi="Arial" w:cs="Arial"/>
                <w:color w:val="000000"/>
                <w:sz w:val="22"/>
                <w:szCs w:val="22"/>
              </w:rPr>
              <w:t>±0.8</w:t>
            </w:r>
          </w:p>
        </w:tc>
        <w:tc>
          <w:tcPr>
            <w:tcW w:w="2122" w:type="dxa"/>
            <w:tcBorders>
              <w:bottom w:val="nil"/>
            </w:tcBorders>
          </w:tcPr>
          <w:p w14:paraId="0703B627" w14:textId="77777777" w:rsidR="0015459C" w:rsidRPr="00CE76ED" w:rsidRDefault="0015459C" w:rsidP="00D20595">
            <w:pPr>
              <w:widowControl w:val="0"/>
              <w:autoSpaceDE w:val="0"/>
              <w:autoSpaceDN w:val="0"/>
              <w:adjustRightInd w:val="0"/>
              <w:spacing w:line="480" w:lineRule="auto"/>
              <w:jc w:val="center"/>
              <w:rPr>
                <w:rFonts w:ascii="Arial" w:hAnsi="Arial"/>
                <w:sz w:val="22"/>
                <w:szCs w:val="22"/>
              </w:rPr>
            </w:pPr>
          </w:p>
        </w:tc>
      </w:tr>
      <w:tr w:rsidR="0015459C" w:rsidRPr="00A019D7" w14:paraId="0B7536B5" w14:textId="77777777" w:rsidTr="00EC1992">
        <w:tc>
          <w:tcPr>
            <w:tcW w:w="1929" w:type="dxa"/>
            <w:tcBorders>
              <w:bottom w:val="nil"/>
            </w:tcBorders>
          </w:tcPr>
          <w:p w14:paraId="38818AFF" w14:textId="77777777" w:rsidR="0015459C" w:rsidRPr="00A019D7" w:rsidRDefault="0015459C" w:rsidP="00D20595">
            <w:pPr>
              <w:widowControl w:val="0"/>
              <w:autoSpaceDE w:val="0"/>
              <w:autoSpaceDN w:val="0"/>
              <w:adjustRightInd w:val="0"/>
              <w:spacing w:line="480" w:lineRule="auto"/>
              <w:jc w:val="both"/>
              <w:rPr>
                <w:rFonts w:ascii="Arial" w:hAnsi="Arial"/>
              </w:rPr>
            </w:pPr>
          </w:p>
        </w:tc>
        <w:tc>
          <w:tcPr>
            <w:tcW w:w="2093" w:type="dxa"/>
            <w:tcBorders>
              <w:bottom w:val="nil"/>
            </w:tcBorders>
          </w:tcPr>
          <w:p w14:paraId="5CBE2EBA" w14:textId="77777777" w:rsidR="0015459C" w:rsidRPr="00A019D7" w:rsidRDefault="0015459C" w:rsidP="00D20595">
            <w:pPr>
              <w:widowControl w:val="0"/>
              <w:autoSpaceDE w:val="0"/>
              <w:autoSpaceDN w:val="0"/>
              <w:adjustRightInd w:val="0"/>
              <w:spacing w:line="480" w:lineRule="auto"/>
              <w:jc w:val="both"/>
              <w:rPr>
                <w:rFonts w:ascii="Arial" w:hAnsi="Arial"/>
                <w:sz w:val="22"/>
                <w:szCs w:val="22"/>
              </w:rPr>
            </w:pPr>
          </w:p>
        </w:tc>
        <w:tc>
          <w:tcPr>
            <w:tcW w:w="2143" w:type="dxa"/>
            <w:tcBorders>
              <w:bottom w:val="nil"/>
            </w:tcBorders>
          </w:tcPr>
          <w:p w14:paraId="07138A76" w14:textId="77777777" w:rsidR="0015459C" w:rsidRPr="00490817" w:rsidRDefault="0015459C" w:rsidP="00D20595">
            <w:pPr>
              <w:widowControl w:val="0"/>
              <w:autoSpaceDE w:val="0"/>
              <w:autoSpaceDN w:val="0"/>
              <w:adjustRightInd w:val="0"/>
              <w:spacing w:line="480" w:lineRule="auto"/>
              <w:jc w:val="center"/>
              <w:rPr>
                <w:rFonts w:ascii="Arial" w:hAnsi="Arial" w:cs="Arial"/>
                <w:b/>
                <w:color w:val="000000"/>
              </w:rPr>
            </w:pPr>
            <w:r>
              <w:rPr>
                <w:rFonts w:ascii="Arial" w:hAnsi="Arial" w:cs="Arial"/>
                <w:b/>
                <w:color w:val="000000"/>
              </w:rPr>
              <w:t xml:space="preserve">Fasted Fed </w:t>
            </w:r>
          </w:p>
          <w:p w14:paraId="13B39222" w14:textId="77777777" w:rsidR="0015459C" w:rsidRPr="00A019D7" w:rsidRDefault="0015459C" w:rsidP="00D20595">
            <w:pPr>
              <w:widowControl w:val="0"/>
              <w:autoSpaceDE w:val="0"/>
              <w:autoSpaceDN w:val="0"/>
              <w:adjustRightInd w:val="0"/>
              <w:spacing w:line="480" w:lineRule="auto"/>
              <w:jc w:val="center"/>
              <w:rPr>
                <w:rFonts w:ascii="Arial" w:hAnsi="Arial"/>
                <w:sz w:val="22"/>
                <w:szCs w:val="22"/>
              </w:rPr>
            </w:pPr>
          </w:p>
        </w:tc>
        <w:tc>
          <w:tcPr>
            <w:tcW w:w="1561" w:type="dxa"/>
            <w:tcBorders>
              <w:bottom w:val="nil"/>
            </w:tcBorders>
          </w:tcPr>
          <w:p w14:paraId="6AF9DDD8" w14:textId="77777777" w:rsidR="0015459C" w:rsidRPr="00A019D7" w:rsidRDefault="0015459C" w:rsidP="00D20595">
            <w:pPr>
              <w:widowControl w:val="0"/>
              <w:autoSpaceDE w:val="0"/>
              <w:autoSpaceDN w:val="0"/>
              <w:adjustRightInd w:val="0"/>
              <w:spacing w:line="480" w:lineRule="auto"/>
              <w:jc w:val="both"/>
              <w:rPr>
                <w:rFonts w:ascii="Arial" w:hAnsi="Arial"/>
                <w:sz w:val="22"/>
                <w:szCs w:val="22"/>
              </w:rPr>
            </w:pPr>
          </w:p>
        </w:tc>
        <w:tc>
          <w:tcPr>
            <w:tcW w:w="2122" w:type="dxa"/>
            <w:tcBorders>
              <w:bottom w:val="nil"/>
            </w:tcBorders>
          </w:tcPr>
          <w:p w14:paraId="0EC089DA" w14:textId="77777777" w:rsidR="0015459C" w:rsidRPr="00A019D7" w:rsidRDefault="0015459C" w:rsidP="00D20595">
            <w:pPr>
              <w:widowControl w:val="0"/>
              <w:autoSpaceDE w:val="0"/>
              <w:autoSpaceDN w:val="0"/>
              <w:adjustRightInd w:val="0"/>
              <w:spacing w:line="480" w:lineRule="auto"/>
              <w:jc w:val="center"/>
              <w:rPr>
                <w:rFonts w:ascii="Arial" w:hAnsi="Arial"/>
                <w:sz w:val="22"/>
                <w:szCs w:val="22"/>
              </w:rPr>
            </w:pPr>
          </w:p>
        </w:tc>
      </w:tr>
      <w:tr w:rsidR="0015459C" w:rsidRPr="00A019D7" w14:paraId="2E31EB47" w14:textId="77777777" w:rsidTr="00EC1992">
        <w:tc>
          <w:tcPr>
            <w:tcW w:w="1929" w:type="dxa"/>
            <w:tcBorders>
              <w:top w:val="nil"/>
            </w:tcBorders>
          </w:tcPr>
          <w:p w14:paraId="2AC06E4F" w14:textId="77777777" w:rsidR="0015459C" w:rsidRPr="00A019D7" w:rsidRDefault="0015459C" w:rsidP="00D20595">
            <w:pPr>
              <w:widowControl w:val="0"/>
              <w:autoSpaceDE w:val="0"/>
              <w:autoSpaceDN w:val="0"/>
              <w:adjustRightInd w:val="0"/>
              <w:spacing w:line="480" w:lineRule="auto"/>
              <w:rPr>
                <w:rFonts w:ascii="Arial" w:hAnsi="Arial"/>
              </w:rPr>
            </w:pPr>
            <w:r w:rsidRPr="00A019D7">
              <w:rPr>
                <w:rFonts w:ascii="Arial" w:hAnsi="Arial" w:cs="Arial"/>
                <w:color w:val="000000"/>
                <w:sz w:val="22"/>
                <w:szCs w:val="22"/>
              </w:rPr>
              <w:t>Ghrelin</w:t>
            </w:r>
          </w:p>
        </w:tc>
        <w:tc>
          <w:tcPr>
            <w:tcW w:w="2093" w:type="dxa"/>
            <w:tcBorders>
              <w:top w:val="nil"/>
            </w:tcBorders>
          </w:tcPr>
          <w:p w14:paraId="33549B26" w14:textId="77777777" w:rsidR="0015459C" w:rsidRPr="00A019D7" w:rsidRDefault="007F0B5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943.7</w:t>
            </w:r>
            <w:r w:rsidR="0015459C">
              <w:rPr>
                <w:rFonts w:ascii="Arial" w:hAnsi="Arial" w:cs="Arial"/>
                <w:color w:val="000000"/>
                <w:sz w:val="22"/>
                <w:szCs w:val="22"/>
              </w:rPr>
              <w:t>±255.9</w:t>
            </w:r>
          </w:p>
        </w:tc>
        <w:tc>
          <w:tcPr>
            <w:tcW w:w="2143" w:type="dxa"/>
            <w:tcBorders>
              <w:top w:val="nil"/>
            </w:tcBorders>
          </w:tcPr>
          <w:p w14:paraId="4FD0E176" w14:textId="77777777" w:rsidR="0015459C" w:rsidRPr="00A019D7" w:rsidRDefault="0015459C"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1862</w:t>
            </w:r>
            <w:r w:rsidRPr="00A019D7">
              <w:rPr>
                <w:rFonts w:ascii="Arial" w:hAnsi="Arial"/>
                <w:sz w:val="22"/>
                <w:szCs w:val="22"/>
              </w:rPr>
              <w:t>.</w:t>
            </w:r>
            <w:r>
              <w:rPr>
                <w:rFonts w:ascii="Arial" w:hAnsi="Arial"/>
                <w:sz w:val="22"/>
                <w:szCs w:val="22"/>
              </w:rPr>
              <w:t>0</w:t>
            </w:r>
            <w:r w:rsidRPr="00A019D7">
              <w:rPr>
                <w:rFonts w:ascii="Arial" w:hAnsi="Arial"/>
                <w:sz w:val="22"/>
                <w:szCs w:val="22"/>
              </w:rPr>
              <w:t>2</w:t>
            </w:r>
            <w:r>
              <w:rPr>
                <w:rFonts w:ascii="Arial" w:hAnsi="Arial" w:cs="Arial"/>
                <w:color w:val="000000"/>
                <w:sz w:val="22"/>
                <w:szCs w:val="22"/>
              </w:rPr>
              <w:t>±277.2</w:t>
            </w:r>
          </w:p>
        </w:tc>
        <w:tc>
          <w:tcPr>
            <w:tcW w:w="1561" w:type="dxa"/>
            <w:tcBorders>
              <w:top w:val="nil"/>
            </w:tcBorders>
          </w:tcPr>
          <w:p w14:paraId="1B6651D9" w14:textId="77777777" w:rsidR="0015459C" w:rsidRPr="00A019D7" w:rsidRDefault="0015459C" w:rsidP="00D20595">
            <w:pPr>
              <w:widowControl w:val="0"/>
              <w:autoSpaceDE w:val="0"/>
              <w:autoSpaceDN w:val="0"/>
              <w:adjustRightInd w:val="0"/>
              <w:spacing w:line="480" w:lineRule="auto"/>
              <w:rPr>
                <w:rFonts w:ascii="Arial" w:hAnsi="Arial"/>
                <w:sz w:val="22"/>
                <w:szCs w:val="22"/>
              </w:rPr>
            </w:pPr>
            <w:r>
              <w:rPr>
                <w:rFonts w:ascii="Arial" w:hAnsi="Arial"/>
                <w:sz w:val="22"/>
                <w:szCs w:val="22"/>
              </w:rPr>
              <w:t>1933.7</w:t>
            </w:r>
            <w:r>
              <w:rPr>
                <w:rFonts w:ascii="Arial" w:hAnsi="Arial" w:cs="Arial"/>
                <w:color w:val="000000"/>
                <w:sz w:val="22"/>
                <w:szCs w:val="22"/>
              </w:rPr>
              <w:t>±326.5</w:t>
            </w:r>
          </w:p>
        </w:tc>
        <w:tc>
          <w:tcPr>
            <w:tcW w:w="2122" w:type="dxa"/>
            <w:tcBorders>
              <w:top w:val="nil"/>
            </w:tcBorders>
          </w:tcPr>
          <w:p w14:paraId="3F5EAD7A" w14:textId="77777777" w:rsidR="0015459C" w:rsidRPr="00A019D7" w:rsidRDefault="0015459C" w:rsidP="00D20595">
            <w:pPr>
              <w:widowControl w:val="0"/>
              <w:autoSpaceDE w:val="0"/>
              <w:autoSpaceDN w:val="0"/>
              <w:adjustRightInd w:val="0"/>
              <w:spacing w:line="480" w:lineRule="auto"/>
              <w:jc w:val="center"/>
              <w:rPr>
                <w:rFonts w:ascii="Arial" w:hAnsi="Arial"/>
                <w:sz w:val="22"/>
                <w:szCs w:val="22"/>
              </w:rPr>
            </w:pPr>
          </w:p>
        </w:tc>
      </w:tr>
      <w:tr w:rsidR="0015459C" w:rsidRPr="00A019D7" w14:paraId="05E69E61" w14:textId="77777777" w:rsidTr="00EC1992">
        <w:tc>
          <w:tcPr>
            <w:tcW w:w="1929" w:type="dxa"/>
          </w:tcPr>
          <w:p w14:paraId="4C1BC0FC" w14:textId="77777777" w:rsidR="0015459C" w:rsidRPr="00A019D7" w:rsidRDefault="0015459C" w:rsidP="00D20595">
            <w:pPr>
              <w:widowControl w:val="0"/>
              <w:autoSpaceDE w:val="0"/>
              <w:autoSpaceDN w:val="0"/>
              <w:adjustRightInd w:val="0"/>
              <w:spacing w:line="480" w:lineRule="auto"/>
              <w:rPr>
                <w:rFonts w:ascii="Arial" w:hAnsi="Arial"/>
              </w:rPr>
            </w:pPr>
            <w:r w:rsidRPr="00A019D7">
              <w:rPr>
                <w:rFonts w:ascii="Arial" w:hAnsi="Arial" w:cs="Arial"/>
                <w:color w:val="000000"/>
                <w:sz w:val="22"/>
                <w:szCs w:val="22"/>
              </w:rPr>
              <w:t>Leptin</w:t>
            </w:r>
          </w:p>
        </w:tc>
        <w:tc>
          <w:tcPr>
            <w:tcW w:w="2093" w:type="dxa"/>
          </w:tcPr>
          <w:p w14:paraId="5FC7543E" w14:textId="77777777" w:rsidR="0015459C" w:rsidRPr="00A019D7" w:rsidRDefault="007F0B55"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Pr>
                <w:rFonts w:ascii="Arial" w:hAnsi="Arial"/>
                <w:sz w:val="22"/>
                <w:szCs w:val="22"/>
              </w:rPr>
              <w:t>291</w:t>
            </w:r>
            <w:r w:rsidR="0015459C" w:rsidRPr="00A019D7">
              <w:rPr>
                <w:rFonts w:ascii="Arial" w:hAnsi="Arial"/>
                <w:sz w:val="22"/>
                <w:szCs w:val="22"/>
              </w:rPr>
              <w:t>.</w:t>
            </w:r>
            <w:r w:rsidR="0015459C">
              <w:rPr>
                <w:rFonts w:ascii="Arial" w:hAnsi="Arial"/>
                <w:sz w:val="22"/>
                <w:szCs w:val="22"/>
              </w:rPr>
              <w:t>9</w:t>
            </w:r>
            <w:r w:rsidR="0015459C">
              <w:rPr>
                <w:rFonts w:ascii="Arial" w:hAnsi="Arial" w:cs="Arial"/>
                <w:color w:val="000000"/>
                <w:sz w:val="22"/>
                <w:szCs w:val="22"/>
              </w:rPr>
              <w:t>±32.02</w:t>
            </w:r>
          </w:p>
        </w:tc>
        <w:tc>
          <w:tcPr>
            <w:tcW w:w="2143" w:type="dxa"/>
          </w:tcPr>
          <w:p w14:paraId="7CF7C069" w14:textId="77777777" w:rsidR="0015459C" w:rsidRPr="00A019D7" w:rsidRDefault="007F0B55"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Pr>
                <w:rFonts w:ascii="Arial" w:hAnsi="Arial"/>
                <w:sz w:val="22"/>
                <w:szCs w:val="22"/>
              </w:rPr>
              <w:t>831</w:t>
            </w:r>
            <w:r w:rsidR="0015459C" w:rsidRPr="00A019D7">
              <w:rPr>
                <w:rFonts w:ascii="Arial" w:hAnsi="Arial"/>
                <w:sz w:val="22"/>
                <w:szCs w:val="22"/>
              </w:rPr>
              <w:t>.</w:t>
            </w:r>
            <w:r w:rsidR="0015459C">
              <w:rPr>
                <w:rFonts w:ascii="Arial" w:hAnsi="Arial"/>
                <w:sz w:val="22"/>
                <w:szCs w:val="22"/>
              </w:rPr>
              <w:t>8</w:t>
            </w:r>
            <w:r w:rsidR="0015459C">
              <w:rPr>
                <w:rFonts w:ascii="Arial" w:hAnsi="Arial" w:cs="Arial"/>
                <w:color w:val="000000"/>
                <w:sz w:val="22"/>
                <w:szCs w:val="22"/>
              </w:rPr>
              <w:t>±135</w:t>
            </w:r>
            <w:r w:rsidR="0015459C" w:rsidRPr="00A019D7">
              <w:rPr>
                <w:rFonts w:ascii="Arial" w:hAnsi="Arial" w:cs="Arial"/>
                <w:color w:val="000000"/>
                <w:sz w:val="22"/>
                <w:szCs w:val="22"/>
              </w:rPr>
              <w:t>.</w:t>
            </w:r>
            <w:r w:rsidR="0015459C">
              <w:rPr>
                <w:rFonts w:ascii="Arial" w:hAnsi="Arial" w:cs="Arial"/>
                <w:color w:val="000000"/>
                <w:sz w:val="22"/>
                <w:szCs w:val="22"/>
              </w:rPr>
              <w:t>04</w:t>
            </w:r>
          </w:p>
        </w:tc>
        <w:tc>
          <w:tcPr>
            <w:tcW w:w="1561" w:type="dxa"/>
          </w:tcPr>
          <w:p w14:paraId="479D7FF1" w14:textId="77777777" w:rsidR="0015459C" w:rsidRPr="0088133D" w:rsidRDefault="001C09D3"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Pr>
                <w:rFonts w:ascii="Arial" w:hAnsi="Arial"/>
                <w:sz w:val="22"/>
                <w:szCs w:val="22"/>
              </w:rPr>
              <w:t>935</w:t>
            </w:r>
            <w:r w:rsidR="0015459C" w:rsidRPr="00A019D7">
              <w:rPr>
                <w:rFonts w:ascii="Arial" w:hAnsi="Arial"/>
                <w:sz w:val="22"/>
                <w:szCs w:val="22"/>
              </w:rPr>
              <w:t>.</w:t>
            </w:r>
            <w:r w:rsidR="0015459C">
              <w:rPr>
                <w:rFonts w:ascii="Arial" w:hAnsi="Arial"/>
                <w:sz w:val="22"/>
                <w:szCs w:val="22"/>
              </w:rPr>
              <w:t>2</w:t>
            </w:r>
            <w:r w:rsidR="0015459C">
              <w:rPr>
                <w:rFonts w:ascii="Arial" w:hAnsi="Arial" w:cs="Arial"/>
                <w:color w:val="000000"/>
                <w:sz w:val="22"/>
                <w:szCs w:val="22"/>
              </w:rPr>
              <w:t>±185</w:t>
            </w:r>
            <w:r w:rsidR="0015459C" w:rsidRPr="00A019D7">
              <w:rPr>
                <w:rFonts w:ascii="Arial" w:hAnsi="Arial" w:cs="Arial"/>
                <w:color w:val="000000"/>
                <w:sz w:val="22"/>
                <w:szCs w:val="22"/>
              </w:rPr>
              <w:t>.</w:t>
            </w:r>
            <w:r w:rsidR="0015459C">
              <w:rPr>
                <w:rFonts w:ascii="Arial" w:hAnsi="Arial" w:cs="Arial"/>
                <w:color w:val="000000"/>
                <w:sz w:val="22"/>
                <w:szCs w:val="22"/>
              </w:rPr>
              <w:t>8</w:t>
            </w:r>
          </w:p>
        </w:tc>
        <w:tc>
          <w:tcPr>
            <w:tcW w:w="2122" w:type="dxa"/>
          </w:tcPr>
          <w:p w14:paraId="00422DE0" w14:textId="77777777" w:rsidR="0015459C" w:rsidRPr="00C7701C" w:rsidRDefault="0015459C" w:rsidP="00D20595">
            <w:pPr>
              <w:widowControl w:val="0"/>
              <w:autoSpaceDE w:val="0"/>
              <w:autoSpaceDN w:val="0"/>
              <w:adjustRightInd w:val="0"/>
              <w:spacing w:line="480" w:lineRule="auto"/>
              <w:jc w:val="center"/>
              <w:rPr>
                <w:rFonts w:ascii="Arial" w:hAnsi="Arial"/>
                <w:sz w:val="22"/>
                <w:szCs w:val="22"/>
                <w:vertAlign w:val="superscript"/>
              </w:rPr>
            </w:pPr>
            <w:r>
              <w:rPr>
                <w:rFonts w:ascii="Arial" w:hAnsi="Arial"/>
                <w:sz w:val="22"/>
                <w:szCs w:val="22"/>
              </w:rPr>
              <w:t>&lt;0.05</w:t>
            </w:r>
            <w:r>
              <w:rPr>
                <w:rFonts w:ascii="Arial" w:hAnsi="Arial"/>
                <w:sz w:val="22"/>
                <w:szCs w:val="22"/>
                <w:vertAlign w:val="superscript"/>
              </w:rPr>
              <w:t>a</w:t>
            </w:r>
          </w:p>
        </w:tc>
      </w:tr>
      <w:tr w:rsidR="0015459C" w:rsidRPr="00A019D7" w14:paraId="7B8DE55F" w14:textId="77777777" w:rsidTr="00EC1992">
        <w:tc>
          <w:tcPr>
            <w:tcW w:w="1929" w:type="dxa"/>
          </w:tcPr>
          <w:p w14:paraId="7B56A4F6" w14:textId="77777777" w:rsidR="0015459C" w:rsidRPr="00A019D7" w:rsidRDefault="0015459C" w:rsidP="00D20595">
            <w:pPr>
              <w:widowControl w:val="0"/>
              <w:autoSpaceDE w:val="0"/>
              <w:autoSpaceDN w:val="0"/>
              <w:adjustRightInd w:val="0"/>
              <w:spacing w:line="480" w:lineRule="auto"/>
              <w:rPr>
                <w:rFonts w:ascii="Arial" w:hAnsi="Arial"/>
              </w:rPr>
            </w:pPr>
            <w:r w:rsidRPr="00A019D7">
              <w:rPr>
                <w:rFonts w:ascii="Arial" w:hAnsi="Arial" w:cs="Arial"/>
                <w:color w:val="000000"/>
                <w:sz w:val="22"/>
                <w:szCs w:val="22"/>
              </w:rPr>
              <w:t>Insulin</w:t>
            </w:r>
          </w:p>
        </w:tc>
        <w:tc>
          <w:tcPr>
            <w:tcW w:w="2093" w:type="dxa"/>
          </w:tcPr>
          <w:p w14:paraId="460362A5" w14:textId="77777777" w:rsidR="0015459C" w:rsidRPr="00A019D7" w:rsidRDefault="007F0B5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570.3</w:t>
            </w:r>
            <w:r w:rsidR="0015459C" w:rsidRPr="00A019D7">
              <w:rPr>
                <w:rFonts w:ascii="Arial" w:hAnsi="Arial" w:cs="Arial"/>
                <w:color w:val="000000"/>
                <w:sz w:val="22"/>
                <w:szCs w:val="22"/>
              </w:rPr>
              <w:t>±0.0</w:t>
            </w:r>
          </w:p>
        </w:tc>
        <w:tc>
          <w:tcPr>
            <w:tcW w:w="2143" w:type="dxa"/>
          </w:tcPr>
          <w:p w14:paraId="0AEC2F95" w14:textId="77777777" w:rsidR="0015459C" w:rsidRPr="004E36BB" w:rsidRDefault="007F0B55"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Pr>
                <w:rFonts w:ascii="Arial" w:hAnsi="Arial"/>
                <w:sz w:val="22"/>
                <w:szCs w:val="22"/>
              </w:rPr>
              <w:t>1457</w:t>
            </w:r>
            <w:r w:rsidR="0015459C" w:rsidRPr="00A019D7">
              <w:rPr>
                <w:rFonts w:ascii="Arial" w:hAnsi="Arial"/>
                <w:sz w:val="22"/>
                <w:szCs w:val="22"/>
              </w:rPr>
              <w:t>.</w:t>
            </w:r>
            <w:r w:rsidR="0015459C">
              <w:rPr>
                <w:rFonts w:ascii="Arial" w:hAnsi="Arial"/>
                <w:sz w:val="22"/>
                <w:szCs w:val="22"/>
              </w:rPr>
              <w:t>8</w:t>
            </w:r>
            <w:r w:rsidR="0015459C">
              <w:rPr>
                <w:rFonts w:ascii="Arial" w:hAnsi="Arial" w:cs="Arial"/>
                <w:color w:val="000000"/>
                <w:sz w:val="22"/>
                <w:szCs w:val="22"/>
              </w:rPr>
              <w:t>±207</w:t>
            </w:r>
            <w:r w:rsidR="0015459C" w:rsidRPr="00A019D7">
              <w:rPr>
                <w:rFonts w:ascii="Arial" w:hAnsi="Arial" w:cs="Arial"/>
                <w:color w:val="000000"/>
                <w:sz w:val="22"/>
                <w:szCs w:val="22"/>
              </w:rPr>
              <w:t>.</w:t>
            </w:r>
            <w:r w:rsidR="0015459C">
              <w:rPr>
                <w:rFonts w:ascii="Arial" w:hAnsi="Arial" w:cs="Arial"/>
                <w:color w:val="000000"/>
                <w:sz w:val="22"/>
                <w:szCs w:val="22"/>
              </w:rPr>
              <w:t>9</w:t>
            </w:r>
          </w:p>
        </w:tc>
        <w:tc>
          <w:tcPr>
            <w:tcW w:w="1561" w:type="dxa"/>
          </w:tcPr>
          <w:p w14:paraId="21EA203A" w14:textId="77777777" w:rsidR="0015459C" w:rsidRPr="00A019D7" w:rsidRDefault="001C09D3"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800</w:t>
            </w:r>
            <w:r w:rsidR="0015459C" w:rsidRPr="00A019D7">
              <w:rPr>
                <w:rFonts w:ascii="Arial" w:hAnsi="Arial"/>
                <w:sz w:val="22"/>
                <w:szCs w:val="22"/>
              </w:rPr>
              <w:t>.4</w:t>
            </w:r>
            <w:r w:rsidR="0015459C">
              <w:rPr>
                <w:rFonts w:ascii="Arial" w:hAnsi="Arial" w:cs="Arial"/>
                <w:color w:val="000000"/>
                <w:sz w:val="22"/>
                <w:szCs w:val="22"/>
              </w:rPr>
              <w:t>±5</w:t>
            </w:r>
            <w:r w:rsidR="0015459C" w:rsidRPr="00A019D7">
              <w:rPr>
                <w:rFonts w:ascii="Arial" w:hAnsi="Arial" w:cs="Arial"/>
                <w:color w:val="000000"/>
                <w:sz w:val="22"/>
                <w:szCs w:val="22"/>
              </w:rPr>
              <w:t>7.</w:t>
            </w:r>
            <w:r w:rsidR="0015459C">
              <w:rPr>
                <w:rFonts w:ascii="Arial" w:hAnsi="Arial" w:cs="Arial"/>
                <w:color w:val="000000"/>
                <w:sz w:val="22"/>
                <w:szCs w:val="22"/>
              </w:rPr>
              <w:t>3</w:t>
            </w:r>
          </w:p>
        </w:tc>
        <w:tc>
          <w:tcPr>
            <w:tcW w:w="2122" w:type="dxa"/>
          </w:tcPr>
          <w:p w14:paraId="2DE31448" w14:textId="77777777" w:rsidR="0015459C" w:rsidRPr="006D3585" w:rsidRDefault="0015459C" w:rsidP="00D20595">
            <w:pPr>
              <w:widowControl w:val="0"/>
              <w:autoSpaceDE w:val="0"/>
              <w:autoSpaceDN w:val="0"/>
              <w:adjustRightInd w:val="0"/>
              <w:spacing w:line="480" w:lineRule="auto"/>
              <w:jc w:val="center"/>
              <w:rPr>
                <w:rFonts w:ascii="Arial" w:hAnsi="Arial"/>
                <w:sz w:val="22"/>
                <w:szCs w:val="22"/>
                <w:vertAlign w:val="superscript"/>
              </w:rPr>
            </w:pPr>
            <w:r>
              <w:rPr>
                <w:rFonts w:ascii="Arial" w:hAnsi="Arial"/>
                <w:sz w:val="22"/>
                <w:szCs w:val="22"/>
              </w:rPr>
              <w:t>&lt;0.05</w:t>
            </w:r>
            <w:r>
              <w:rPr>
                <w:rFonts w:ascii="Arial" w:hAnsi="Arial"/>
                <w:sz w:val="22"/>
                <w:szCs w:val="22"/>
                <w:vertAlign w:val="superscript"/>
              </w:rPr>
              <w:t>b</w:t>
            </w:r>
          </w:p>
        </w:tc>
      </w:tr>
      <w:tr w:rsidR="0015459C" w:rsidRPr="00A019D7" w14:paraId="7773721C" w14:textId="77777777" w:rsidTr="00EC1992">
        <w:tc>
          <w:tcPr>
            <w:tcW w:w="1929" w:type="dxa"/>
          </w:tcPr>
          <w:p w14:paraId="0DA557D7" w14:textId="77777777" w:rsidR="0015459C" w:rsidRPr="00A019D7" w:rsidRDefault="0015459C" w:rsidP="00D20595">
            <w:pPr>
              <w:widowControl w:val="0"/>
              <w:autoSpaceDE w:val="0"/>
              <w:autoSpaceDN w:val="0"/>
              <w:adjustRightInd w:val="0"/>
              <w:spacing w:line="480" w:lineRule="auto"/>
              <w:rPr>
                <w:rFonts w:ascii="Arial" w:hAnsi="Arial"/>
              </w:rPr>
            </w:pPr>
            <w:r w:rsidRPr="00A019D7">
              <w:rPr>
                <w:rFonts w:ascii="Arial" w:hAnsi="Arial" w:cs="Arial"/>
                <w:color w:val="000000"/>
                <w:sz w:val="22"/>
                <w:szCs w:val="22"/>
              </w:rPr>
              <w:t>GIP</w:t>
            </w:r>
          </w:p>
        </w:tc>
        <w:tc>
          <w:tcPr>
            <w:tcW w:w="2093" w:type="dxa"/>
          </w:tcPr>
          <w:p w14:paraId="1B277CFE" w14:textId="77777777" w:rsidR="0015459C" w:rsidRPr="00A019D7" w:rsidRDefault="007F0B5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35</w:t>
            </w:r>
            <w:r w:rsidR="0015459C" w:rsidRPr="00A019D7">
              <w:rPr>
                <w:rFonts w:ascii="Arial" w:hAnsi="Arial"/>
                <w:sz w:val="22"/>
                <w:szCs w:val="22"/>
              </w:rPr>
              <w:t>.</w:t>
            </w:r>
            <w:r w:rsidR="0015459C">
              <w:rPr>
                <w:rFonts w:ascii="Arial" w:hAnsi="Arial"/>
                <w:sz w:val="22"/>
                <w:szCs w:val="22"/>
              </w:rPr>
              <w:t>3</w:t>
            </w:r>
            <w:r w:rsidR="0015459C">
              <w:rPr>
                <w:rFonts w:ascii="Arial" w:hAnsi="Arial" w:cs="Arial"/>
                <w:color w:val="000000"/>
                <w:sz w:val="22"/>
                <w:szCs w:val="22"/>
              </w:rPr>
              <w:t>±3.1</w:t>
            </w:r>
          </w:p>
        </w:tc>
        <w:tc>
          <w:tcPr>
            <w:tcW w:w="2143" w:type="dxa"/>
          </w:tcPr>
          <w:p w14:paraId="54F2E45A" w14:textId="77777777" w:rsidR="0015459C" w:rsidRPr="00A019D7" w:rsidRDefault="007F0B55"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Pr>
                <w:rFonts w:ascii="Arial" w:hAnsi="Arial"/>
                <w:sz w:val="22"/>
                <w:szCs w:val="22"/>
              </w:rPr>
              <w:t>62</w:t>
            </w:r>
            <w:r w:rsidR="0015459C" w:rsidRPr="00A019D7">
              <w:rPr>
                <w:rFonts w:ascii="Arial" w:hAnsi="Arial"/>
                <w:sz w:val="22"/>
                <w:szCs w:val="22"/>
              </w:rPr>
              <w:t>.</w:t>
            </w:r>
            <w:r w:rsidR="0015459C">
              <w:rPr>
                <w:rFonts w:ascii="Arial" w:hAnsi="Arial"/>
                <w:sz w:val="22"/>
                <w:szCs w:val="22"/>
              </w:rPr>
              <w:t>6</w:t>
            </w:r>
            <w:r w:rsidR="0015459C">
              <w:rPr>
                <w:rFonts w:ascii="Arial" w:hAnsi="Arial" w:cs="Arial"/>
                <w:color w:val="000000"/>
                <w:sz w:val="22"/>
                <w:szCs w:val="22"/>
              </w:rPr>
              <w:t>±12.4</w:t>
            </w:r>
          </w:p>
        </w:tc>
        <w:tc>
          <w:tcPr>
            <w:tcW w:w="1561" w:type="dxa"/>
          </w:tcPr>
          <w:p w14:paraId="052F46DC" w14:textId="77777777" w:rsidR="0015459C" w:rsidRPr="00A019D7" w:rsidRDefault="001C09D3"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48.05</w:t>
            </w:r>
            <w:r w:rsidR="0015459C">
              <w:rPr>
                <w:rFonts w:ascii="Arial" w:hAnsi="Arial" w:cs="Arial"/>
                <w:color w:val="000000"/>
                <w:sz w:val="22"/>
                <w:szCs w:val="22"/>
              </w:rPr>
              <w:t>±15.7</w:t>
            </w:r>
          </w:p>
        </w:tc>
        <w:tc>
          <w:tcPr>
            <w:tcW w:w="2122" w:type="dxa"/>
          </w:tcPr>
          <w:p w14:paraId="01BE2A8F" w14:textId="77777777" w:rsidR="0015459C" w:rsidRPr="004C670F" w:rsidRDefault="0015459C" w:rsidP="00D20595">
            <w:pPr>
              <w:widowControl w:val="0"/>
              <w:autoSpaceDE w:val="0"/>
              <w:autoSpaceDN w:val="0"/>
              <w:adjustRightInd w:val="0"/>
              <w:spacing w:line="480" w:lineRule="auto"/>
              <w:jc w:val="center"/>
              <w:rPr>
                <w:rFonts w:ascii="Arial" w:hAnsi="Arial"/>
                <w:sz w:val="22"/>
                <w:szCs w:val="22"/>
                <w:vertAlign w:val="superscript"/>
              </w:rPr>
            </w:pPr>
          </w:p>
        </w:tc>
      </w:tr>
      <w:tr w:rsidR="0015459C" w:rsidRPr="00A019D7" w14:paraId="4FE789D0" w14:textId="77777777" w:rsidTr="00EC1992">
        <w:tc>
          <w:tcPr>
            <w:tcW w:w="1929" w:type="dxa"/>
          </w:tcPr>
          <w:p w14:paraId="22ED84ED" w14:textId="77777777" w:rsidR="0015459C" w:rsidRPr="00A019D7" w:rsidRDefault="0015459C" w:rsidP="00D20595">
            <w:pPr>
              <w:widowControl w:val="0"/>
              <w:autoSpaceDE w:val="0"/>
              <w:autoSpaceDN w:val="0"/>
              <w:adjustRightInd w:val="0"/>
              <w:spacing w:line="480" w:lineRule="auto"/>
              <w:rPr>
                <w:rFonts w:ascii="Arial" w:hAnsi="Arial"/>
              </w:rPr>
            </w:pPr>
            <w:r w:rsidRPr="00A019D7">
              <w:rPr>
                <w:rFonts w:ascii="Arial" w:hAnsi="Arial" w:cs="Arial"/>
                <w:color w:val="000000"/>
                <w:sz w:val="22"/>
                <w:szCs w:val="22"/>
              </w:rPr>
              <w:t>GLP1</w:t>
            </w:r>
          </w:p>
        </w:tc>
        <w:tc>
          <w:tcPr>
            <w:tcW w:w="2093" w:type="dxa"/>
          </w:tcPr>
          <w:p w14:paraId="0D11401B" w14:textId="77777777" w:rsidR="0015459C" w:rsidRPr="00A019D7" w:rsidRDefault="007F0B55" w:rsidP="00D20595">
            <w:pPr>
              <w:widowControl w:val="0"/>
              <w:autoSpaceDE w:val="0"/>
              <w:autoSpaceDN w:val="0"/>
              <w:adjustRightInd w:val="0"/>
              <w:spacing w:line="480" w:lineRule="auto"/>
              <w:rPr>
                <w:rFonts w:ascii="Arial" w:hAnsi="Arial"/>
                <w:sz w:val="22"/>
                <w:szCs w:val="22"/>
              </w:rPr>
            </w:pPr>
            <w:r>
              <w:rPr>
                <w:rFonts w:ascii="Arial" w:hAnsi="Arial"/>
                <w:sz w:val="22"/>
                <w:szCs w:val="22"/>
              </w:rPr>
              <w:t xml:space="preserve">    </w:t>
            </w:r>
            <w:r w:rsidR="0015459C">
              <w:rPr>
                <w:rFonts w:ascii="Arial" w:hAnsi="Arial"/>
                <w:sz w:val="22"/>
                <w:szCs w:val="22"/>
              </w:rPr>
              <w:t>3.7</w:t>
            </w:r>
            <w:r w:rsidR="0015459C" w:rsidRPr="00A019D7">
              <w:rPr>
                <w:rFonts w:ascii="Arial" w:hAnsi="Arial" w:cs="Arial"/>
                <w:color w:val="000000"/>
                <w:sz w:val="22"/>
                <w:szCs w:val="22"/>
              </w:rPr>
              <w:t>±0.</w:t>
            </w:r>
            <w:r w:rsidR="0015459C">
              <w:rPr>
                <w:rFonts w:ascii="Arial" w:hAnsi="Arial" w:cs="Arial"/>
                <w:color w:val="000000"/>
                <w:sz w:val="22"/>
                <w:szCs w:val="22"/>
              </w:rPr>
              <w:t>9</w:t>
            </w:r>
          </w:p>
        </w:tc>
        <w:tc>
          <w:tcPr>
            <w:tcW w:w="2143" w:type="dxa"/>
          </w:tcPr>
          <w:p w14:paraId="69D514A3" w14:textId="77777777" w:rsidR="0015459C" w:rsidRPr="00A019D7" w:rsidRDefault="007F0B55"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Pr>
                <w:rFonts w:ascii="Arial" w:hAnsi="Arial"/>
                <w:sz w:val="22"/>
                <w:szCs w:val="22"/>
              </w:rPr>
              <w:t>5.5</w:t>
            </w:r>
            <w:r w:rsidR="0015459C">
              <w:rPr>
                <w:rFonts w:ascii="Arial" w:hAnsi="Arial" w:cs="Arial"/>
                <w:color w:val="000000"/>
                <w:sz w:val="22"/>
                <w:szCs w:val="22"/>
              </w:rPr>
              <w:t>±0.8</w:t>
            </w:r>
          </w:p>
        </w:tc>
        <w:tc>
          <w:tcPr>
            <w:tcW w:w="1561" w:type="dxa"/>
          </w:tcPr>
          <w:p w14:paraId="2E85A056" w14:textId="77777777" w:rsidR="0015459C" w:rsidRPr="00545B1C" w:rsidRDefault="001C09D3" w:rsidP="00D20595">
            <w:pPr>
              <w:widowControl w:val="0"/>
              <w:autoSpaceDE w:val="0"/>
              <w:autoSpaceDN w:val="0"/>
              <w:adjustRightInd w:val="0"/>
              <w:spacing w:line="480" w:lineRule="auto"/>
              <w:rPr>
                <w:rFonts w:ascii="Arial" w:hAnsi="Arial"/>
                <w:sz w:val="22"/>
                <w:szCs w:val="22"/>
                <w:vertAlign w:val="superscript"/>
              </w:rPr>
            </w:pPr>
            <w:r>
              <w:rPr>
                <w:rFonts w:ascii="Arial" w:hAnsi="Arial"/>
                <w:sz w:val="22"/>
                <w:szCs w:val="22"/>
              </w:rPr>
              <w:t xml:space="preserve">      </w:t>
            </w:r>
            <w:r w:rsidR="0015459C">
              <w:rPr>
                <w:rFonts w:ascii="Arial" w:hAnsi="Arial"/>
                <w:sz w:val="22"/>
                <w:szCs w:val="22"/>
              </w:rPr>
              <w:t>4</w:t>
            </w:r>
            <w:r w:rsidR="0015459C" w:rsidRPr="00A019D7">
              <w:rPr>
                <w:rFonts w:ascii="Arial" w:hAnsi="Arial"/>
                <w:sz w:val="22"/>
                <w:szCs w:val="22"/>
              </w:rPr>
              <w:t>.7</w:t>
            </w:r>
            <w:r w:rsidR="0015459C">
              <w:rPr>
                <w:rFonts w:ascii="Arial" w:hAnsi="Arial" w:cs="Arial"/>
                <w:color w:val="000000"/>
                <w:sz w:val="22"/>
                <w:szCs w:val="22"/>
              </w:rPr>
              <w:t>±0.7</w:t>
            </w:r>
          </w:p>
        </w:tc>
        <w:tc>
          <w:tcPr>
            <w:tcW w:w="2122" w:type="dxa"/>
          </w:tcPr>
          <w:p w14:paraId="5764C507" w14:textId="77777777" w:rsidR="0015459C" w:rsidRPr="00545B1C" w:rsidRDefault="0015459C" w:rsidP="00D20595">
            <w:pPr>
              <w:widowControl w:val="0"/>
              <w:autoSpaceDE w:val="0"/>
              <w:autoSpaceDN w:val="0"/>
              <w:adjustRightInd w:val="0"/>
              <w:spacing w:line="480" w:lineRule="auto"/>
              <w:jc w:val="center"/>
              <w:rPr>
                <w:rFonts w:ascii="Arial" w:hAnsi="Arial"/>
                <w:sz w:val="22"/>
                <w:szCs w:val="22"/>
                <w:vertAlign w:val="superscript"/>
              </w:rPr>
            </w:pPr>
          </w:p>
        </w:tc>
      </w:tr>
    </w:tbl>
    <w:p w14:paraId="009EDC77" w14:textId="77777777" w:rsidR="0015459C" w:rsidRDefault="0015459C" w:rsidP="0015459C">
      <w:pPr>
        <w:widowControl w:val="0"/>
        <w:autoSpaceDE w:val="0"/>
        <w:autoSpaceDN w:val="0"/>
        <w:adjustRightInd w:val="0"/>
        <w:spacing w:line="480" w:lineRule="auto"/>
        <w:jc w:val="both"/>
        <w:rPr>
          <w:rFonts w:ascii="Arial" w:hAnsi="Arial"/>
        </w:rPr>
      </w:pPr>
    </w:p>
    <w:p w14:paraId="697C63EC" w14:textId="77777777" w:rsidR="0015459C" w:rsidRDefault="0015459C" w:rsidP="0015459C">
      <w:pPr>
        <w:widowControl w:val="0"/>
        <w:autoSpaceDE w:val="0"/>
        <w:autoSpaceDN w:val="0"/>
        <w:adjustRightInd w:val="0"/>
        <w:spacing w:line="360" w:lineRule="auto"/>
        <w:jc w:val="both"/>
        <w:rPr>
          <w:rFonts w:ascii="Arial" w:hAnsi="Arial"/>
          <w:sz w:val="22"/>
          <w:szCs w:val="22"/>
        </w:rPr>
      </w:pPr>
      <w:r>
        <w:rPr>
          <w:rFonts w:ascii="Arial" w:eastAsiaTheme="minorHAnsi" w:hAnsi="Arial" w:cs="Arial"/>
          <w:sz w:val="22"/>
          <w:szCs w:val="22"/>
          <w:lang w:val="en-US"/>
        </w:rPr>
        <w:t xml:space="preserve">Two-way ANOVA used to assess the differences within and between the groups. </w:t>
      </w:r>
      <w:r w:rsidRPr="000E5168">
        <w:rPr>
          <w:rFonts w:ascii="Arial" w:hAnsi="Arial" w:cs="Verdana"/>
          <w:color w:val="0E0E0E"/>
          <w:sz w:val="22"/>
          <w:szCs w:val="22"/>
        </w:rPr>
        <w:t>Differences were considered statistically significant at a value of p&lt;0.05.</w:t>
      </w:r>
      <w:r>
        <w:rPr>
          <w:rFonts w:ascii="Arial" w:hAnsi="Arial" w:cs="Verdana"/>
          <w:color w:val="0E0E0E"/>
          <w:sz w:val="22"/>
          <w:szCs w:val="22"/>
        </w:rPr>
        <w:t xml:space="preserve"> Comparisons of time points within the same group are indicated as </w:t>
      </w:r>
      <w:r>
        <w:rPr>
          <w:rFonts w:ascii="Arial" w:hAnsi="Arial"/>
          <w:sz w:val="22"/>
          <w:szCs w:val="22"/>
          <w:vertAlign w:val="superscript"/>
        </w:rPr>
        <w:t>a</w:t>
      </w:r>
      <w:r w:rsidRPr="00FB4567">
        <w:rPr>
          <w:rFonts w:ascii="Arial" w:hAnsi="Arial"/>
          <w:sz w:val="22"/>
          <w:szCs w:val="22"/>
        </w:rPr>
        <w:t>12:00&lt;14:00</w:t>
      </w:r>
      <w:r>
        <w:rPr>
          <w:rFonts w:ascii="Arial" w:hAnsi="Arial"/>
          <w:sz w:val="22"/>
          <w:szCs w:val="22"/>
        </w:rPr>
        <w:t xml:space="preserve">,15:00; </w:t>
      </w:r>
      <w:r>
        <w:rPr>
          <w:rFonts w:ascii="Arial" w:hAnsi="Arial"/>
          <w:sz w:val="22"/>
          <w:szCs w:val="22"/>
          <w:vertAlign w:val="superscript"/>
        </w:rPr>
        <w:t>b</w:t>
      </w:r>
      <w:r w:rsidRPr="00FB4567">
        <w:rPr>
          <w:rFonts w:ascii="Arial" w:hAnsi="Arial"/>
          <w:sz w:val="22"/>
          <w:szCs w:val="22"/>
        </w:rPr>
        <w:t>14:00</w:t>
      </w:r>
      <w:r>
        <w:rPr>
          <w:rFonts w:ascii="Arial" w:hAnsi="Arial"/>
          <w:sz w:val="22"/>
          <w:szCs w:val="22"/>
        </w:rPr>
        <w:t xml:space="preserve">&gt;15:00 </w:t>
      </w:r>
    </w:p>
    <w:p w14:paraId="64123265" w14:textId="77777777" w:rsidR="0015459C" w:rsidRPr="0070104B" w:rsidRDefault="0015459C" w:rsidP="0015459C">
      <w:pPr>
        <w:widowControl w:val="0"/>
        <w:autoSpaceDE w:val="0"/>
        <w:autoSpaceDN w:val="0"/>
        <w:adjustRightInd w:val="0"/>
        <w:spacing w:line="360" w:lineRule="auto"/>
        <w:jc w:val="both"/>
        <w:rPr>
          <w:rFonts w:ascii="Arial" w:hAnsi="Arial"/>
          <w:sz w:val="22"/>
          <w:szCs w:val="22"/>
        </w:rPr>
      </w:pPr>
      <w:r>
        <w:rPr>
          <w:rFonts w:ascii="Arial" w:hAnsi="Arial"/>
          <w:sz w:val="22"/>
          <w:szCs w:val="22"/>
        </w:rPr>
        <w:t>Results are expressed as pg/ml, mean</w:t>
      </w:r>
      <w:r w:rsidRPr="00F20B1F">
        <w:rPr>
          <w:rFonts w:ascii="Arial" w:eastAsia="MS Gothic" w:hAnsi="Arial" w:cs="Arial"/>
          <w:sz w:val="22"/>
          <w:szCs w:val="22"/>
        </w:rPr>
        <w:t>±</w:t>
      </w:r>
      <w:r w:rsidRPr="00F20B1F">
        <w:rPr>
          <w:rFonts w:ascii="Arial" w:eastAsiaTheme="minorHAnsi" w:hAnsi="Arial" w:cs="Arial"/>
          <w:sz w:val="22"/>
          <w:szCs w:val="22"/>
          <w:lang w:val="en-US"/>
        </w:rPr>
        <w:t>SE</w:t>
      </w:r>
    </w:p>
    <w:p w14:paraId="292433F2" w14:textId="77777777" w:rsidR="0015459C" w:rsidRDefault="0015459C" w:rsidP="00204988">
      <w:pPr>
        <w:pStyle w:val="TOCHeading"/>
      </w:pPr>
    </w:p>
    <w:p w14:paraId="6CE989ED" w14:textId="77777777" w:rsidR="0015459C" w:rsidRDefault="0015459C" w:rsidP="0015459C"/>
    <w:p w14:paraId="565D4015" w14:textId="77777777" w:rsidR="0015459C" w:rsidRPr="00D61730" w:rsidRDefault="0015459C" w:rsidP="0015459C"/>
    <w:p w14:paraId="5270508D" w14:textId="77777777" w:rsidR="0015459C" w:rsidRPr="00D61730" w:rsidRDefault="0015459C" w:rsidP="0015459C"/>
    <w:p w14:paraId="39CF12C8" w14:textId="77777777" w:rsidR="0015459C" w:rsidRPr="00D61730" w:rsidRDefault="0015459C" w:rsidP="0015459C"/>
    <w:p w14:paraId="5810492A" w14:textId="77777777" w:rsidR="0015459C" w:rsidRPr="00D61730" w:rsidRDefault="0015459C" w:rsidP="0015459C"/>
    <w:p w14:paraId="03D3A72E" w14:textId="77777777" w:rsidR="00EC1992" w:rsidRDefault="0015459C" w:rsidP="00EC1992">
      <w:pPr>
        <w:keepNext/>
      </w:pPr>
      <w:r>
        <w:rPr>
          <w:noProof/>
          <w:lang w:val="en-US"/>
        </w:rPr>
        <w:lastRenderedPageBreak/>
        <w:drawing>
          <wp:inline distT="0" distB="0" distL="0" distR="0" wp14:anchorId="2798295E" wp14:editId="1377D1D8">
            <wp:extent cx="4355270" cy="2758978"/>
            <wp:effectExtent l="0" t="0" r="0" b="1016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55270" cy="2758978"/>
                    </a:xfrm>
                    <a:prstGeom prst="rect">
                      <a:avLst/>
                    </a:prstGeom>
                    <a:noFill/>
                    <a:ln>
                      <a:noFill/>
                    </a:ln>
                  </pic:spPr>
                </pic:pic>
              </a:graphicData>
            </a:graphic>
          </wp:inline>
        </w:drawing>
      </w:r>
    </w:p>
    <w:p w14:paraId="69C137CC" w14:textId="77777777" w:rsidR="00652FC4" w:rsidRDefault="00652FC4" w:rsidP="00652FC4">
      <w:pPr>
        <w:pStyle w:val="Caption"/>
      </w:pPr>
    </w:p>
    <w:p w14:paraId="34866DC5" w14:textId="77777777" w:rsidR="0015459C" w:rsidRPr="00652FC4" w:rsidRDefault="00EC1992" w:rsidP="00652FC4">
      <w:pPr>
        <w:pStyle w:val="Caption"/>
        <w:spacing w:line="360" w:lineRule="auto"/>
        <w:jc w:val="both"/>
        <w:rPr>
          <w:rFonts w:ascii="Arial" w:hAnsi="Arial"/>
          <w:color w:val="244061" w:themeColor="accent1" w:themeShade="80"/>
          <w:sz w:val="24"/>
          <w:szCs w:val="24"/>
        </w:rPr>
      </w:pPr>
      <w:bookmarkStart w:id="169" w:name="_Toc383544646"/>
      <w:r w:rsidRPr="00652FC4">
        <w:rPr>
          <w:rFonts w:ascii="Arial" w:hAnsi="Arial"/>
          <w:color w:val="244061" w:themeColor="accent1" w:themeShade="80"/>
          <w:sz w:val="24"/>
          <w:szCs w:val="24"/>
        </w:rPr>
        <w:t xml:space="preserve">Figure </w:t>
      </w:r>
      <w:r w:rsidRPr="00652FC4">
        <w:rPr>
          <w:rFonts w:ascii="Arial" w:hAnsi="Arial"/>
          <w:color w:val="244061" w:themeColor="accent1" w:themeShade="80"/>
          <w:sz w:val="24"/>
          <w:szCs w:val="24"/>
        </w:rPr>
        <w:fldChar w:fldCharType="begin"/>
      </w:r>
      <w:r w:rsidRPr="00652FC4">
        <w:rPr>
          <w:rFonts w:ascii="Arial" w:hAnsi="Arial"/>
          <w:color w:val="244061" w:themeColor="accent1" w:themeShade="80"/>
          <w:sz w:val="24"/>
          <w:szCs w:val="24"/>
        </w:rPr>
        <w:instrText xml:space="preserve"> SEQ Figure \* ARABIC </w:instrText>
      </w:r>
      <w:r w:rsidRPr="00652FC4">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55</w:t>
      </w:r>
      <w:r w:rsidRPr="00652FC4">
        <w:rPr>
          <w:rFonts w:ascii="Arial" w:hAnsi="Arial"/>
          <w:color w:val="244061" w:themeColor="accent1" w:themeShade="80"/>
          <w:sz w:val="24"/>
          <w:szCs w:val="24"/>
        </w:rPr>
        <w:fldChar w:fldCharType="end"/>
      </w:r>
      <w:r w:rsidR="00652FC4" w:rsidRPr="00652FC4">
        <w:rPr>
          <w:rFonts w:ascii="Arial" w:hAnsi="Arial"/>
          <w:color w:val="244061" w:themeColor="accent1" w:themeShade="80"/>
          <w:sz w:val="24"/>
          <w:szCs w:val="24"/>
        </w:rPr>
        <w:t xml:space="preserve"> </w:t>
      </w:r>
      <w:r w:rsidR="0015459C" w:rsidRPr="00652FC4">
        <w:rPr>
          <w:rFonts w:ascii="Arial" w:hAnsi="Arial"/>
          <w:color w:val="244061" w:themeColor="accent1" w:themeShade="80"/>
          <w:sz w:val="24"/>
          <w:szCs w:val="24"/>
        </w:rPr>
        <w:t>Changes in</w:t>
      </w:r>
      <w:r w:rsidR="0015459C" w:rsidRPr="00652FC4">
        <w:rPr>
          <w:rFonts w:ascii="Arial" w:hAnsi="Arial"/>
          <w:i/>
          <w:color w:val="244061" w:themeColor="accent1" w:themeShade="80"/>
          <w:sz w:val="24"/>
          <w:szCs w:val="24"/>
        </w:rPr>
        <w:t xml:space="preserve"> </w:t>
      </w:r>
      <w:r w:rsidR="0015459C" w:rsidRPr="00652FC4">
        <w:rPr>
          <w:rFonts w:ascii="Arial" w:hAnsi="Arial"/>
          <w:color w:val="244061" w:themeColor="accent1" w:themeShade="80"/>
          <w:sz w:val="24"/>
          <w:szCs w:val="24"/>
        </w:rPr>
        <w:t>ghrelin serum concentrations in</w:t>
      </w:r>
      <w:r w:rsidR="0015459C" w:rsidRPr="00652FC4">
        <w:rPr>
          <w:rFonts w:ascii="Arial" w:hAnsi="Arial"/>
          <w:i/>
          <w:color w:val="244061" w:themeColor="accent1" w:themeShade="80"/>
          <w:sz w:val="24"/>
          <w:szCs w:val="24"/>
        </w:rPr>
        <w:t xml:space="preserve"> </w:t>
      </w:r>
      <w:r w:rsidR="00E60B8B" w:rsidRPr="00652FC4">
        <w:rPr>
          <w:rFonts w:ascii="Arial" w:hAnsi="Arial"/>
          <w:color w:val="244061" w:themeColor="accent1" w:themeShade="80"/>
          <w:sz w:val="24"/>
          <w:szCs w:val="24"/>
        </w:rPr>
        <w:t>aged</w:t>
      </w:r>
      <w:r w:rsidR="00E60B8B" w:rsidRPr="00652FC4">
        <w:rPr>
          <w:rFonts w:ascii="Arial" w:hAnsi="Arial"/>
          <w:i/>
          <w:color w:val="244061" w:themeColor="accent1" w:themeShade="80"/>
          <w:sz w:val="24"/>
          <w:szCs w:val="24"/>
        </w:rPr>
        <w:t xml:space="preserve"> </w:t>
      </w:r>
      <w:r w:rsidR="0015459C" w:rsidRPr="00652FC4">
        <w:rPr>
          <w:rFonts w:ascii="Arial" w:eastAsiaTheme="minorHAnsi" w:hAnsi="Arial"/>
          <w:bCs w:val="0"/>
          <w:color w:val="244061" w:themeColor="accent1" w:themeShade="80"/>
          <w:sz w:val="24"/>
          <w:szCs w:val="24"/>
          <w:lang w:val="en-US"/>
        </w:rPr>
        <w:t>20-month-old fed (n=6)</w:t>
      </w:r>
      <w:r w:rsidR="007657BF">
        <w:rPr>
          <w:rFonts w:ascii="Arial" w:eastAsiaTheme="minorHAnsi" w:hAnsi="Arial"/>
          <w:bCs w:val="0"/>
          <w:color w:val="244061" w:themeColor="accent1" w:themeShade="80"/>
          <w:sz w:val="24"/>
          <w:szCs w:val="24"/>
          <w:lang w:val="en-US"/>
        </w:rPr>
        <w:t xml:space="preserve"> or overnight fasted fed</w:t>
      </w:r>
      <w:r w:rsidR="0015459C" w:rsidRPr="00652FC4">
        <w:rPr>
          <w:rFonts w:ascii="Arial" w:eastAsiaTheme="minorHAnsi" w:hAnsi="Arial"/>
          <w:bCs w:val="0"/>
          <w:color w:val="244061" w:themeColor="accent1" w:themeShade="80"/>
          <w:sz w:val="24"/>
          <w:szCs w:val="24"/>
          <w:lang w:val="en-US"/>
        </w:rPr>
        <w:t xml:space="preserve"> (n=7) male mice</w:t>
      </w:r>
      <w:bookmarkEnd w:id="169"/>
      <w:r w:rsidR="0015459C" w:rsidRPr="00652FC4">
        <w:rPr>
          <w:rFonts w:ascii="Arial" w:eastAsiaTheme="minorHAnsi" w:hAnsi="Arial"/>
          <w:bCs w:val="0"/>
          <w:color w:val="244061" w:themeColor="accent1" w:themeShade="80"/>
          <w:sz w:val="24"/>
          <w:szCs w:val="24"/>
          <w:lang w:val="en-US"/>
        </w:rPr>
        <w:t xml:space="preserve"> </w:t>
      </w:r>
    </w:p>
    <w:p w14:paraId="242DDE2F" w14:textId="77777777" w:rsidR="0015459C" w:rsidRDefault="0015459C" w:rsidP="0015459C">
      <w:pPr>
        <w:spacing w:line="360" w:lineRule="auto"/>
        <w:jc w:val="both"/>
        <w:rPr>
          <w:rFonts w:ascii="Arial" w:eastAsiaTheme="minorHAnsi" w:hAnsi="Arial" w:cs="Arial"/>
          <w:sz w:val="22"/>
          <w:szCs w:val="22"/>
          <w:lang w:val="en-US"/>
        </w:rPr>
      </w:pPr>
      <w:r>
        <w:rPr>
          <w:rFonts w:ascii="Arial" w:hAnsi="Arial" w:cs="Arial"/>
          <w:color w:val="000000" w:themeColor="text1"/>
          <w:sz w:val="22"/>
          <w:szCs w:val="22"/>
        </w:rPr>
        <w:t>Serum ghrelin concentrations were</w:t>
      </w:r>
      <w:r w:rsidRPr="00DA3085">
        <w:rPr>
          <w:rFonts w:ascii="Arial" w:hAnsi="Arial" w:cs="Arial"/>
          <w:color w:val="000000" w:themeColor="text1"/>
          <w:sz w:val="22"/>
          <w:szCs w:val="22"/>
        </w:rPr>
        <w:t xml:space="preserve"> significantly higher at 14:00 and 15:00 compared to those at 12:00 in fed </w:t>
      </w:r>
      <w:r>
        <w:rPr>
          <w:rFonts w:ascii="Arial" w:hAnsi="Arial" w:cs="Arial"/>
          <w:color w:val="000000" w:themeColor="text1"/>
          <w:sz w:val="22"/>
          <w:szCs w:val="22"/>
        </w:rPr>
        <w:t xml:space="preserve">but not fasted fed mice. </w:t>
      </w:r>
      <w:r w:rsidRPr="006F6740">
        <w:rPr>
          <w:rFonts w:ascii="Arial" w:eastAsiaTheme="minorHAnsi" w:hAnsi="Arial" w:cs="Arial"/>
          <w:sz w:val="22"/>
          <w:szCs w:val="22"/>
          <w:lang w:val="en-US"/>
        </w:rPr>
        <w:t>Bars represent mean</w:t>
      </w:r>
      <w:r w:rsidRPr="006F6740">
        <w:rPr>
          <w:rFonts w:ascii="Arial" w:eastAsia="MS Gothic" w:hAnsi="Arial" w:cs="Arial"/>
          <w:sz w:val="22"/>
          <w:szCs w:val="22"/>
        </w:rPr>
        <w:t>±</w:t>
      </w:r>
      <w:r>
        <w:rPr>
          <w:rFonts w:ascii="Arial" w:eastAsiaTheme="minorHAnsi" w:hAnsi="Arial" w:cs="Arial"/>
          <w:sz w:val="22"/>
          <w:szCs w:val="22"/>
          <w:lang w:val="en-US"/>
        </w:rPr>
        <w:t>SE</w:t>
      </w:r>
      <w:r w:rsidR="00652FC4">
        <w:rPr>
          <w:rFonts w:ascii="Arial" w:eastAsiaTheme="minorHAnsi" w:hAnsi="Arial" w:cs="Arial"/>
          <w:sz w:val="22"/>
          <w:szCs w:val="22"/>
          <w:lang w:val="en-US"/>
        </w:rPr>
        <w:t xml:space="preserve">. </w:t>
      </w:r>
      <w:r>
        <w:rPr>
          <w:rFonts w:ascii="Arial" w:eastAsiaTheme="minorHAnsi" w:hAnsi="Arial" w:cs="Arial"/>
          <w:sz w:val="22"/>
          <w:szCs w:val="22"/>
          <w:lang w:val="en-US"/>
        </w:rPr>
        <w:t>Significant differences are indicated as ** p&lt;0.01</w:t>
      </w:r>
    </w:p>
    <w:p w14:paraId="0EB16CB8" w14:textId="77777777" w:rsidR="003E7777" w:rsidRPr="00652FC4" w:rsidRDefault="003E7777" w:rsidP="0015459C">
      <w:pPr>
        <w:spacing w:line="360" w:lineRule="auto"/>
        <w:jc w:val="both"/>
        <w:rPr>
          <w:rFonts w:ascii="Arial" w:eastAsiaTheme="minorHAnsi" w:hAnsi="Arial" w:cs="Arial"/>
          <w:sz w:val="22"/>
          <w:szCs w:val="22"/>
          <w:lang w:val="en-US"/>
        </w:rPr>
      </w:pPr>
    </w:p>
    <w:p w14:paraId="47A498CC" w14:textId="77777777" w:rsidR="0015459C" w:rsidRPr="00D61730" w:rsidRDefault="0015459C" w:rsidP="0015459C">
      <w:pPr>
        <w:spacing w:line="360" w:lineRule="auto"/>
        <w:jc w:val="both"/>
      </w:pPr>
    </w:p>
    <w:p w14:paraId="1086AEAB" w14:textId="77777777" w:rsidR="00EC1992" w:rsidRDefault="0015459C" w:rsidP="00EC1992">
      <w:pPr>
        <w:keepNext/>
      </w:pPr>
      <w:r>
        <w:rPr>
          <w:noProof/>
          <w:lang w:val="en-US"/>
        </w:rPr>
        <w:drawing>
          <wp:inline distT="0" distB="0" distL="0" distR="0" wp14:anchorId="76BA0503" wp14:editId="595F311C">
            <wp:extent cx="4355270" cy="2744786"/>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355270" cy="2744786"/>
                    </a:xfrm>
                    <a:prstGeom prst="rect">
                      <a:avLst/>
                    </a:prstGeom>
                    <a:noFill/>
                    <a:ln>
                      <a:noFill/>
                    </a:ln>
                  </pic:spPr>
                </pic:pic>
              </a:graphicData>
            </a:graphic>
          </wp:inline>
        </w:drawing>
      </w:r>
    </w:p>
    <w:p w14:paraId="19E78075" w14:textId="77777777" w:rsidR="00652FC4" w:rsidRDefault="00652FC4" w:rsidP="00652FC4">
      <w:pPr>
        <w:pStyle w:val="Caption"/>
      </w:pPr>
    </w:p>
    <w:p w14:paraId="6137D408" w14:textId="77777777" w:rsidR="0015459C" w:rsidRPr="00652FC4" w:rsidRDefault="00EC1992" w:rsidP="00652FC4">
      <w:pPr>
        <w:pStyle w:val="Caption"/>
        <w:spacing w:line="360" w:lineRule="auto"/>
        <w:jc w:val="both"/>
        <w:rPr>
          <w:rFonts w:ascii="Arial" w:hAnsi="Arial"/>
          <w:color w:val="244061" w:themeColor="accent1" w:themeShade="80"/>
          <w:sz w:val="24"/>
          <w:szCs w:val="24"/>
        </w:rPr>
      </w:pPr>
      <w:bookmarkStart w:id="170" w:name="_Toc383544647"/>
      <w:r w:rsidRPr="00652FC4">
        <w:rPr>
          <w:rFonts w:ascii="Arial" w:hAnsi="Arial"/>
          <w:color w:val="244061" w:themeColor="accent1" w:themeShade="80"/>
          <w:sz w:val="24"/>
          <w:szCs w:val="24"/>
        </w:rPr>
        <w:t xml:space="preserve">Figure </w:t>
      </w:r>
      <w:r w:rsidRPr="00652FC4">
        <w:rPr>
          <w:rFonts w:ascii="Arial" w:hAnsi="Arial"/>
          <w:color w:val="244061" w:themeColor="accent1" w:themeShade="80"/>
          <w:sz w:val="24"/>
          <w:szCs w:val="24"/>
        </w:rPr>
        <w:fldChar w:fldCharType="begin"/>
      </w:r>
      <w:r w:rsidRPr="00652FC4">
        <w:rPr>
          <w:rFonts w:ascii="Arial" w:hAnsi="Arial"/>
          <w:color w:val="244061" w:themeColor="accent1" w:themeShade="80"/>
          <w:sz w:val="24"/>
          <w:szCs w:val="24"/>
        </w:rPr>
        <w:instrText xml:space="preserve"> SEQ Figure \* ARABIC </w:instrText>
      </w:r>
      <w:r w:rsidRPr="00652FC4">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56</w:t>
      </w:r>
      <w:r w:rsidRPr="00652FC4">
        <w:rPr>
          <w:rFonts w:ascii="Arial" w:hAnsi="Arial"/>
          <w:color w:val="244061" w:themeColor="accent1" w:themeShade="80"/>
          <w:sz w:val="24"/>
          <w:szCs w:val="24"/>
        </w:rPr>
        <w:fldChar w:fldCharType="end"/>
      </w:r>
      <w:r w:rsidR="00652FC4" w:rsidRPr="00652FC4">
        <w:rPr>
          <w:rFonts w:ascii="Arial" w:hAnsi="Arial"/>
          <w:color w:val="244061" w:themeColor="accent1" w:themeShade="80"/>
          <w:sz w:val="24"/>
          <w:szCs w:val="24"/>
        </w:rPr>
        <w:t xml:space="preserve"> </w:t>
      </w:r>
      <w:r w:rsidR="0015459C" w:rsidRPr="00652FC4">
        <w:rPr>
          <w:rFonts w:ascii="Arial" w:hAnsi="Arial"/>
          <w:color w:val="244061" w:themeColor="accent1" w:themeShade="80"/>
          <w:sz w:val="24"/>
          <w:szCs w:val="24"/>
        </w:rPr>
        <w:t>Changes leptin serum concentrations in</w:t>
      </w:r>
      <w:r w:rsidR="0015459C" w:rsidRPr="00652FC4">
        <w:rPr>
          <w:rFonts w:ascii="Arial" w:hAnsi="Arial"/>
          <w:i/>
          <w:color w:val="244061" w:themeColor="accent1" w:themeShade="80"/>
          <w:sz w:val="24"/>
          <w:szCs w:val="24"/>
        </w:rPr>
        <w:t xml:space="preserve"> </w:t>
      </w:r>
      <w:r w:rsidR="00E60B8B" w:rsidRPr="00D71735">
        <w:rPr>
          <w:rFonts w:ascii="Arial" w:hAnsi="Arial"/>
          <w:color w:val="244061" w:themeColor="accent1" w:themeShade="80"/>
          <w:sz w:val="24"/>
          <w:szCs w:val="24"/>
        </w:rPr>
        <w:t>aged</w:t>
      </w:r>
      <w:r w:rsidR="00E60B8B" w:rsidRPr="00652FC4">
        <w:rPr>
          <w:rFonts w:ascii="Arial" w:hAnsi="Arial"/>
          <w:i/>
          <w:color w:val="244061" w:themeColor="accent1" w:themeShade="80"/>
          <w:sz w:val="24"/>
          <w:szCs w:val="24"/>
        </w:rPr>
        <w:t xml:space="preserve"> </w:t>
      </w:r>
      <w:r w:rsidR="0015459C" w:rsidRPr="00652FC4">
        <w:rPr>
          <w:rFonts w:ascii="Arial" w:eastAsiaTheme="minorHAnsi" w:hAnsi="Arial"/>
          <w:bCs w:val="0"/>
          <w:color w:val="244061" w:themeColor="accent1" w:themeShade="80"/>
          <w:sz w:val="24"/>
          <w:szCs w:val="24"/>
          <w:lang w:val="en-US"/>
        </w:rPr>
        <w:t xml:space="preserve">20-month-old fed (n=6) </w:t>
      </w:r>
      <w:r w:rsidR="007657BF">
        <w:rPr>
          <w:rFonts w:ascii="Arial" w:eastAsiaTheme="minorHAnsi" w:hAnsi="Arial"/>
          <w:bCs w:val="0"/>
          <w:color w:val="244061" w:themeColor="accent1" w:themeShade="80"/>
          <w:sz w:val="24"/>
          <w:szCs w:val="24"/>
          <w:lang w:val="en-US"/>
        </w:rPr>
        <w:t xml:space="preserve">or overnight fasted fed </w:t>
      </w:r>
      <w:r w:rsidR="0015459C" w:rsidRPr="00652FC4">
        <w:rPr>
          <w:rFonts w:ascii="Arial" w:eastAsiaTheme="minorHAnsi" w:hAnsi="Arial"/>
          <w:bCs w:val="0"/>
          <w:color w:val="244061" w:themeColor="accent1" w:themeShade="80"/>
          <w:sz w:val="24"/>
          <w:szCs w:val="24"/>
          <w:lang w:val="en-US"/>
        </w:rPr>
        <w:t>(n=7) male mice</w:t>
      </w:r>
      <w:bookmarkEnd w:id="170"/>
      <w:r w:rsidR="0015459C" w:rsidRPr="00652FC4">
        <w:rPr>
          <w:rFonts w:ascii="Arial" w:eastAsiaTheme="minorHAnsi" w:hAnsi="Arial"/>
          <w:bCs w:val="0"/>
          <w:color w:val="244061" w:themeColor="accent1" w:themeShade="80"/>
          <w:sz w:val="24"/>
          <w:szCs w:val="24"/>
          <w:lang w:val="en-US"/>
        </w:rPr>
        <w:t xml:space="preserve"> </w:t>
      </w:r>
    </w:p>
    <w:p w14:paraId="35CE1458" w14:textId="77777777" w:rsidR="0015459C" w:rsidRPr="00D71735" w:rsidRDefault="0015459C" w:rsidP="0015459C">
      <w:pPr>
        <w:spacing w:line="360" w:lineRule="auto"/>
        <w:jc w:val="both"/>
        <w:rPr>
          <w:rFonts w:ascii="Arial" w:hAnsi="Arial" w:cs="Arial"/>
          <w:bCs/>
          <w:noProof/>
          <w:color w:val="000000" w:themeColor="text1"/>
        </w:rPr>
      </w:pPr>
      <w:r w:rsidRPr="0023288D">
        <w:rPr>
          <w:rFonts w:ascii="Arial" w:hAnsi="Arial"/>
          <w:sz w:val="22"/>
          <w:szCs w:val="22"/>
        </w:rPr>
        <w:t>Serum leptin concentrations significantly increased at 14:00 and 15:00 compared with those</w:t>
      </w:r>
      <w:r>
        <w:rPr>
          <w:rFonts w:ascii="Arial" w:hAnsi="Arial"/>
          <w:sz w:val="22"/>
          <w:szCs w:val="22"/>
        </w:rPr>
        <w:t xml:space="preserve"> at 12:00 in fasted fed mice and </w:t>
      </w:r>
      <w:r w:rsidRPr="0023288D">
        <w:rPr>
          <w:rFonts w:ascii="Arial" w:hAnsi="Arial"/>
          <w:sz w:val="22"/>
          <w:szCs w:val="22"/>
        </w:rPr>
        <w:t>remained relatively unchanged</w:t>
      </w:r>
      <w:r>
        <w:rPr>
          <w:rFonts w:ascii="Arial" w:hAnsi="Arial"/>
          <w:sz w:val="22"/>
          <w:szCs w:val="22"/>
        </w:rPr>
        <w:t xml:space="preserve"> in fed mice.</w:t>
      </w:r>
      <w:r w:rsidRPr="00A70E41">
        <w:rPr>
          <w:rFonts w:ascii="Arial" w:eastAsiaTheme="minorHAnsi" w:hAnsi="Arial" w:cs="Arial"/>
          <w:sz w:val="22"/>
          <w:szCs w:val="22"/>
          <w:lang w:val="en-US"/>
        </w:rPr>
        <w:t xml:space="preserve"> </w:t>
      </w:r>
      <w:r w:rsidRPr="006F6740">
        <w:rPr>
          <w:rFonts w:ascii="Arial" w:eastAsiaTheme="minorHAnsi" w:hAnsi="Arial" w:cs="Arial"/>
          <w:sz w:val="22"/>
          <w:szCs w:val="22"/>
          <w:lang w:val="en-US"/>
        </w:rPr>
        <w:t>Bars represent mean</w:t>
      </w:r>
      <w:r w:rsidRPr="006F6740">
        <w:rPr>
          <w:rFonts w:ascii="Arial" w:eastAsia="MS Gothic" w:hAnsi="Arial" w:cs="Arial"/>
          <w:sz w:val="22"/>
          <w:szCs w:val="22"/>
        </w:rPr>
        <w:t>±</w:t>
      </w:r>
      <w:r>
        <w:rPr>
          <w:rFonts w:ascii="Arial" w:eastAsiaTheme="minorHAnsi" w:hAnsi="Arial" w:cs="Arial"/>
          <w:sz w:val="22"/>
          <w:szCs w:val="22"/>
          <w:lang w:val="en-US"/>
        </w:rPr>
        <w:t>SE</w:t>
      </w:r>
      <w:r w:rsidR="00652FC4">
        <w:rPr>
          <w:rFonts w:ascii="Arial" w:eastAsiaTheme="minorHAnsi" w:hAnsi="Arial" w:cs="Arial"/>
          <w:sz w:val="22"/>
          <w:szCs w:val="22"/>
          <w:lang w:val="en-US"/>
        </w:rPr>
        <w:t xml:space="preserve">. </w:t>
      </w:r>
      <w:r>
        <w:rPr>
          <w:rFonts w:ascii="Arial" w:eastAsiaTheme="minorHAnsi" w:hAnsi="Arial" w:cs="Arial"/>
          <w:sz w:val="22"/>
          <w:szCs w:val="22"/>
          <w:lang w:val="en-US"/>
        </w:rPr>
        <w:t>Significant differences are indicated as * p&lt;0.05, ** p&lt;0.01</w:t>
      </w:r>
    </w:p>
    <w:p w14:paraId="3DEF3ADA" w14:textId="77777777" w:rsidR="003737EB" w:rsidRDefault="0015459C" w:rsidP="003737EB">
      <w:pPr>
        <w:keepNext/>
        <w:spacing w:line="360" w:lineRule="auto"/>
        <w:jc w:val="both"/>
      </w:pPr>
      <w:r>
        <w:rPr>
          <w:noProof/>
          <w:lang w:val="en-US"/>
        </w:rPr>
        <w:lastRenderedPageBreak/>
        <w:drawing>
          <wp:inline distT="0" distB="0" distL="0" distR="0" wp14:anchorId="33EBE41A" wp14:editId="7B9A869E">
            <wp:extent cx="4320365" cy="277197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320365" cy="2771970"/>
                    </a:xfrm>
                    <a:prstGeom prst="rect">
                      <a:avLst/>
                    </a:prstGeom>
                    <a:noFill/>
                    <a:ln>
                      <a:noFill/>
                    </a:ln>
                  </pic:spPr>
                </pic:pic>
              </a:graphicData>
            </a:graphic>
          </wp:inline>
        </w:drawing>
      </w:r>
    </w:p>
    <w:p w14:paraId="1DB19098" w14:textId="77777777" w:rsidR="003E7777" w:rsidRDefault="003E7777" w:rsidP="003E7777">
      <w:pPr>
        <w:pStyle w:val="Caption"/>
        <w:spacing w:line="360" w:lineRule="auto"/>
        <w:jc w:val="both"/>
        <w:rPr>
          <w:rFonts w:ascii="Arial" w:hAnsi="Arial"/>
          <w:color w:val="244061" w:themeColor="accent1" w:themeShade="80"/>
          <w:sz w:val="24"/>
          <w:szCs w:val="24"/>
        </w:rPr>
      </w:pPr>
    </w:p>
    <w:p w14:paraId="4004D110" w14:textId="77777777" w:rsidR="0015459C" w:rsidRPr="003E7777" w:rsidRDefault="003737EB" w:rsidP="003E7777">
      <w:pPr>
        <w:pStyle w:val="Caption"/>
        <w:spacing w:line="360" w:lineRule="auto"/>
        <w:jc w:val="both"/>
        <w:rPr>
          <w:rFonts w:ascii="Arial" w:hAnsi="Arial"/>
          <w:color w:val="244061" w:themeColor="accent1" w:themeShade="80"/>
          <w:sz w:val="24"/>
          <w:szCs w:val="24"/>
        </w:rPr>
      </w:pPr>
      <w:bookmarkStart w:id="171" w:name="_Toc383544648"/>
      <w:r w:rsidRPr="003E7777">
        <w:rPr>
          <w:rFonts w:ascii="Arial" w:hAnsi="Arial"/>
          <w:color w:val="244061" w:themeColor="accent1" w:themeShade="80"/>
          <w:sz w:val="24"/>
          <w:szCs w:val="24"/>
        </w:rPr>
        <w:t xml:space="preserve">Figure </w:t>
      </w:r>
      <w:r w:rsidRPr="003E7777">
        <w:rPr>
          <w:rFonts w:ascii="Arial" w:hAnsi="Arial"/>
          <w:color w:val="244061" w:themeColor="accent1" w:themeShade="80"/>
          <w:sz w:val="24"/>
          <w:szCs w:val="24"/>
        </w:rPr>
        <w:fldChar w:fldCharType="begin"/>
      </w:r>
      <w:r w:rsidRPr="003E7777">
        <w:rPr>
          <w:rFonts w:ascii="Arial" w:hAnsi="Arial"/>
          <w:color w:val="244061" w:themeColor="accent1" w:themeShade="80"/>
          <w:sz w:val="24"/>
          <w:szCs w:val="24"/>
        </w:rPr>
        <w:instrText xml:space="preserve"> SEQ Figure \* ARABIC </w:instrText>
      </w:r>
      <w:r w:rsidRPr="003E7777">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57</w:t>
      </w:r>
      <w:r w:rsidRPr="003E7777">
        <w:rPr>
          <w:rFonts w:ascii="Arial" w:hAnsi="Arial"/>
          <w:color w:val="244061" w:themeColor="accent1" w:themeShade="80"/>
          <w:sz w:val="24"/>
          <w:szCs w:val="24"/>
        </w:rPr>
        <w:fldChar w:fldCharType="end"/>
      </w:r>
      <w:r w:rsidR="003E7777" w:rsidRPr="003E7777">
        <w:rPr>
          <w:rFonts w:ascii="Arial" w:hAnsi="Arial"/>
          <w:color w:val="244061" w:themeColor="accent1" w:themeShade="80"/>
          <w:sz w:val="24"/>
          <w:szCs w:val="24"/>
        </w:rPr>
        <w:t xml:space="preserve"> </w:t>
      </w:r>
      <w:r w:rsidR="0015459C" w:rsidRPr="003E7777">
        <w:rPr>
          <w:rFonts w:ascii="Arial" w:hAnsi="Arial"/>
          <w:color w:val="244061" w:themeColor="accent1" w:themeShade="80"/>
          <w:sz w:val="24"/>
          <w:szCs w:val="24"/>
        </w:rPr>
        <w:t>Changes in</w:t>
      </w:r>
      <w:r w:rsidR="0015459C" w:rsidRPr="003E7777">
        <w:rPr>
          <w:rFonts w:ascii="Arial" w:hAnsi="Arial"/>
          <w:i/>
          <w:color w:val="244061" w:themeColor="accent1" w:themeShade="80"/>
          <w:sz w:val="24"/>
          <w:szCs w:val="24"/>
        </w:rPr>
        <w:t xml:space="preserve"> </w:t>
      </w:r>
      <w:r w:rsidR="0015459C" w:rsidRPr="003E7777">
        <w:rPr>
          <w:rFonts w:ascii="Arial" w:hAnsi="Arial"/>
          <w:color w:val="244061" w:themeColor="accent1" w:themeShade="80"/>
          <w:sz w:val="24"/>
          <w:szCs w:val="24"/>
        </w:rPr>
        <w:t>insulin serum concentrations in</w:t>
      </w:r>
      <w:r w:rsidR="0015459C" w:rsidRPr="003E7777">
        <w:rPr>
          <w:rFonts w:ascii="Arial" w:hAnsi="Arial"/>
          <w:i/>
          <w:color w:val="244061" w:themeColor="accent1" w:themeShade="80"/>
          <w:sz w:val="24"/>
          <w:szCs w:val="24"/>
        </w:rPr>
        <w:t xml:space="preserve"> </w:t>
      </w:r>
      <w:r w:rsidR="00E60B8B" w:rsidRPr="003E7777">
        <w:rPr>
          <w:rFonts w:ascii="Arial" w:hAnsi="Arial"/>
          <w:color w:val="244061" w:themeColor="accent1" w:themeShade="80"/>
          <w:sz w:val="24"/>
          <w:szCs w:val="24"/>
        </w:rPr>
        <w:t>aged</w:t>
      </w:r>
      <w:r w:rsidR="00E60B8B" w:rsidRPr="003E7777">
        <w:rPr>
          <w:rFonts w:ascii="Arial" w:hAnsi="Arial"/>
          <w:i/>
          <w:color w:val="244061" w:themeColor="accent1" w:themeShade="80"/>
          <w:sz w:val="24"/>
          <w:szCs w:val="24"/>
        </w:rPr>
        <w:t xml:space="preserve"> </w:t>
      </w:r>
      <w:r w:rsidR="0015459C" w:rsidRPr="003E7777">
        <w:rPr>
          <w:rFonts w:ascii="Arial" w:eastAsiaTheme="minorHAnsi" w:hAnsi="Arial"/>
          <w:bCs w:val="0"/>
          <w:color w:val="244061" w:themeColor="accent1" w:themeShade="80"/>
          <w:sz w:val="24"/>
          <w:szCs w:val="24"/>
          <w:lang w:val="en-US"/>
        </w:rPr>
        <w:t xml:space="preserve">20-month-old fed (n=6) </w:t>
      </w:r>
      <w:r w:rsidR="007657BF">
        <w:rPr>
          <w:rFonts w:ascii="Arial" w:eastAsiaTheme="minorHAnsi" w:hAnsi="Arial"/>
          <w:bCs w:val="0"/>
          <w:color w:val="244061" w:themeColor="accent1" w:themeShade="80"/>
          <w:sz w:val="24"/>
          <w:szCs w:val="24"/>
          <w:lang w:val="en-US"/>
        </w:rPr>
        <w:t xml:space="preserve">or overnight fasted fed </w:t>
      </w:r>
      <w:r w:rsidR="0015459C" w:rsidRPr="003E7777">
        <w:rPr>
          <w:rFonts w:ascii="Arial" w:eastAsiaTheme="minorHAnsi" w:hAnsi="Arial"/>
          <w:bCs w:val="0"/>
          <w:color w:val="244061" w:themeColor="accent1" w:themeShade="80"/>
          <w:sz w:val="24"/>
          <w:szCs w:val="24"/>
          <w:lang w:val="en-US"/>
        </w:rPr>
        <w:t>(n=7) male mice</w:t>
      </w:r>
      <w:bookmarkEnd w:id="171"/>
      <w:r w:rsidR="0015459C" w:rsidRPr="003E7777">
        <w:rPr>
          <w:rFonts w:ascii="Arial" w:eastAsiaTheme="minorHAnsi" w:hAnsi="Arial"/>
          <w:bCs w:val="0"/>
          <w:color w:val="244061" w:themeColor="accent1" w:themeShade="80"/>
          <w:sz w:val="24"/>
          <w:szCs w:val="24"/>
          <w:lang w:val="en-US"/>
        </w:rPr>
        <w:t xml:space="preserve"> </w:t>
      </w:r>
    </w:p>
    <w:p w14:paraId="13D53559" w14:textId="77777777" w:rsidR="0015459C" w:rsidRDefault="003E7777" w:rsidP="0015459C">
      <w:pPr>
        <w:spacing w:line="360" w:lineRule="auto"/>
        <w:jc w:val="both"/>
        <w:rPr>
          <w:rFonts w:ascii="Arial" w:eastAsiaTheme="minorHAnsi" w:hAnsi="Arial" w:cs="Arial"/>
          <w:sz w:val="22"/>
          <w:szCs w:val="22"/>
          <w:lang w:val="en-US"/>
        </w:rPr>
      </w:pPr>
      <w:r>
        <w:rPr>
          <w:rFonts w:ascii="Arial" w:hAnsi="Arial"/>
          <w:sz w:val="22"/>
          <w:szCs w:val="22"/>
        </w:rPr>
        <w:t>In fasted fed mice, s</w:t>
      </w:r>
      <w:r w:rsidR="0015459C" w:rsidRPr="00786D19">
        <w:rPr>
          <w:rFonts w:ascii="Arial" w:hAnsi="Arial"/>
          <w:sz w:val="22"/>
          <w:szCs w:val="22"/>
        </w:rPr>
        <w:t xml:space="preserve">erum insulin concentration increased but not significantly </w:t>
      </w:r>
      <w:r w:rsidR="0015459C">
        <w:rPr>
          <w:rFonts w:ascii="Arial" w:hAnsi="Arial"/>
          <w:sz w:val="22"/>
          <w:szCs w:val="22"/>
        </w:rPr>
        <w:t>from 12:00 to</w:t>
      </w:r>
      <w:r w:rsidR="0015459C" w:rsidRPr="00786D19">
        <w:rPr>
          <w:rFonts w:ascii="Arial" w:hAnsi="Arial"/>
          <w:sz w:val="22"/>
          <w:szCs w:val="22"/>
        </w:rPr>
        <w:t xml:space="preserve"> 14:00</w:t>
      </w:r>
      <w:r w:rsidR="0015459C">
        <w:rPr>
          <w:rFonts w:ascii="Arial" w:hAnsi="Arial"/>
          <w:sz w:val="22"/>
          <w:szCs w:val="22"/>
        </w:rPr>
        <w:t xml:space="preserve">, </w:t>
      </w:r>
      <w:r>
        <w:rPr>
          <w:rFonts w:ascii="Arial" w:hAnsi="Arial"/>
          <w:sz w:val="22"/>
          <w:szCs w:val="22"/>
        </w:rPr>
        <w:t xml:space="preserve">then </w:t>
      </w:r>
      <w:r w:rsidR="0015459C" w:rsidRPr="00786D19">
        <w:rPr>
          <w:rFonts w:ascii="Arial" w:hAnsi="Arial"/>
          <w:sz w:val="22"/>
          <w:szCs w:val="22"/>
        </w:rPr>
        <w:t>decreased</w:t>
      </w:r>
      <w:r>
        <w:rPr>
          <w:rFonts w:ascii="Arial" w:hAnsi="Arial"/>
          <w:sz w:val="22"/>
          <w:szCs w:val="22"/>
        </w:rPr>
        <w:t xml:space="preserve"> significantly</w:t>
      </w:r>
      <w:r w:rsidR="0015459C" w:rsidRPr="00786D19">
        <w:rPr>
          <w:rFonts w:ascii="Arial" w:hAnsi="Arial"/>
          <w:sz w:val="22"/>
          <w:szCs w:val="22"/>
        </w:rPr>
        <w:t xml:space="preserve"> at 15:00 compared to that at 14:00</w:t>
      </w:r>
      <w:r w:rsidR="0015459C">
        <w:rPr>
          <w:rFonts w:ascii="Arial" w:hAnsi="Arial"/>
          <w:sz w:val="22"/>
          <w:szCs w:val="22"/>
        </w:rPr>
        <w:t xml:space="preserve"> and</w:t>
      </w:r>
      <w:r w:rsidR="0015459C" w:rsidRPr="00786D19">
        <w:rPr>
          <w:rFonts w:ascii="Arial" w:hAnsi="Arial"/>
          <w:sz w:val="22"/>
          <w:szCs w:val="22"/>
        </w:rPr>
        <w:t xml:space="preserve"> remained </w:t>
      </w:r>
      <w:r w:rsidR="0015459C">
        <w:rPr>
          <w:rFonts w:ascii="Arial" w:hAnsi="Arial"/>
          <w:sz w:val="22"/>
          <w:szCs w:val="22"/>
        </w:rPr>
        <w:t xml:space="preserve">unchanged in </w:t>
      </w:r>
      <w:r w:rsidR="0015459C" w:rsidRPr="00786D19">
        <w:rPr>
          <w:rFonts w:ascii="Arial" w:hAnsi="Arial"/>
          <w:sz w:val="22"/>
          <w:szCs w:val="22"/>
        </w:rPr>
        <w:t>fed mice</w:t>
      </w:r>
      <w:r w:rsidR="0015459C">
        <w:rPr>
          <w:rFonts w:ascii="Arial" w:hAnsi="Arial"/>
          <w:sz w:val="22"/>
          <w:szCs w:val="22"/>
        </w:rPr>
        <w:t>.</w:t>
      </w:r>
      <w:r w:rsidR="0015459C" w:rsidRPr="00656C93">
        <w:rPr>
          <w:rFonts w:ascii="Arial" w:eastAsiaTheme="minorHAnsi" w:hAnsi="Arial" w:cs="Arial"/>
          <w:sz w:val="22"/>
          <w:szCs w:val="22"/>
          <w:lang w:val="en-US"/>
        </w:rPr>
        <w:t xml:space="preserve"> </w:t>
      </w:r>
      <w:r w:rsidR="0015459C" w:rsidRPr="006F6740">
        <w:rPr>
          <w:rFonts w:ascii="Arial" w:eastAsiaTheme="minorHAnsi" w:hAnsi="Arial" w:cs="Arial"/>
          <w:sz w:val="22"/>
          <w:szCs w:val="22"/>
          <w:lang w:val="en-US"/>
        </w:rPr>
        <w:t>Bars represent mean</w:t>
      </w:r>
      <w:r w:rsidR="0015459C" w:rsidRPr="006F6740">
        <w:rPr>
          <w:rFonts w:ascii="Arial" w:eastAsia="MS Gothic" w:hAnsi="Arial" w:cs="Arial"/>
          <w:sz w:val="22"/>
          <w:szCs w:val="22"/>
        </w:rPr>
        <w:t>±</w:t>
      </w:r>
      <w:r w:rsidR="0015459C">
        <w:rPr>
          <w:rFonts w:ascii="Arial" w:eastAsiaTheme="minorHAnsi" w:hAnsi="Arial" w:cs="Arial"/>
          <w:sz w:val="22"/>
          <w:szCs w:val="22"/>
          <w:lang w:val="en-US"/>
        </w:rPr>
        <w:t>SE</w:t>
      </w:r>
      <w:r>
        <w:rPr>
          <w:rFonts w:ascii="Arial" w:eastAsiaTheme="minorHAnsi" w:hAnsi="Arial" w:cs="Arial"/>
          <w:sz w:val="22"/>
          <w:szCs w:val="22"/>
          <w:lang w:val="en-US"/>
        </w:rPr>
        <w:t xml:space="preserve">. </w:t>
      </w:r>
      <w:r w:rsidR="0015459C">
        <w:rPr>
          <w:rFonts w:ascii="Arial" w:eastAsiaTheme="minorHAnsi" w:hAnsi="Arial" w:cs="Arial"/>
          <w:sz w:val="22"/>
          <w:szCs w:val="22"/>
          <w:lang w:val="en-US"/>
        </w:rPr>
        <w:t>Significant differences are indicated as * p&lt;0.05</w:t>
      </w:r>
    </w:p>
    <w:p w14:paraId="756C4556" w14:textId="77777777" w:rsidR="003E7777" w:rsidRPr="003E7777" w:rsidRDefault="003E7777" w:rsidP="0015459C">
      <w:pPr>
        <w:spacing w:line="360" w:lineRule="auto"/>
        <w:jc w:val="both"/>
        <w:rPr>
          <w:rFonts w:ascii="Arial" w:eastAsiaTheme="minorHAnsi" w:hAnsi="Arial" w:cs="Arial"/>
          <w:sz w:val="22"/>
          <w:szCs w:val="22"/>
          <w:lang w:val="en-US"/>
        </w:rPr>
      </w:pPr>
    </w:p>
    <w:p w14:paraId="55ACE250" w14:textId="77777777" w:rsidR="0015459C" w:rsidRPr="00D61730" w:rsidRDefault="0015459C" w:rsidP="0015459C">
      <w:pPr>
        <w:spacing w:line="360" w:lineRule="auto"/>
        <w:jc w:val="both"/>
      </w:pPr>
    </w:p>
    <w:p w14:paraId="6472EA75" w14:textId="77777777" w:rsidR="003737EB" w:rsidRDefault="006A3668" w:rsidP="003E7777">
      <w:pPr>
        <w:keepNext/>
        <w:spacing w:line="360" w:lineRule="auto"/>
        <w:ind w:left="142"/>
        <w:jc w:val="both"/>
      </w:pPr>
      <w:r>
        <w:rPr>
          <w:noProof/>
          <w:lang w:val="en-US"/>
        </w:rPr>
        <w:drawing>
          <wp:inline distT="0" distB="0" distL="0" distR="0" wp14:anchorId="722B5F0B" wp14:editId="3750B982">
            <wp:extent cx="4408304" cy="2532939"/>
            <wp:effectExtent l="0" t="0" r="11430" b="762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410905" cy="2534434"/>
                    </a:xfrm>
                    <a:prstGeom prst="rect">
                      <a:avLst/>
                    </a:prstGeom>
                    <a:noFill/>
                    <a:ln>
                      <a:noFill/>
                    </a:ln>
                  </pic:spPr>
                </pic:pic>
              </a:graphicData>
            </a:graphic>
          </wp:inline>
        </w:drawing>
      </w:r>
    </w:p>
    <w:p w14:paraId="27996AB7" w14:textId="77777777" w:rsidR="003E7777" w:rsidRDefault="003E7777" w:rsidP="003E7777">
      <w:pPr>
        <w:pStyle w:val="Caption"/>
        <w:spacing w:line="360" w:lineRule="auto"/>
        <w:jc w:val="both"/>
        <w:rPr>
          <w:rFonts w:ascii="Arial" w:hAnsi="Arial"/>
          <w:color w:val="244061" w:themeColor="accent1" w:themeShade="80"/>
          <w:sz w:val="24"/>
          <w:szCs w:val="24"/>
        </w:rPr>
      </w:pPr>
    </w:p>
    <w:p w14:paraId="439FAAA6" w14:textId="77777777" w:rsidR="0015459C" w:rsidRPr="003E7777" w:rsidRDefault="003737EB" w:rsidP="003E7777">
      <w:pPr>
        <w:pStyle w:val="Caption"/>
        <w:spacing w:line="360" w:lineRule="auto"/>
        <w:jc w:val="both"/>
        <w:rPr>
          <w:rFonts w:ascii="Arial" w:hAnsi="Arial"/>
          <w:color w:val="244061" w:themeColor="accent1" w:themeShade="80"/>
          <w:sz w:val="24"/>
          <w:szCs w:val="24"/>
        </w:rPr>
      </w:pPr>
      <w:bookmarkStart w:id="172" w:name="_Toc383544649"/>
      <w:r w:rsidRPr="003E7777">
        <w:rPr>
          <w:rFonts w:ascii="Arial" w:hAnsi="Arial"/>
          <w:color w:val="244061" w:themeColor="accent1" w:themeShade="80"/>
          <w:sz w:val="24"/>
          <w:szCs w:val="24"/>
        </w:rPr>
        <w:t xml:space="preserve">Figure </w:t>
      </w:r>
      <w:r w:rsidRPr="003E7777">
        <w:rPr>
          <w:rFonts w:ascii="Arial" w:hAnsi="Arial"/>
          <w:color w:val="244061" w:themeColor="accent1" w:themeShade="80"/>
          <w:sz w:val="24"/>
          <w:szCs w:val="24"/>
        </w:rPr>
        <w:fldChar w:fldCharType="begin"/>
      </w:r>
      <w:r w:rsidRPr="003E7777">
        <w:rPr>
          <w:rFonts w:ascii="Arial" w:hAnsi="Arial"/>
          <w:color w:val="244061" w:themeColor="accent1" w:themeShade="80"/>
          <w:sz w:val="24"/>
          <w:szCs w:val="24"/>
        </w:rPr>
        <w:instrText xml:space="preserve"> SEQ Figure \* ARABIC </w:instrText>
      </w:r>
      <w:r w:rsidRPr="003E7777">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58</w:t>
      </w:r>
      <w:r w:rsidRPr="003E7777">
        <w:rPr>
          <w:rFonts w:ascii="Arial" w:hAnsi="Arial"/>
          <w:color w:val="244061" w:themeColor="accent1" w:themeShade="80"/>
          <w:sz w:val="24"/>
          <w:szCs w:val="24"/>
        </w:rPr>
        <w:fldChar w:fldCharType="end"/>
      </w:r>
      <w:r w:rsidR="003E7777" w:rsidRPr="003E7777">
        <w:rPr>
          <w:rFonts w:ascii="Arial" w:hAnsi="Arial"/>
          <w:color w:val="244061" w:themeColor="accent1" w:themeShade="80"/>
          <w:sz w:val="24"/>
          <w:szCs w:val="24"/>
        </w:rPr>
        <w:t xml:space="preserve"> </w:t>
      </w:r>
      <w:r w:rsidR="0015459C" w:rsidRPr="003E7777">
        <w:rPr>
          <w:rFonts w:ascii="Arial" w:hAnsi="Arial"/>
          <w:color w:val="244061" w:themeColor="accent1" w:themeShade="80"/>
          <w:sz w:val="24"/>
          <w:szCs w:val="24"/>
        </w:rPr>
        <w:t>Changes in</w:t>
      </w:r>
      <w:r w:rsidR="0015459C" w:rsidRPr="003E7777">
        <w:rPr>
          <w:rFonts w:ascii="Arial" w:hAnsi="Arial"/>
          <w:i/>
          <w:color w:val="244061" w:themeColor="accent1" w:themeShade="80"/>
          <w:sz w:val="24"/>
          <w:szCs w:val="24"/>
        </w:rPr>
        <w:t xml:space="preserve"> </w:t>
      </w:r>
      <w:r w:rsidR="0015459C" w:rsidRPr="003E7777">
        <w:rPr>
          <w:rFonts w:ascii="Arial" w:hAnsi="Arial"/>
          <w:color w:val="244061" w:themeColor="accent1" w:themeShade="80"/>
          <w:sz w:val="24"/>
          <w:szCs w:val="24"/>
        </w:rPr>
        <w:t>GIP serum concentrations in</w:t>
      </w:r>
      <w:r w:rsidR="00E60B8B" w:rsidRPr="003E7777">
        <w:rPr>
          <w:rFonts w:ascii="Arial" w:hAnsi="Arial"/>
          <w:color w:val="244061" w:themeColor="accent1" w:themeShade="80"/>
          <w:sz w:val="24"/>
          <w:szCs w:val="24"/>
        </w:rPr>
        <w:t xml:space="preserve"> aged</w:t>
      </w:r>
      <w:r w:rsidR="0015459C" w:rsidRPr="003E7777">
        <w:rPr>
          <w:rFonts w:ascii="Arial" w:hAnsi="Arial"/>
          <w:i/>
          <w:color w:val="244061" w:themeColor="accent1" w:themeShade="80"/>
          <w:sz w:val="24"/>
          <w:szCs w:val="24"/>
        </w:rPr>
        <w:t xml:space="preserve"> </w:t>
      </w:r>
      <w:r w:rsidR="0015459C" w:rsidRPr="003E7777">
        <w:rPr>
          <w:rFonts w:ascii="Arial" w:eastAsiaTheme="minorHAnsi" w:hAnsi="Arial"/>
          <w:bCs w:val="0"/>
          <w:color w:val="244061" w:themeColor="accent1" w:themeShade="80"/>
          <w:sz w:val="24"/>
          <w:szCs w:val="24"/>
          <w:lang w:val="en-US"/>
        </w:rPr>
        <w:t>20-month-old fed (n=6) or overnigh</w:t>
      </w:r>
      <w:r w:rsidR="007657BF">
        <w:rPr>
          <w:rFonts w:ascii="Arial" w:eastAsiaTheme="minorHAnsi" w:hAnsi="Arial"/>
          <w:bCs w:val="0"/>
          <w:color w:val="244061" w:themeColor="accent1" w:themeShade="80"/>
          <w:sz w:val="24"/>
          <w:szCs w:val="24"/>
          <w:lang w:val="en-US"/>
        </w:rPr>
        <w:t xml:space="preserve">t fasted fed </w:t>
      </w:r>
      <w:r w:rsidR="0015459C" w:rsidRPr="003E7777">
        <w:rPr>
          <w:rFonts w:ascii="Arial" w:eastAsiaTheme="minorHAnsi" w:hAnsi="Arial"/>
          <w:bCs w:val="0"/>
          <w:color w:val="244061" w:themeColor="accent1" w:themeShade="80"/>
          <w:sz w:val="24"/>
          <w:szCs w:val="24"/>
          <w:lang w:val="en-US"/>
        </w:rPr>
        <w:t>(n=7) male mice</w:t>
      </w:r>
      <w:bookmarkEnd w:id="172"/>
      <w:r w:rsidR="0015459C" w:rsidRPr="003E7777">
        <w:rPr>
          <w:rFonts w:ascii="Arial" w:eastAsiaTheme="minorHAnsi" w:hAnsi="Arial"/>
          <w:bCs w:val="0"/>
          <w:color w:val="244061" w:themeColor="accent1" w:themeShade="80"/>
          <w:sz w:val="24"/>
          <w:szCs w:val="24"/>
          <w:lang w:val="en-US"/>
        </w:rPr>
        <w:t xml:space="preserve"> </w:t>
      </w:r>
    </w:p>
    <w:p w14:paraId="5F6276AC" w14:textId="77777777" w:rsidR="0015459C" w:rsidRDefault="0015459C" w:rsidP="009A586B">
      <w:pPr>
        <w:spacing w:line="360" w:lineRule="auto"/>
        <w:jc w:val="both"/>
      </w:pPr>
      <w:r w:rsidRPr="000F1296">
        <w:rPr>
          <w:rFonts w:ascii="Arial" w:hAnsi="Arial"/>
          <w:sz w:val="22"/>
          <w:szCs w:val="22"/>
        </w:rPr>
        <w:t>There were no significant changes in serum GIP concentrations within and between th</w:t>
      </w:r>
      <w:r>
        <w:rPr>
          <w:rFonts w:ascii="Arial" w:hAnsi="Arial"/>
          <w:sz w:val="22"/>
          <w:szCs w:val="22"/>
        </w:rPr>
        <w:t xml:space="preserve">e </w:t>
      </w:r>
      <w:r w:rsidR="003E7777">
        <w:rPr>
          <w:rFonts w:ascii="Arial" w:hAnsi="Arial"/>
          <w:sz w:val="22"/>
          <w:szCs w:val="22"/>
        </w:rPr>
        <w:t xml:space="preserve">fed and fasted/fed </w:t>
      </w:r>
      <w:r>
        <w:rPr>
          <w:rFonts w:ascii="Arial" w:hAnsi="Arial"/>
          <w:sz w:val="22"/>
          <w:szCs w:val="22"/>
        </w:rPr>
        <w:t>experimental groups.</w:t>
      </w:r>
    </w:p>
    <w:p w14:paraId="5F6F928D" w14:textId="77777777" w:rsidR="003737EB" w:rsidRDefault="006A3668" w:rsidP="003737EB">
      <w:pPr>
        <w:keepNext/>
      </w:pPr>
      <w:bookmarkStart w:id="173" w:name="_GoBack"/>
      <w:r>
        <w:rPr>
          <w:noProof/>
          <w:lang w:val="en-US"/>
        </w:rPr>
        <w:lastRenderedPageBreak/>
        <w:drawing>
          <wp:inline distT="0" distB="0" distL="0" distR="0" wp14:anchorId="271011B5" wp14:editId="2E8408B3">
            <wp:extent cx="4354677" cy="2743935"/>
            <wp:effectExtent l="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355465" cy="2744431"/>
                    </a:xfrm>
                    <a:prstGeom prst="rect">
                      <a:avLst/>
                    </a:prstGeom>
                    <a:noFill/>
                    <a:ln>
                      <a:noFill/>
                    </a:ln>
                  </pic:spPr>
                </pic:pic>
              </a:graphicData>
            </a:graphic>
          </wp:inline>
        </w:drawing>
      </w:r>
      <w:bookmarkEnd w:id="173"/>
    </w:p>
    <w:p w14:paraId="565624E8" w14:textId="77777777" w:rsidR="003E7777" w:rsidRDefault="003E7777" w:rsidP="003E7777">
      <w:pPr>
        <w:pStyle w:val="Caption"/>
        <w:spacing w:line="360" w:lineRule="auto"/>
        <w:jc w:val="both"/>
        <w:rPr>
          <w:rFonts w:ascii="Arial" w:hAnsi="Arial"/>
          <w:color w:val="244061" w:themeColor="accent1" w:themeShade="80"/>
          <w:sz w:val="24"/>
          <w:szCs w:val="24"/>
        </w:rPr>
      </w:pPr>
    </w:p>
    <w:p w14:paraId="41D2B185" w14:textId="77777777" w:rsidR="0015459C" w:rsidRPr="003E7777" w:rsidRDefault="003737EB" w:rsidP="003E7777">
      <w:pPr>
        <w:pStyle w:val="Caption"/>
        <w:spacing w:line="360" w:lineRule="auto"/>
        <w:jc w:val="both"/>
        <w:rPr>
          <w:rFonts w:ascii="Arial" w:hAnsi="Arial"/>
          <w:color w:val="244061" w:themeColor="accent1" w:themeShade="80"/>
          <w:sz w:val="24"/>
          <w:szCs w:val="24"/>
        </w:rPr>
      </w:pPr>
      <w:bookmarkStart w:id="174" w:name="_Toc383544650"/>
      <w:r w:rsidRPr="003E7777">
        <w:rPr>
          <w:rFonts w:ascii="Arial" w:hAnsi="Arial"/>
          <w:color w:val="244061" w:themeColor="accent1" w:themeShade="80"/>
          <w:sz w:val="24"/>
          <w:szCs w:val="24"/>
        </w:rPr>
        <w:t xml:space="preserve">Figure </w:t>
      </w:r>
      <w:r w:rsidRPr="003E7777">
        <w:rPr>
          <w:rFonts w:ascii="Arial" w:hAnsi="Arial"/>
          <w:color w:val="244061" w:themeColor="accent1" w:themeShade="80"/>
          <w:sz w:val="24"/>
          <w:szCs w:val="24"/>
        </w:rPr>
        <w:fldChar w:fldCharType="begin"/>
      </w:r>
      <w:r w:rsidRPr="003E7777">
        <w:rPr>
          <w:rFonts w:ascii="Arial" w:hAnsi="Arial"/>
          <w:color w:val="244061" w:themeColor="accent1" w:themeShade="80"/>
          <w:sz w:val="24"/>
          <w:szCs w:val="24"/>
        </w:rPr>
        <w:instrText xml:space="preserve"> SEQ Figure \* ARABIC </w:instrText>
      </w:r>
      <w:r w:rsidRPr="003E7777">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59</w:t>
      </w:r>
      <w:r w:rsidRPr="003E7777">
        <w:rPr>
          <w:rFonts w:ascii="Arial" w:hAnsi="Arial"/>
          <w:color w:val="244061" w:themeColor="accent1" w:themeShade="80"/>
          <w:sz w:val="24"/>
          <w:szCs w:val="24"/>
        </w:rPr>
        <w:fldChar w:fldCharType="end"/>
      </w:r>
      <w:r w:rsidR="003E7777" w:rsidRPr="003E7777">
        <w:rPr>
          <w:rFonts w:ascii="Arial" w:hAnsi="Arial"/>
          <w:color w:val="244061" w:themeColor="accent1" w:themeShade="80"/>
          <w:sz w:val="24"/>
          <w:szCs w:val="24"/>
        </w:rPr>
        <w:t xml:space="preserve"> </w:t>
      </w:r>
      <w:r w:rsidR="0015459C" w:rsidRPr="003E7777">
        <w:rPr>
          <w:rFonts w:ascii="Arial" w:hAnsi="Arial"/>
          <w:color w:val="244061" w:themeColor="accent1" w:themeShade="80"/>
          <w:sz w:val="24"/>
          <w:szCs w:val="24"/>
        </w:rPr>
        <w:t>Changes in</w:t>
      </w:r>
      <w:r w:rsidR="0015459C" w:rsidRPr="003E7777">
        <w:rPr>
          <w:rFonts w:ascii="Arial" w:hAnsi="Arial"/>
          <w:i/>
          <w:color w:val="244061" w:themeColor="accent1" w:themeShade="80"/>
          <w:sz w:val="24"/>
          <w:szCs w:val="24"/>
        </w:rPr>
        <w:t xml:space="preserve"> </w:t>
      </w:r>
      <w:r w:rsidR="0015459C" w:rsidRPr="003E7777">
        <w:rPr>
          <w:rFonts w:ascii="Arial" w:hAnsi="Arial"/>
          <w:color w:val="244061" w:themeColor="accent1" w:themeShade="80"/>
          <w:sz w:val="24"/>
          <w:szCs w:val="24"/>
        </w:rPr>
        <w:t>GLP1</w:t>
      </w:r>
      <w:r w:rsidR="0015459C" w:rsidRPr="003E7777">
        <w:rPr>
          <w:rFonts w:ascii="Arial" w:hAnsi="Arial"/>
          <w:i/>
          <w:color w:val="244061" w:themeColor="accent1" w:themeShade="80"/>
          <w:sz w:val="24"/>
          <w:szCs w:val="24"/>
        </w:rPr>
        <w:t xml:space="preserve"> </w:t>
      </w:r>
      <w:r w:rsidR="0015459C" w:rsidRPr="003E7777">
        <w:rPr>
          <w:rFonts w:ascii="Arial" w:hAnsi="Arial"/>
          <w:color w:val="244061" w:themeColor="accent1" w:themeShade="80"/>
          <w:sz w:val="24"/>
          <w:szCs w:val="24"/>
        </w:rPr>
        <w:t>serum concentrations in</w:t>
      </w:r>
      <w:r w:rsidR="008505A4" w:rsidRPr="003E7777">
        <w:rPr>
          <w:rFonts w:ascii="Arial" w:hAnsi="Arial"/>
          <w:color w:val="244061" w:themeColor="accent1" w:themeShade="80"/>
          <w:sz w:val="24"/>
          <w:szCs w:val="24"/>
        </w:rPr>
        <w:t xml:space="preserve"> aged</w:t>
      </w:r>
      <w:r w:rsidR="0015459C" w:rsidRPr="003E7777">
        <w:rPr>
          <w:rFonts w:ascii="Arial" w:hAnsi="Arial"/>
          <w:i/>
          <w:color w:val="244061" w:themeColor="accent1" w:themeShade="80"/>
          <w:sz w:val="24"/>
          <w:szCs w:val="24"/>
        </w:rPr>
        <w:t xml:space="preserve"> </w:t>
      </w:r>
      <w:r w:rsidR="0015459C" w:rsidRPr="003E7777">
        <w:rPr>
          <w:rFonts w:ascii="Arial" w:eastAsiaTheme="minorHAnsi" w:hAnsi="Arial"/>
          <w:bCs w:val="0"/>
          <w:color w:val="244061" w:themeColor="accent1" w:themeShade="80"/>
          <w:sz w:val="24"/>
          <w:szCs w:val="24"/>
          <w:lang w:val="en-US"/>
        </w:rPr>
        <w:t xml:space="preserve">20-month-old fed (n=6) </w:t>
      </w:r>
      <w:r w:rsidR="007657BF">
        <w:rPr>
          <w:rFonts w:ascii="Arial" w:eastAsiaTheme="minorHAnsi" w:hAnsi="Arial"/>
          <w:bCs w:val="0"/>
          <w:color w:val="244061" w:themeColor="accent1" w:themeShade="80"/>
          <w:sz w:val="24"/>
          <w:szCs w:val="24"/>
          <w:lang w:val="en-US"/>
        </w:rPr>
        <w:t xml:space="preserve">or overnight fasted fed </w:t>
      </w:r>
      <w:r w:rsidR="0015459C" w:rsidRPr="003E7777">
        <w:rPr>
          <w:rFonts w:ascii="Arial" w:eastAsiaTheme="minorHAnsi" w:hAnsi="Arial"/>
          <w:bCs w:val="0"/>
          <w:color w:val="244061" w:themeColor="accent1" w:themeShade="80"/>
          <w:sz w:val="24"/>
          <w:szCs w:val="24"/>
          <w:lang w:val="en-US"/>
        </w:rPr>
        <w:t>(n=7) male mice</w:t>
      </w:r>
      <w:bookmarkEnd w:id="174"/>
    </w:p>
    <w:p w14:paraId="4AF121F8" w14:textId="77777777" w:rsidR="0015459C" w:rsidRDefault="0015459C" w:rsidP="003E7777">
      <w:pPr>
        <w:spacing w:line="360" w:lineRule="auto"/>
        <w:jc w:val="both"/>
        <w:rPr>
          <w:rFonts w:ascii="Arial" w:hAnsi="Arial"/>
          <w:sz w:val="22"/>
          <w:szCs w:val="22"/>
        </w:rPr>
      </w:pPr>
      <w:r w:rsidRPr="007657BF">
        <w:rPr>
          <w:rFonts w:ascii="Arial" w:hAnsi="Arial"/>
          <w:sz w:val="22"/>
          <w:szCs w:val="22"/>
        </w:rPr>
        <w:t xml:space="preserve">There were no significant changes in serum GIP and GLIP1 concentrations within and between the </w:t>
      </w:r>
      <w:r w:rsidR="003E7777" w:rsidRPr="007657BF">
        <w:rPr>
          <w:rFonts w:ascii="Arial" w:hAnsi="Arial"/>
          <w:sz w:val="22"/>
          <w:szCs w:val="22"/>
        </w:rPr>
        <w:t xml:space="preserve">fed and fasted/fed </w:t>
      </w:r>
      <w:r w:rsidRPr="007657BF">
        <w:rPr>
          <w:rFonts w:ascii="Arial" w:hAnsi="Arial"/>
          <w:sz w:val="22"/>
          <w:szCs w:val="22"/>
        </w:rPr>
        <w:t>experimental groups.</w:t>
      </w:r>
    </w:p>
    <w:p w14:paraId="1FB0FB17" w14:textId="77777777" w:rsidR="00482040" w:rsidRPr="007657BF" w:rsidRDefault="00482040" w:rsidP="003E7777">
      <w:pPr>
        <w:spacing w:line="360" w:lineRule="auto"/>
        <w:jc w:val="both"/>
        <w:rPr>
          <w:rFonts w:ascii="Arial" w:hAnsi="Arial"/>
          <w:sz w:val="22"/>
          <w:szCs w:val="22"/>
        </w:rPr>
      </w:pPr>
    </w:p>
    <w:p w14:paraId="639D6C95" w14:textId="77777777" w:rsidR="009322CF" w:rsidRDefault="009322CF" w:rsidP="0015459C"/>
    <w:p w14:paraId="295B780E" w14:textId="77777777" w:rsidR="00E60B8B" w:rsidRPr="009322CF" w:rsidRDefault="00E60B8B" w:rsidP="009322CF">
      <w:pPr>
        <w:pStyle w:val="Heading3"/>
        <w:spacing w:line="480" w:lineRule="auto"/>
        <w:jc w:val="both"/>
        <w:rPr>
          <w:rFonts w:ascii="Arial" w:hAnsi="Arial" w:cs="Arial"/>
          <w:color w:val="auto"/>
        </w:rPr>
      </w:pPr>
      <w:bookmarkStart w:id="175" w:name="_Toc383723933"/>
      <w:r w:rsidRPr="009322CF">
        <w:rPr>
          <w:rFonts w:ascii="Arial" w:hAnsi="Arial" w:cs="Arial"/>
          <w:color w:val="auto"/>
        </w:rPr>
        <w:t>7.2.3 Dynamics of serum cortisol in</w:t>
      </w:r>
      <w:r w:rsidR="004A0070" w:rsidRPr="009322CF">
        <w:rPr>
          <w:rFonts w:ascii="Arial" w:hAnsi="Arial" w:cs="Arial"/>
          <w:color w:val="auto"/>
        </w:rPr>
        <w:t xml:space="preserve"> young </w:t>
      </w:r>
      <w:r w:rsidRPr="009322CF">
        <w:rPr>
          <w:rFonts w:ascii="Arial" w:hAnsi="Arial" w:cs="Arial"/>
          <w:color w:val="auto"/>
        </w:rPr>
        <w:t xml:space="preserve">and aged </w:t>
      </w:r>
      <w:r w:rsidR="004A0070" w:rsidRPr="009322CF">
        <w:rPr>
          <w:rFonts w:ascii="Arial" w:hAnsi="Arial" w:cs="Arial"/>
          <w:color w:val="auto"/>
        </w:rPr>
        <w:t xml:space="preserve">male </w:t>
      </w:r>
      <w:r w:rsidRPr="009322CF">
        <w:rPr>
          <w:rFonts w:ascii="Arial" w:hAnsi="Arial" w:cs="Arial"/>
          <w:color w:val="auto"/>
        </w:rPr>
        <w:t>mice</w:t>
      </w:r>
      <w:bookmarkEnd w:id="175"/>
    </w:p>
    <w:p w14:paraId="35198874" w14:textId="77777777" w:rsidR="00E60B8B" w:rsidRPr="005213F4" w:rsidRDefault="0034337F" w:rsidP="00E60B8B">
      <w:pPr>
        <w:spacing w:line="480" w:lineRule="auto"/>
        <w:jc w:val="both"/>
        <w:rPr>
          <w:rFonts w:ascii="Arial" w:hAnsi="Arial" w:cs="Arial"/>
        </w:rPr>
      </w:pPr>
      <w:r w:rsidRPr="00FB7BA7">
        <w:rPr>
          <w:rFonts w:ascii="Arial" w:hAnsi="Arial" w:cs="Arial"/>
          <w:b/>
          <w:bCs/>
          <w:i/>
          <w:noProof/>
          <w:color w:val="000000" w:themeColor="text1"/>
        </w:rPr>
        <w:t>Experimental details:</w:t>
      </w:r>
      <w:r>
        <w:rPr>
          <w:rFonts w:ascii="Arial" w:hAnsi="Arial" w:cs="Arial"/>
          <w:bCs/>
          <w:noProof/>
          <w:color w:val="000000" w:themeColor="text1"/>
        </w:rPr>
        <w:t xml:space="preserve"> </w:t>
      </w:r>
      <w:r w:rsidR="00E60B8B">
        <w:rPr>
          <w:rFonts w:ascii="Arial" w:hAnsi="Arial" w:cs="Arial"/>
        </w:rPr>
        <w:t xml:space="preserve">We determined whether repeated blood sample collection by tail incision method had any effect on </w:t>
      </w:r>
      <w:r w:rsidR="007C6FB8">
        <w:rPr>
          <w:rFonts w:ascii="Arial" w:hAnsi="Arial" w:cs="Arial"/>
        </w:rPr>
        <w:t xml:space="preserve">concentrations of the </w:t>
      </w:r>
      <w:r w:rsidR="00E60B8B">
        <w:rPr>
          <w:rFonts w:ascii="Arial" w:hAnsi="Arial" w:cs="Arial"/>
        </w:rPr>
        <w:t>stress hormone cortisol in mice. The impact of stress in response to the repeated blood samplings was assessed by measuring co</w:t>
      </w:r>
      <w:r w:rsidR="007C6FB8">
        <w:rPr>
          <w:rFonts w:ascii="Arial" w:hAnsi="Arial" w:cs="Arial"/>
        </w:rPr>
        <w:t>rtisol concentrations in sera from</w:t>
      </w:r>
      <w:r w:rsidR="00E60B8B">
        <w:rPr>
          <w:rFonts w:ascii="Arial" w:hAnsi="Arial" w:cs="Arial"/>
        </w:rPr>
        <w:t xml:space="preserve"> </w:t>
      </w:r>
      <w:r w:rsidR="00E60B8B">
        <w:rPr>
          <w:rFonts w:ascii="Arial" w:hAnsi="Arial"/>
        </w:rPr>
        <w:t>young 17</w:t>
      </w:r>
      <w:r w:rsidR="00E60B8B" w:rsidRPr="00494937">
        <w:rPr>
          <w:rFonts w:ascii="Arial" w:hAnsi="Arial"/>
        </w:rPr>
        <w:t xml:space="preserve">-week-old </w:t>
      </w:r>
      <w:r w:rsidR="00E60B8B">
        <w:rPr>
          <w:rFonts w:ascii="Arial" w:hAnsi="Arial"/>
        </w:rPr>
        <w:t>(n=5) and aged</w:t>
      </w:r>
      <w:r w:rsidR="00E60B8B" w:rsidRPr="00494937">
        <w:rPr>
          <w:rFonts w:ascii="Arial" w:hAnsi="Arial"/>
        </w:rPr>
        <w:t xml:space="preserve"> </w:t>
      </w:r>
      <w:r w:rsidR="00E60B8B">
        <w:rPr>
          <w:rFonts w:ascii="Arial" w:hAnsi="Arial"/>
        </w:rPr>
        <w:t>20-month</w:t>
      </w:r>
      <w:r w:rsidR="00E60B8B" w:rsidRPr="00494937">
        <w:rPr>
          <w:rFonts w:ascii="Arial" w:hAnsi="Arial"/>
        </w:rPr>
        <w:t xml:space="preserve">-old </w:t>
      </w:r>
      <w:r w:rsidR="00E60B8B">
        <w:rPr>
          <w:rFonts w:ascii="Arial" w:hAnsi="Arial"/>
        </w:rPr>
        <w:t xml:space="preserve">male C57BL/6 mice (n=7) </w:t>
      </w:r>
      <w:r w:rsidR="00E60B8B">
        <w:rPr>
          <w:rFonts w:ascii="Arial" w:hAnsi="Arial" w:cs="Arial"/>
        </w:rPr>
        <w:t>using s</w:t>
      </w:r>
      <w:r w:rsidR="00E60B8B" w:rsidRPr="00331ED8">
        <w:rPr>
          <w:rFonts w:ascii="Arial" w:hAnsi="Arial" w:cs="Arial"/>
        </w:rPr>
        <w:t xml:space="preserve">olid phase competitive ELISA </w:t>
      </w:r>
      <w:r w:rsidR="00E60B8B">
        <w:rPr>
          <w:rFonts w:ascii="Arial" w:hAnsi="Arial" w:cs="Arial"/>
        </w:rPr>
        <w:t>assa</w:t>
      </w:r>
      <w:r w:rsidR="007C6FB8">
        <w:rPr>
          <w:rFonts w:ascii="Arial" w:hAnsi="Arial" w:cs="Arial"/>
        </w:rPr>
        <w:t>y. Small blood volumes (approximately</w:t>
      </w:r>
      <w:r w:rsidR="00E60B8B">
        <w:rPr>
          <w:rFonts w:ascii="Arial" w:hAnsi="Arial" w:cs="Arial"/>
        </w:rPr>
        <w:t xml:space="preserve"> 50</w:t>
      </w:r>
      <w:r w:rsidR="00E60B8B" w:rsidRPr="00F406A8">
        <w:rPr>
          <w:rFonts w:ascii="Arial" w:hAnsi="Arial" w:cs="Arial"/>
          <w:color w:val="000000" w:themeColor="text1"/>
        </w:rPr>
        <w:sym w:font="Symbol" w:char="F06D"/>
      </w:r>
      <w:r w:rsidR="00E60B8B">
        <w:rPr>
          <w:rFonts w:ascii="Arial" w:hAnsi="Arial" w:cs="Arial"/>
          <w:color w:val="000000" w:themeColor="text1"/>
        </w:rPr>
        <w:t>l</w:t>
      </w:r>
      <w:r w:rsidR="007C6FB8">
        <w:rPr>
          <w:rFonts w:ascii="Arial" w:hAnsi="Arial" w:cs="Arial"/>
          <w:color w:val="000000" w:themeColor="text1"/>
        </w:rPr>
        <w:t>)</w:t>
      </w:r>
      <w:r w:rsidR="00E60B8B">
        <w:rPr>
          <w:rFonts w:ascii="Arial" w:hAnsi="Arial" w:cs="Arial"/>
        </w:rPr>
        <w:t xml:space="preserve"> were</w:t>
      </w:r>
      <w:r w:rsidR="00E60B8B" w:rsidRPr="008415C8">
        <w:rPr>
          <w:rFonts w:ascii="Arial" w:hAnsi="Arial" w:cs="Arial"/>
        </w:rPr>
        <w:t xml:space="preserve"> </w:t>
      </w:r>
      <w:r w:rsidR="00E60B8B">
        <w:rPr>
          <w:rFonts w:ascii="Arial" w:hAnsi="Arial" w:cs="Arial"/>
        </w:rPr>
        <w:t>obtained from the lateral mouse-tail veins</w:t>
      </w:r>
      <w:r w:rsidR="00E60B8B" w:rsidRPr="00217AEC">
        <w:rPr>
          <w:rFonts w:ascii="Arial" w:hAnsi="Arial" w:cs="Arial"/>
        </w:rPr>
        <w:t xml:space="preserve"> </w:t>
      </w:r>
      <w:r w:rsidR="00E60B8B">
        <w:rPr>
          <w:rFonts w:ascii="Arial" w:hAnsi="Arial" w:cs="Arial"/>
        </w:rPr>
        <w:t xml:space="preserve">at three time points (12pm, 2pm and 3pm) </w:t>
      </w:r>
      <w:r w:rsidR="00AE2A34">
        <w:rPr>
          <w:rFonts w:ascii="Arial" w:hAnsi="Arial" w:cs="Arial"/>
        </w:rPr>
        <w:t>in 24-hour period</w:t>
      </w:r>
      <w:r w:rsidR="001D7BEA">
        <w:rPr>
          <w:rFonts w:ascii="Arial" w:hAnsi="Arial" w:cs="Arial"/>
        </w:rPr>
        <w:t>,</w:t>
      </w:r>
      <w:r w:rsidR="00AE2A34">
        <w:rPr>
          <w:rFonts w:ascii="Arial" w:hAnsi="Arial" w:cs="Arial"/>
        </w:rPr>
        <w:t xml:space="preserve"> </w:t>
      </w:r>
      <w:r w:rsidR="001D7BEA">
        <w:rPr>
          <w:rFonts w:ascii="Arial" w:hAnsi="Arial" w:cs="Arial"/>
        </w:rPr>
        <w:t>and serum was</w:t>
      </w:r>
      <w:r w:rsidR="00E60B8B">
        <w:rPr>
          <w:rFonts w:ascii="Arial" w:hAnsi="Arial" w:cs="Arial"/>
        </w:rPr>
        <w:t xml:space="preserve"> separated for the analysis of cortisol dynamics. The</w:t>
      </w:r>
      <w:r w:rsidR="001D7BEA">
        <w:rPr>
          <w:rFonts w:ascii="Arial" w:hAnsi="Arial" w:cs="Arial"/>
        </w:rPr>
        <w:t xml:space="preserve"> cortisol</w:t>
      </w:r>
      <w:r w:rsidR="00E60B8B">
        <w:rPr>
          <w:rFonts w:ascii="Arial" w:hAnsi="Arial" w:cs="Arial"/>
        </w:rPr>
        <w:t xml:space="preserve"> assay was performed according to the manufacturer’s instructions as described in the general methods </w:t>
      </w:r>
      <w:r w:rsidR="002B4F5C">
        <w:rPr>
          <w:rFonts w:ascii="Arial" w:hAnsi="Arial" w:cs="Arial"/>
        </w:rPr>
        <w:t>(appendix 1</w:t>
      </w:r>
      <w:r w:rsidR="001D7BEA">
        <w:rPr>
          <w:rFonts w:ascii="Arial" w:hAnsi="Arial" w:cs="Arial"/>
        </w:rPr>
        <w:t xml:space="preserve">) </w:t>
      </w:r>
      <w:r w:rsidR="00E60B8B">
        <w:rPr>
          <w:rFonts w:ascii="Arial" w:hAnsi="Arial" w:cs="Arial"/>
        </w:rPr>
        <w:t xml:space="preserve">in the Ageing Research Laboratory at Newcastle University NIHR Biomedical Research Centre (see section 2.3.3). </w:t>
      </w:r>
      <w:r w:rsidR="00E60B8B">
        <w:rPr>
          <w:rFonts w:ascii="Arial" w:hAnsi="Arial"/>
          <w:bCs/>
        </w:rPr>
        <w:t xml:space="preserve">The results of the </w:t>
      </w:r>
      <w:r w:rsidR="002B4F5C">
        <w:rPr>
          <w:rFonts w:ascii="Arial" w:hAnsi="Arial"/>
          <w:bCs/>
        </w:rPr>
        <w:t>assay are summarised in Figure 60</w:t>
      </w:r>
      <w:r w:rsidR="00E60B8B">
        <w:rPr>
          <w:rFonts w:ascii="Arial" w:hAnsi="Arial"/>
          <w:bCs/>
        </w:rPr>
        <w:t xml:space="preserve">. </w:t>
      </w:r>
    </w:p>
    <w:p w14:paraId="2F949C0A" w14:textId="77777777" w:rsidR="00E60B8B" w:rsidRDefault="00E60B8B" w:rsidP="00E60B8B">
      <w:pPr>
        <w:spacing w:line="480" w:lineRule="auto"/>
        <w:jc w:val="both"/>
        <w:rPr>
          <w:rFonts w:ascii="Arial" w:hAnsi="Arial"/>
          <w:bCs/>
        </w:rPr>
      </w:pPr>
    </w:p>
    <w:p w14:paraId="7332F390" w14:textId="77777777" w:rsidR="00E60B8B" w:rsidRPr="009322CF" w:rsidRDefault="00E60B8B" w:rsidP="009322CF">
      <w:pPr>
        <w:spacing w:line="480" w:lineRule="auto"/>
        <w:jc w:val="both"/>
        <w:rPr>
          <w:rFonts w:ascii="Arial" w:hAnsi="Arial"/>
          <w:bCs/>
        </w:rPr>
      </w:pPr>
      <w:r>
        <w:rPr>
          <w:rFonts w:ascii="Arial" w:hAnsi="Arial"/>
          <w:bCs/>
        </w:rPr>
        <w:lastRenderedPageBreak/>
        <w:t xml:space="preserve">No significant changes were observed in cortisol concentrations in young adult and aged mice throughout the experimental day. </w:t>
      </w:r>
      <w:r w:rsidR="001D30B3">
        <w:rPr>
          <w:rFonts w:ascii="Arial" w:hAnsi="Arial"/>
          <w:bCs/>
        </w:rPr>
        <w:t>In young mice cortisol concentration</w:t>
      </w:r>
      <w:r>
        <w:rPr>
          <w:rFonts w:ascii="Arial" w:hAnsi="Arial"/>
          <w:bCs/>
        </w:rPr>
        <w:t xml:space="preserve"> remained relatively constant, whereas in aged mice concentrations of cortisol increased non significantly from 12:00 until 14:00 (12:00 young 18.9</w:t>
      </w:r>
      <w:r w:rsidRPr="00F809A2">
        <w:rPr>
          <w:rFonts w:ascii="Arial" w:eastAsia="MS Gothic" w:hAnsi="Arial" w:cs="Arial"/>
          <w:color w:val="000000"/>
        </w:rPr>
        <w:t>±</w:t>
      </w:r>
      <w:r>
        <w:rPr>
          <w:rFonts w:ascii="Arial" w:eastAsia="MS Gothic" w:hAnsi="Arial" w:cs="Arial"/>
          <w:color w:val="000000"/>
        </w:rPr>
        <w:t>1.1ng/ml versus aged 14.8</w:t>
      </w:r>
      <w:r w:rsidRPr="00F809A2">
        <w:rPr>
          <w:rFonts w:ascii="Arial" w:eastAsia="MS Gothic" w:hAnsi="Arial" w:cs="Arial"/>
          <w:color w:val="000000"/>
        </w:rPr>
        <w:t>±</w:t>
      </w:r>
      <w:r>
        <w:rPr>
          <w:rFonts w:ascii="Arial" w:eastAsia="MS Gothic" w:hAnsi="Arial" w:cs="Arial"/>
          <w:color w:val="000000"/>
        </w:rPr>
        <w:t>2.2ng/ml; 14:00 young 18.7</w:t>
      </w:r>
      <w:r w:rsidRPr="00F809A2">
        <w:rPr>
          <w:rFonts w:ascii="Arial" w:eastAsia="MS Gothic" w:hAnsi="Arial" w:cs="Arial"/>
          <w:color w:val="000000"/>
        </w:rPr>
        <w:t>±</w:t>
      </w:r>
      <w:r>
        <w:rPr>
          <w:rFonts w:ascii="Arial" w:eastAsia="MS Gothic" w:hAnsi="Arial" w:cs="Arial"/>
          <w:color w:val="000000"/>
        </w:rPr>
        <w:t>1.9ng/ml versus aged 17.5</w:t>
      </w:r>
      <w:r w:rsidRPr="00F809A2">
        <w:rPr>
          <w:rFonts w:ascii="Arial" w:eastAsia="MS Gothic" w:hAnsi="Arial" w:cs="Arial"/>
          <w:color w:val="000000"/>
        </w:rPr>
        <w:t>±</w:t>
      </w:r>
      <w:r>
        <w:rPr>
          <w:rFonts w:ascii="Arial" w:eastAsia="MS Gothic" w:hAnsi="Arial" w:cs="Arial"/>
          <w:color w:val="000000"/>
        </w:rPr>
        <w:t>2.9ng/ml</w:t>
      </w:r>
      <w:r>
        <w:rPr>
          <w:rFonts w:ascii="Arial" w:hAnsi="Arial"/>
          <w:bCs/>
        </w:rPr>
        <w:t>) and declined between 14:00 and 15:00 in both young adult and aged mice (15:00 young 16.7</w:t>
      </w:r>
      <w:r w:rsidRPr="00F809A2">
        <w:rPr>
          <w:rFonts w:ascii="Arial" w:eastAsia="MS Gothic" w:hAnsi="Arial" w:cs="Arial"/>
          <w:color w:val="000000"/>
        </w:rPr>
        <w:t>±</w:t>
      </w:r>
      <w:r>
        <w:rPr>
          <w:rFonts w:ascii="Arial" w:eastAsia="MS Gothic" w:hAnsi="Arial" w:cs="Arial"/>
          <w:color w:val="000000"/>
        </w:rPr>
        <w:t>2.1ng/ml versus aged 16.3</w:t>
      </w:r>
      <w:r w:rsidRPr="00F809A2">
        <w:rPr>
          <w:rFonts w:ascii="Arial" w:eastAsia="MS Gothic" w:hAnsi="Arial" w:cs="Arial"/>
          <w:color w:val="000000"/>
        </w:rPr>
        <w:t>±</w:t>
      </w:r>
      <w:r>
        <w:rPr>
          <w:rFonts w:ascii="Arial" w:eastAsia="MS Gothic" w:hAnsi="Arial" w:cs="Arial"/>
          <w:color w:val="000000"/>
        </w:rPr>
        <w:t>2.2ng/ml</w:t>
      </w:r>
      <w:r w:rsidR="001D30B3">
        <w:rPr>
          <w:rFonts w:ascii="Arial" w:hAnsi="Arial"/>
          <w:bCs/>
        </w:rPr>
        <w:t>) (Figure 60</w:t>
      </w:r>
      <w:r>
        <w:rPr>
          <w:rFonts w:ascii="Arial" w:hAnsi="Arial"/>
          <w:bCs/>
        </w:rPr>
        <w:t xml:space="preserve">). </w:t>
      </w:r>
    </w:p>
    <w:p w14:paraId="04B6C38B" w14:textId="77777777" w:rsidR="00E60B8B" w:rsidRDefault="00E60B8B" w:rsidP="00E60B8B">
      <w:pPr>
        <w:tabs>
          <w:tab w:val="left" w:pos="2259"/>
        </w:tabs>
        <w:rPr>
          <w:rFonts w:ascii="Arial" w:hAnsi="Arial"/>
        </w:rPr>
      </w:pPr>
    </w:p>
    <w:p w14:paraId="72785215" w14:textId="77777777" w:rsidR="00EC7BBF" w:rsidRDefault="00EC7BBF" w:rsidP="00E60B8B">
      <w:pPr>
        <w:tabs>
          <w:tab w:val="left" w:pos="2259"/>
        </w:tabs>
        <w:rPr>
          <w:rFonts w:ascii="Arial" w:hAnsi="Arial"/>
        </w:rPr>
      </w:pPr>
    </w:p>
    <w:p w14:paraId="0CF1DE60" w14:textId="77777777" w:rsidR="00BF22AF" w:rsidRDefault="00BF22AF" w:rsidP="00E60B8B">
      <w:pPr>
        <w:tabs>
          <w:tab w:val="left" w:pos="2259"/>
        </w:tabs>
        <w:rPr>
          <w:rFonts w:ascii="Arial" w:hAnsi="Arial"/>
        </w:rPr>
      </w:pPr>
    </w:p>
    <w:p w14:paraId="35ECCE56" w14:textId="77777777" w:rsidR="00BF22AF" w:rsidRDefault="00BF22AF" w:rsidP="00E60B8B">
      <w:pPr>
        <w:tabs>
          <w:tab w:val="left" w:pos="2259"/>
        </w:tabs>
        <w:rPr>
          <w:rFonts w:ascii="Arial" w:hAnsi="Arial"/>
        </w:rPr>
      </w:pPr>
    </w:p>
    <w:p w14:paraId="58B47B54" w14:textId="77777777" w:rsidR="00BF22AF" w:rsidRPr="00666C52" w:rsidRDefault="00BF22AF" w:rsidP="00E60B8B">
      <w:pPr>
        <w:tabs>
          <w:tab w:val="left" w:pos="2259"/>
        </w:tabs>
        <w:rPr>
          <w:rFonts w:ascii="Arial" w:hAnsi="Arial"/>
        </w:rPr>
      </w:pPr>
    </w:p>
    <w:p w14:paraId="1EEC274D" w14:textId="77777777" w:rsidR="006E30CD" w:rsidRPr="00BF22AF" w:rsidRDefault="00E60B8B" w:rsidP="00BF22AF">
      <w:pPr>
        <w:keepNext/>
        <w:spacing w:line="480" w:lineRule="auto"/>
        <w:ind w:left="1134"/>
        <w:jc w:val="both"/>
      </w:pPr>
      <w:r>
        <w:rPr>
          <w:rFonts w:ascii="Arial" w:hAnsi="Arial" w:cs="Arial"/>
          <w:noProof/>
          <w:lang w:val="en-US"/>
        </w:rPr>
        <w:drawing>
          <wp:inline distT="0" distB="0" distL="0" distR="0" wp14:anchorId="1A4E7A7F" wp14:editId="4FBE07D8">
            <wp:extent cx="4672011" cy="3260090"/>
            <wp:effectExtent l="0" t="0" r="190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674897" cy="3262104"/>
                    </a:xfrm>
                    <a:prstGeom prst="rect">
                      <a:avLst/>
                    </a:prstGeom>
                    <a:noFill/>
                    <a:ln>
                      <a:noFill/>
                    </a:ln>
                  </pic:spPr>
                </pic:pic>
              </a:graphicData>
            </a:graphic>
          </wp:inline>
        </w:drawing>
      </w:r>
    </w:p>
    <w:p w14:paraId="64AC6A05" w14:textId="77777777" w:rsidR="009A586B" w:rsidRDefault="009A586B" w:rsidP="001D30B3">
      <w:pPr>
        <w:pStyle w:val="Caption"/>
        <w:spacing w:line="360" w:lineRule="auto"/>
        <w:jc w:val="both"/>
        <w:rPr>
          <w:rFonts w:ascii="Arial" w:hAnsi="Arial"/>
          <w:color w:val="244061" w:themeColor="accent1" w:themeShade="80"/>
          <w:sz w:val="24"/>
          <w:szCs w:val="24"/>
        </w:rPr>
      </w:pPr>
      <w:bookmarkStart w:id="176" w:name="_Toc383544651"/>
    </w:p>
    <w:p w14:paraId="456C32BC" w14:textId="77777777" w:rsidR="00E60B8B" w:rsidRPr="001D30B3" w:rsidRDefault="002B4F5C" w:rsidP="001D30B3">
      <w:pPr>
        <w:pStyle w:val="Caption"/>
        <w:spacing w:line="360" w:lineRule="auto"/>
        <w:jc w:val="both"/>
        <w:rPr>
          <w:rFonts w:ascii="Arial" w:hAnsi="Arial" w:cs="Arial"/>
          <w:color w:val="244061" w:themeColor="accent1" w:themeShade="80"/>
          <w:sz w:val="24"/>
          <w:szCs w:val="24"/>
        </w:rPr>
      </w:pPr>
      <w:r w:rsidRPr="001D30B3">
        <w:rPr>
          <w:rFonts w:ascii="Arial" w:hAnsi="Arial"/>
          <w:color w:val="244061" w:themeColor="accent1" w:themeShade="80"/>
          <w:sz w:val="24"/>
          <w:szCs w:val="24"/>
        </w:rPr>
        <w:t xml:space="preserve">Figure </w:t>
      </w:r>
      <w:r w:rsidRPr="001D30B3">
        <w:rPr>
          <w:rFonts w:ascii="Arial" w:hAnsi="Arial"/>
          <w:color w:val="244061" w:themeColor="accent1" w:themeShade="80"/>
          <w:sz w:val="24"/>
          <w:szCs w:val="24"/>
        </w:rPr>
        <w:fldChar w:fldCharType="begin"/>
      </w:r>
      <w:r w:rsidRPr="001D30B3">
        <w:rPr>
          <w:rFonts w:ascii="Arial" w:hAnsi="Arial"/>
          <w:color w:val="244061" w:themeColor="accent1" w:themeShade="80"/>
          <w:sz w:val="24"/>
          <w:szCs w:val="24"/>
        </w:rPr>
        <w:instrText xml:space="preserve"> SEQ Figure \* ARABIC </w:instrText>
      </w:r>
      <w:r w:rsidRPr="001D30B3">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60</w:t>
      </w:r>
      <w:r w:rsidRPr="001D30B3">
        <w:rPr>
          <w:rFonts w:ascii="Arial" w:hAnsi="Arial"/>
          <w:color w:val="244061" w:themeColor="accent1" w:themeShade="80"/>
          <w:sz w:val="24"/>
          <w:szCs w:val="24"/>
        </w:rPr>
        <w:fldChar w:fldCharType="end"/>
      </w:r>
      <w:r w:rsidR="001D30B3" w:rsidRPr="001D30B3">
        <w:rPr>
          <w:rFonts w:ascii="Arial" w:hAnsi="Arial" w:cs="Arial"/>
          <w:color w:val="244061" w:themeColor="accent1" w:themeShade="80"/>
          <w:sz w:val="24"/>
          <w:szCs w:val="24"/>
        </w:rPr>
        <w:t xml:space="preserve"> </w:t>
      </w:r>
      <w:r w:rsidR="00E60B8B" w:rsidRPr="001D30B3">
        <w:rPr>
          <w:rFonts w:ascii="Arial" w:hAnsi="Arial"/>
          <w:color w:val="244061" w:themeColor="accent1" w:themeShade="80"/>
          <w:sz w:val="24"/>
          <w:szCs w:val="24"/>
        </w:rPr>
        <w:t xml:space="preserve">Concentrations of serum cortisol in young adult (n=5) and aged male C57BL/6 mice (n=7) at different times </w:t>
      </w:r>
      <w:r w:rsidR="001D30B3">
        <w:rPr>
          <w:rFonts w:ascii="Arial" w:hAnsi="Arial"/>
          <w:color w:val="244061" w:themeColor="accent1" w:themeShade="80"/>
          <w:sz w:val="24"/>
          <w:szCs w:val="24"/>
        </w:rPr>
        <w:t>during a single</w:t>
      </w:r>
      <w:r w:rsidR="00E60B8B" w:rsidRPr="001D30B3">
        <w:rPr>
          <w:rFonts w:ascii="Arial" w:hAnsi="Arial"/>
          <w:color w:val="244061" w:themeColor="accent1" w:themeShade="80"/>
          <w:sz w:val="24"/>
          <w:szCs w:val="24"/>
        </w:rPr>
        <w:t xml:space="preserve"> day</w:t>
      </w:r>
      <w:bookmarkEnd w:id="176"/>
    </w:p>
    <w:p w14:paraId="62E325DE" w14:textId="77777777" w:rsidR="00BF22AF" w:rsidRPr="009322CF" w:rsidRDefault="00E60B8B" w:rsidP="009322CF">
      <w:pPr>
        <w:spacing w:line="360" w:lineRule="auto"/>
        <w:jc w:val="both"/>
        <w:rPr>
          <w:rFonts w:ascii="Arial" w:hAnsi="Arial" w:cs="Arial"/>
          <w:sz w:val="22"/>
          <w:szCs w:val="22"/>
        </w:rPr>
      </w:pPr>
      <w:r>
        <w:rPr>
          <w:rFonts w:ascii="Arial" w:eastAsiaTheme="minorHAnsi" w:hAnsi="Arial" w:cs="Arial"/>
          <w:sz w:val="22"/>
          <w:szCs w:val="22"/>
        </w:rPr>
        <w:t>Blood samples were obtained from the lateral tail vein of mice by tail incision method at 12:00, 14:00 and 15:00 of the experimental day. The concentrations of cortisol were measured in mouse sera</w:t>
      </w:r>
      <w:r w:rsidRPr="00C82DF7">
        <w:rPr>
          <w:rFonts w:ascii="Arial" w:hAnsi="Arial" w:cs="Arial"/>
        </w:rPr>
        <w:t xml:space="preserve"> </w:t>
      </w:r>
      <w:r w:rsidRPr="00C82DF7">
        <w:rPr>
          <w:rFonts w:ascii="Arial" w:hAnsi="Arial" w:cs="Arial"/>
          <w:sz w:val="22"/>
          <w:szCs w:val="22"/>
        </w:rPr>
        <w:t>using solid phase competitive ELISA assay</w:t>
      </w:r>
      <w:r w:rsidRPr="00014CDB">
        <w:rPr>
          <w:rFonts w:ascii="Arial" w:hAnsi="Arial" w:cs="Verdana"/>
          <w:sz w:val="22"/>
          <w:szCs w:val="22"/>
        </w:rPr>
        <w:t>.</w:t>
      </w:r>
      <w:r w:rsidR="00BD572B">
        <w:rPr>
          <w:rFonts w:ascii="Arial" w:hAnsi="Arial" w:cs="Arial"/>
          <w:sz w:val="22"/>
          <w:szCs w:val="22"/>
        </w:rPr>
        <w:t xml:space="preserve"> </w:t>
      </w:r>
      <w:r>
        <w:rPr>
          <w:rFonts w:ascii="Arial" w:eastAsiaTheme="minorHAnsi" w:hAnsi="Arial" w:cs="Arial"/>
          <w:sz w:val="22"/>
          <w:szCs w:val="22"/>
        </w:rPr>
        <w:t>There were no significant changes in cortisol dynamics throughout the experiment in young adult and aged mice.</w:t>
      </w:r>
      <w:r w:rsidR="006B5DB5">
        <w:rPr>
          <w:rFonts w:ascii="Arial" w:hAnsi="Arial" w:cs="Arial"/>
          <w:sz w:val="22"/>
          <w:szCs w:val="22"/>
        </w:rPr>
        <w:t xml:space="preserve"> </w:t>
      </w:r>
      <w:r>
        <w:rPr>
          <w:rFonts w:ascii="Arial" w:eastAsiaTheme="minorHAnsi" w:hAnsi="Arial" w:cs="Arial"/>
          <w:sz w:val="22"/>
          <w:szCs w:val="22"/>
        </w:rPr>
        <w:t>Results are expressed as</w:t>
      </w:r>
      <w:r w:rsidRPr="00AE6208">
        <w:rPr>
          <w:rFonts w:ascii="Arial" w:eastAsiaTheme="minorHAnsi" w:hAnsi="Arial" w:cs="Arial"/>
          <w:sz w:val="22"/>
          <w:szCs w:val="22"/>
        </w:rPr>
        <w:t xml:space="preserve"> mean</w:t>
      </w:r>
      <w:r w:rsidRPr="00AE6208">
        <w:rPr>
          <w:rFonts w:ascii="Arial" w:eastAsia="MS Gothic" w:hAnsi="Arial" w:cs="Arial"/>
          <w:sz w:val="22"/>
          <w:szCs w:val="22"/>
        </w:rPr>
        <w:t>±</w:t>
      </w:r>
      <w:r>
        <w:rPr>
          <w:rFonts w:ascii="Arial" w:eastAsiaTheme="minorHAnsi" w:hAnsi="Arial" w:cs="Arial"/>
          <w:sz w:val="22"/>
          <w:szCs w:val="22"/>
        </w:rPr>
        <w:t>SE</w:t>
      </w:r>
    </w:p>
    <w:p w14:paraId="3F30B21B" w14:textId="77777777" w:rsidR="0015459C" w:rsidRDefault="0015459C" w:rsidP="00D40E59">
      <w:pPr>
        <w:pStyle w:val="Heading2"/>
      </w:pPr>
      <w:bookmarkStart w:id="177" w:name="_Toc383723934"/>
      <w:r>
        <w:lastRenderedPageBreak/>
        <w:t>7.3 Discussion</w:t>
      </w:r>
      <w:bookmarkEnd w:id="177"/>
    </w:p>
    <w:p w14:paraId="4A2D8455" w14:textId="77777777" w:rsidR="005A69AF" w:rsidRDefault="0015459C" w:rsidP="0015459C">
      <w:pPr>
        <w:widowControl w:val="0"/>
        <w:autoSpaceDE w:val="0"/>
        <w:autoSpaceDN w:val="0"/>
        <w:adjustRightInd w:val="0"/>
        <w:spacing w:line="480" w:lineRule="auto"/>
        <w:jc w:val="both"/>
        <w:rPr>
          <w:rFonts w:ascii="Arial" w:eastAsiaTheme="minorEastAsia" w:hAnsi="Arial" w:cs="Arial"/>
          <w:lang w:val="en-US"/>
        </w:rPr>
      </w:pPr>
      <w:r w:rsidRPr="00C607AC">
        <w:rPr>
          <w:rFonts w:ascii="Arial" w:eastAsiaTheme="minorEastAsia" w:hAnsi="Arial" w:cs="Arial"/>
          <w:lang w:val="en-US"/>
        </w:rPr>
        <w:t xml:space="preserve">The </w:t>
      </w:r>
      <w:r w:rsidR="005A69AF">
        <w:rPr>
          <w:rFonts w:ascii="Arial" w:eastAsiaTheme="minorEastAsia" w:hAnsi="Arial" w:cs="Arial"/>
          <w:lang w:val="en-US"/>
        </w:rPr>
        <w:t xml:space="preserve">circulating concentrations of metabolic hormones that are potentially </w:t>
      </w:r>
      <w:r w:rsidR="00226359">
        <w:rPr>
          <w:rFonts w:ascii="Arial" w:eastAsiaTheme="minorEastAsia" w:hAnsi="Arial" w:cs="Arial"/>
          <w:lang w:val="en-US"/>
        </w:rPr>
        <w:t>potent osteogenic agents depend</w:t>
      </w:r>
      <w:r w:rsidR="005A69AF">
        <w:rPr>
          <w:rFonts w:ascii="Arial" w:eastAsiaTheme="minorEastAsia" w:hAnsi="Arial" w:cs="Arial"/>
          <w:lang w:val="en-US"/>
        </w:rPr>
        <w:t xml:space="preserve"> crucially on food ingestion. </w:t>
      </w:r>
      <w:r w:rsidR="00226359">
        <w:rPr>
          <w:rFonts w:ascii="Arial" w:eastAsiaTheme="minorEastAsia" w:hAnsi="Arial" w:cs="Arial"/>
          <w:lang w:val="en-US"/>
        </w:rPr>
        <w:t xml:space="preserve">Therefore, this led to the hypothesis that timing of food ingestion could alter the effectiveness of mechanical loading regimens. </w:t>
      </w:r>
      <w:r w:rsidR="00A401B9">
        <w:rPr>
          <w:rFonts w:ascii="Arial" w:eastAsiaTheme="minorEastAsia" w:hAnsi="Arial" w:cs="Arial"/>
          <w:lang w:val="en-US"/>
        </w:rPr>
        <w:t>In</w:t>
      </w:r>
      <w:r w:rsidR="002A5FF8">
        <w:rPr>
          <w:rFonts w:ascii="Arial" w:eastAsiaTheme="minorEastAsia" w:hAnsi="Arial" w:cs="Arial"/>
          <w:lang w:val="en-US"/>
        </w:rPr>
        <w:t xml:space="preserve"> this chapter we</w:t>
      </w:r>
      <w:r w:rsidR="00A401B9">
        <w:rPr>
          <w:rFonts w:ascii="Arial" w:eastAsiaTheme="minorEastAsia" w:hAnsi="Arial" w:cs="Arial"/>
          <w:lang w:val="en-US"/>
        </w:rPr>
        <w:t xml:space="preserve"> determine</w:t>
      </w:r>
      <w:r w:rsidR="002A5FF8">
        <w:rPr>
          <w:rFonts w:ascii="Arial" w:eastAsiaTheme="minorEastAsia" w:hAnsi="Arial" w:cs="Arial"/>
          <w:lang w:val="en-US"/>
        </w:rPr>
        <w:t>d</w:t>
      </w:r>
      <w:r w:rsidR="00A401B9">
        <w:rPr>
          <w:rFonts w:ascii="Arial" w:eastAsiaTheme="minorEastAsia" w:hAnsi="Arial" w:cs="Arial"/>
          <w:lang w:val="en-US"/>
        </w:rPr>
        <w:t xml:space="preserve"> whether the physiological responses in concentration</w:t>
      </w:r>
      <w:r w:rsidR="002A5FF8">
        <w:rPr>
          <w:rFonts w:ascii="Arial" w:eastAsiaTheme="minorEastAsia" w:hAnsi="Arial" w:cs="Arial"/>
          <w:lang w:val="en-US"/>
        </w:rPr>
        <w:t>s</w:t>
      </w:r>
      <w:r w:rsidR="00A401B9">
        <w:rPr>
          <w:rFonts w:ascii="Arial" w:eastAsiaTheme="minorEastAsia" w:hAnsi="Arial" w:cs="Arial"/>
          <w:lang w:val="en-US"/>
        </w:rPr>
        <w:t xml:space="preserve"> of metabolic hormones </w:t>
      </w:r>
      <w:r w:rsidR="00B55E05">
        <w:rPr>
          <w:rFonts w:ascii="Arial" w:eastAsiaTheme="minorEastAsia" w:hAnsi="Arial" w:cs="Arial"/>
          <w:lang w:val="en-US"/>
        </w:rPr>
        <w:t xml:space="preserve">during fasting </w:t>
      </w:r>
      <w:r w:rsidR="00D85F5F">
        <w:rPr>
          <w:rFonts w:ascii="Arial" w:eastAsiaTheme="minorEastAsia" w:hAnsi="Arial" w:cs="Arial"/>
          <w:lang w:val="en-US"/>
        </w:rPr>
        <w:t xml:space="preserve">or feeding following prolonged fasting </w:t>
      </w:r>
      <w:r w:rsidR="00B55E05">
        <w:rPr>
          <w:rFonts w:ascii="Arial" w:eastAsiaTheme="minorEastAsia" w:hAnsi="Arial" w:cs="Arial"/>
          <w:lang w:val="en-US"/>
        </w:rPr>
        <w:t xml:space="preserve">could be responsible for the enhanced effects of mechanical loading/exercise on bone turnover in fasted fed animals that </w:t>
      </w:r>
      <w:r w:rsidR="002A5FF8">
        <w:rPr>
          <w:rFonts w:ascii="Arial" w:eastAsiaTheme="minorEastAsia" w:hAnsi="Arial" w:cs="Arial"/>
          <w:lang w:val="en-US"/>
        </w:rPr>
        <w:t xml:space="preserve">we </w:t>
      </w:r>
      <w:r w:rsidR="00B55E05">
        <w:rPr>
          <w:rFonts w:ascii="Arial" w:eastAsiaTheme="minorEastAsia" w:hAnsi="Arial" w:cs="Arial"/>
          <w:lang w:val="en-US"/>
        </w:rPr>
        <w:t>have observed previously (see Chapters 4 and 5).</w:t>
      </w:r>
      <w:r w:rsidR="002A5FF8">
        <w:rPr>
          <w:rFonts w:ascii="Arial" w:eastAsiaTheme="minorEastAsia" w:hAnsi="Arial" w:cs="Arial"/>
          <w:lang w:val="en-US"/>
        </w:rPr>
        <w:t xml:space="preserve"> </w:t>
      </w:r>
    </w:p>
    <w:p w14:paraId="4F3A9881" w14:textId="77777777" w:rsidR="0015459C" w:rsidRPr="00E1463B" w:rsidRDefault="0015459C" w:rsidP="00E1463B">
      <w:pPr>
        <w:pStyle w:val="Heading3"/>
        <w:spacing w:line="480" w:lineRule="auto"/>
        <w:jc w:val="both"/>
        <w:rPr>
          <w:rFonts w:ascii="Arial" w:hAnsi="Arial"/>
          <w:color w:val="auto"/>
        </w:rPr>
      </w:pPr>
      <w:bookmarkStart w:id="178" w:name="_Toc383723935"/>
      <w:r w:rsidRPr="00E1463B">
        <w:rPr>
          <w:rFonts w:ascii="Arial" w:hAnsi="Arial"/>
          <w:color w:val="auto"/>
        </w:rPr>
        <w:t xml:space="preserve">7.3.1 </w:t>
      </w:r>
      <w:proofErr w:type="gramStart"/>
      <w:r w:rsidRPr="00E1463B">
        <w:rPr>
          <w:rFonts w:ascii="Arial" w:hAnsi="Arial"/>
          <w:color w:val="auto"/>
        </w:rPr>
        <w:t>The</w:t>
      </w:r>
      <w:proofErr w:type="gramEnd"/>
      <w:r w:rsidRPr="00E1463B">
        <w:rPr>
          <w:rFonts w:ascii="Arial" w:hAnsi="Arial"/>
          <w:color w:val="auto"/>
        </w:rPr>
        <w:t xml:space="preserve"> concentrations of ghrelin, leptin, insulin, GIP and GLP1 differ during fasted and fed states in young and aged mice</w:t>
      </w:r>
      <w:bookmarkEnd w:id="178"/>
    </w:p>
    <w:p w14:paraId="15F96EB9" w14:textId="77777777" w:rsidR="0015459C" w:rsidRDefault="00004A47" w:rsidP="0015459C">
      <w:pPr>
        <w:spacing w:line="480" w:lineRule="auto"/>
        <w:jc w:val="both"/>
        <w:rPr>
          <w:rFonts w:ascii="Arial" w:hAnsi="Arial" w:cs="Arial"/>
        </w:rPr>
      </w:pPr>
      <w:r>
        <w:rPr>
          <w:rFonts w:ascii="Arial" w:hAnsi="Arial" w:cs="Arial"/>
        </w:rPr>
        <w:t>We have</w:t>
      </w:r>
      <w:r w:rsidR="00312064">
        <w:rPr>
          <w:rFonts w:ascii="Arial" w:hAnsi="Arial" w:cs="Arial"/>
        </w:rPr>
        <w:t xml:space="preserve"> measured the serum concentrations of five metabolic hormones including ghrelin, leptin, insulin, GIP and GLP1 in both young and old mice in response to feeding and fasting. </w:t>
      </w:r>
      <w:r w:rsidR="0015459C">
        <w:rPr>
          <w:rFonts w:ascii="Arial" w:hAnsi="Arial" w:cs="Arial"/>
        </w:rPr>
        <w:t>T</w:t>
      </w:r>
      <w:r w:rsidR="0015459C" w:rsidRPr="00953F64">
        <w:rPr>
          <w:rFonts w:ascii="Arial" w:hAnsi="Arial" w:cs="Arial"/>
        </w:rPr>
        <w:t xml:space="preserve">he </w:t>
      </w:r>
      <w:r w:rsidR="0015459C">
        <w:rPr>
          <w:rFonts w:ascii="Arial" w:hAnsi="Arial" w:cs="Arial"/>
        </w:rPr>
        <w:t xml:space="preserve">changes in serum concentrations of </w:t>
      </w:r>
      <w:r w:rsidR="00312064">
        <w:rPr>
          <w:rFonts w:ascii="Arial" w:hAnsi="Arial" w:cs="Arial"/>
        </w:rPr>
        <w:t xml:space="preserve">these </w:t>
      </w:r>
      <w:r w:rsidR="0015459C">
        <w:rPr>
          <w:rFonts w:ascii="Arial" w:hAnsi="Arial" w:cs="Arial"/>
        </w:rPr>
        <w:t xml:space="preserve">metabolic hormones influenced by feeding/fasting could be consistent with their role in the potentiation of bone’s adaptive response to artificial loading we </w:t>
      </w:r>
      <w:r w:rsidR="00312064">
        <w:rPr>
          <w:rFonts w:ascii="Arial" w:hAnsi="Arial" w:cs="Arial"/>
        </w:rPr>
        <w:t xml:space="preserve">have </w:t>
      </w:r>
      <w:r w:rsidR="0015459C">
        <w:rPr>
          <w:rFonts w:ascii="Arial" w:hAnsi="Arial" w:cs="Arial"/>
        </w:rPr>
        <w:t xml:space="preserve">observed. </w:t>
      </w:r>
    </w:p>
    <w:p w14:paraId="1D196B3A" w14:textId="77777777" w:rsidR="00FE6FC2" w:rsidRDefault="00FE6FC2" w:rsidP="0015459C">
      <w:pPr>
        <w:spacing w:line="480" w:lineRule="auto"/>
        <w:jc w:val="both"/>
        <w:rPr>
          <w:rFonts w:ascii="Arial" w:hAnsi="Arial" w:cs="Arial"/>
        </w:rPr>
      </w:pPr>
    </w:p>
    <w:p w14:paraId="73335680" w14:textId="77777777" w:rsidR="00A90BA7" w:rsidRPr="00A90BA7" w:rsidRDefault="0015459C" w:rsidP="0015459C">
      <w:pPr>
        <w:spacing w:line="480" w:lineRule="auto"/>
        <w:jc w:val="both"/>
        <w:rPr>
          <w:rFonts w:ascii="Arial" w:hAnsi="Arial"/>
        </w:rPr>
      </w:pPr>
      <w:r>
        <w:rPr>
          <w:rFonts w:ascii="Arial" w:hAnsi="Arial" w:cs="Arial"/>
        </w:rPr>
        <w:t xml:space="preserve">As discussed in </w:t>
      </w:r>
      <w:r w:rsidR="00DE3FEF">
        <w:rPr>
          <w:rFonts w:ascii="Arial" w:hAnsi="Arial" w:cs="Arial"/>
        </w:rPr>
        <w:t xml:space="preserve">the </w:t>
      </w:r>
      <w:r>
        <w:rPr>
          <w:rFonts w:ascii="Arial" w:hAnsi="Arial" w:cs="Arial"/>
        </w:rPr>
        <w:t xml:space="preserve">general introduction </w:t>
      </w:r>
      <w:r w:rsidR="00DE3FEF">
        <w:rPr>
          <w:rFonts w:ascii="Arial" w:hAnsi="Arial" w:cs="Arial"/>
        </w:rPr>
        <w:t xml:space="preserve">(Chapter 1) </w:t>
      </w:r>
      <w:r w:rsidRPr="00BD3290">
        <w:rPr>
          <w:rFonts w:ascii="Arial" w:hAnsi="Arial" w:cs="Arial"/>
          <w:b/>
        </w:rPr>
        <w:t>ghrelin</w:t>
      </w:r>
      <w:r>
        <w:rPr>
          <w:rFonts w:ascii="Arial" w:hAnsi="Arial" w:cs="Arial"/>
          <w:b/>
        </w:rPr>
        <w:t>,</w:t>
      </w:r>
      <w:r w:rsidR="00184C36">
        <w:rPr>
          <w:rFonts w:ascii="Arial" w:hAnsi="Arial" w:cs="Arial"/>
        </w:rPr>
        <w:t xml:space="preserve"> </w:t>
      </w:r>
      <w:r w:rsidR="00CE77A9">
        <w:rPr>
          <w:rFonts w:ascii="Arial" w:hAnsi="Arial" w:cs="Arial"/>
        </w:rPr>
        <w:t xml:space="preserve">is </w:t>
      </w:r>
      <w:r w:rsidR="00184C36">
        <w:rPr>
          <w:rFonts w:ascii="Arial" w:hAnsi="Arial" w:cs="Arial"/>
        </w:rPr>
        <w:t>produced mainly in stomach and increasing concentration</w:t>
      </w:r>
      <w:r w:rsidR="00A90BA7">
        <w:rPr>
          <w:rFonts w:ascii="Arial" w:hAnsi="Arial" w:cs="Arial"/>
        </w:rPr>
        <w:t>s</w:t>
      </w:r>
      <w:r w:rsidR="00184C36">
        <w:rPr>
          <w:rFonts w:ascii="Arial" w:hAnsi="Arial" w:cs="Arial"/>
        </w:rPr>
        <w:t xml:space="preserve"> of ghrelin</w:t>
      </w:r>
      <w:r w:rsidR="00CE77A9">
        <w:rPr>
          <w:rFonts w:ascii="Arial" w:hAnsi="Arial" w:cs="Arial"/>
        </w:rPr>
        <w:t xml:space="preserve"> during fasting is</w:t>
      </w:r>
      <w:r w:rsidR="00184C36">
        <w:rPr>
          <w:rFonts w:ascii="Arial" w:hAnsi="Arial" w:cs="Arial"/>
        </w:rPr>
        <w:t xml:space="preserve"> an </w:t>
      </w:r>
      <w:r w:rsidR="00184C36">
        <w:rPr>
          <w:rFonts w:ascii="Arial" w:hAnsi="Arial"/>
        </w:rPr>
        <w:t>important</w:t>
      </w:r>
      <w:r w:rsidR="00CE77A9">
        <w:rPr>
          <w:rFonts w:ascii="Arial" w:hAnsi="Arial"/>
        </w:rPr>
        <w:t xml:space="preserve"> factor in meal initiation </w:t>
      </w:r>
      <w:r w:rsidR="00C27102">
        <w:rPr>
          <w:rFonts w:ascii="Arial" w:hAnsi="Arial"/>
        </w:rPr>
        <w:fldChar w:fldCharType="begin">
          <w:fldData xml:space="preserve">PEVuZE5vdGU+PENpdGU+PEF1dGhvcj5Bc2FrYXdhPC9BdXRob3I+PFllYXI+MjAwMTwvWWVhcj48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</w:fldData>
        </w:fldChar>
      </w:r>
      <w:r w:rsidR="0000415D">
        <w:rPr>
          <w:rFonts w:ascii="Arial" w:hAnsi="Arial"/>
        </w:rPr>
        <w:instrText xml:space="preserve"> ADDIN EN.CITE </w:instrText>
      </w:r>
      <w:r w:rsidR="0000415D">
        <w:rPr>
          <w:rFonts w:ascii="Arial" w:hAnsi="Arial"/>
        </w:rPr>
        <w:fldChar w:fldCharType="begin">
          <w:fldData xml:space="preserve">PEVuZE5vdGU+PENpdGU+PEF1dGhvcj5Bc2FrYXdhPC9BdXRob3I+PFllYXI+MjAwMTwvWWVhcj48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00C27102">
        <w:rPr>
          <w:rFonts w:ascii="Arial" w:hAnsi="Arial"/>
        </w:rPr>
      </w:r>
      <w:r w:rsidR="00C27102">
        <w:rPr>
          <w:rFonts w:ascii="Arial" w:hAnsi="Arial"/>
        </w:rPr>
        <w:fldChar w:fldCharType="separate"/>
      </w:r>
      <w:r w:rsidR="00C27102">
        <w:rPr>
          <w:rFonts w:ascii="Arial" w:hAnsi="Arial"/>
          <w:noProof/>
        </w:rPr>
        <w:t>(Asakawa et al., 2001, Kojima and Kangawa, 2005)</w:t>
      </w:r>
      <w:r w:rsidR="00C27102">
        <w:rPr>
          <w:rFonts w:ascii="Arial" w:hAnsi="Arial"/>
        </w:rPr>
        <w:fldChar w:fldCharType="end"/>
      </w:r>
      <w:r w:rsidR="00EE4889">
        <w:rPr>
          <w:rFonts w:ascii="Arial" w:hAnsi="Arial"/>
        </w:rPr>
        <w:t xml:space="preserve">. </w:t>
      </w:r>
      <w:r w:rsidR="000660D7">
        <w:rPr>
          <w:rFonts w:ascii="Arial" w:hAnsi="Arial"/>
        </w:rPr>
        <w:t>Circulating ghrelin concentrations rise</w:t>
      </w:r>
      <w:r w:rsidR="000660D7" w:rsidRPr="00FA5941">
        <w:rPr>
          <w:rFonts w:ascii="Arial" w:hAnsi="Arial"/>
        </w:rPr>
        <w:t xml:space="preserve"> </w:t>
      </w:r>
      <w:r w:rsidR="000660D7">
        <w:rPr>
          <w:rFonts w:ascii="Arial" w:hAnsi="Arial"/>
        </w:rPr>
        <w:t xml:space="preserve">during fasting with the peak of circulating ghrelin concentrations after about 8-hour fasting, </w:t>
      </w:r>
      <w:r w:rsidR="000660D7" w:rsidRPr="00FA5941">
        <w:rPr>
          <w:rFonts w:ascii="Arial" w:hAnsi="Arial"/>
        </w:rPr>
        <w:t xml:space="preserve">and </w:t>
      </w:r>
      <w:r w:rsidR="000660D7">
        <w:rPr>
          <w:rFonts w:ascii="Arial" w:hAnsi="Arial"/>
        </w:rPr>
        <w:t xml:space="preserve">ghrelin concentrations are supressed by around 26% within 20min of food ingestion </w:t>
      </w:r>
      <w:r w:rsidR="00C27102">
        <w:rPr>
          <w:rFonts w:ascii="Arial" w:hAnsi="Arial"/>
        </w:rPr>
        <w:fldChar w:fldCharType="begin">
          <w:fldData xml:space="preserve">PEVuZE5vdGU+PENpdGU+PEF1dGhvcj5Ub2xsZTwvQXV0aG9yPjxZZWFyPjIwMDI8L1llYXI+PFJl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==
</w:fldData>
        </w:fldChar>
      </w:r>
      <w:r w:rsidR="00651EFF">
        <w:rPr>
          <w:rFonts w:ascii="Arial" w:hAnsi="Arial"/>
        </w:rPr>
        <w:instrText xml:space="preserve"> ADDIN EN.CITE </w:instrText>
      </w:r>
      <w:r w:rsidR="00651EFF">
        <w:rPr>
          <w:rFonts w:ascii="Arial" w:hAnsi="Arial"/>
        </w:rPr>
        <w:fldChar w:fldCharType="begin">
          <w:fldData xml:space="preserve">PEVuZE5vdGU+PENpdGU+PEF1dGhvcj5Ub2xsZTwvQXV0aG9yPjxZZWFyPjIwMDI8L1llYXI+PFJl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==
</w:fldData>
        </w:fldChar>
      </w:r>
      <w:r w:rsidR="00651EFF">
        <w:rPr>
          <w:rFonts w:ascii="Arial" w:hAnsi="Arial"/>
        </w:rPr>
        <w:instrText xml:space="preserve"> ADDIN EN.CITE.DATA </w:instrText>
      </w:r>
      <w:r w:rsidR="00651EFF">
        <w:rPr>
          <w:rFonts w:ascii="Arial" w:hAnsi="Arial"/>
        </w:rPr>
      </w:r>
      <w:r w:rsidR="00651EFF">
        <w:rPr>
          <w:rFonts w:ascii="Arial" w:hAnsi="Arial"/>
        </w:rPr>
        <w:fldChar w:fldCharType="end"/>
      </w:r>
      <w:r w:rsidR="00C27102">
        <w:rPr>
          <w:rFonts w:ascii="Arial" w:hAnsi="Arial"/>
        </w:rPr>
      </w:r>
      <w:r w:rsidR="00C27102">
        <w:rPr>
          <w:rFonts w:ascii="Arial" w:hAnsi="Arial"/>
        </w:rPr>
        <w:fldChar w:fldCharType="separate"/>
      </w:r>
      <w:r w:rsidR="00C27102">
        <w:rPr>
          <w:rFonts w:ascii="Arial" w:hAnsi="Arial"/>
          <w:noProof/>
        </w:rPr>
        <w:t>(Tolle et al., 2002, Gluck et al., 2006)</w:t>
      </w:r>
      <w:r w:rsidR="00C27102">
        <w:rPr>
          <w:rFonts w:ascii="Arial" w:hAnsi="Arial"/>
        </w:rPr>
        <w:fldChar w:fldCharType="end"/>
      </w:r>
      <w:r w:rsidR="000660D7">
        <w:rPr>
          <w:rFonts w:ascii="Arial" w:hAnsi="Arial"/>
        </w:rPr>
        <w:t xml:space="preserve">. </w:t>
      </w:r>
      <w:r w:rsidR="00A90BA7">
        <w:rPr>
          <w:rFonts w:ascii="Arial" w:hAnsi="Arial"/>
        </w:rPr>
        <w:t>As shown in Figure 10</w:t>
      </w:r>
      <w:r w:rsidR="00E73174">
        <w:rPr>
          <w:rFonts w:ascii="Arial" w:hAnsi="Arial"/>
        </w:rPr>
        <w:t>,</w:t>
      </w:r>
      <w:r w:rsidR="00A90BA7">
        <w:rPr>
          <w:rFonts w:ascii="Arial" w:hAnsi="Arial"/>
        </w:rPr>
        <w:t xml:space="preserve"> plasma ghrelin concentrations rise preprandially as a result of cephalic signals to increase sensitivity </w:t>
      </w:r>
      <w:r w:rsidR="004F1060">
        <w:rPr>
          <w:rFonts w:ascii="Arial" w:hAnsi="Arial"/>
        </w:rPr>
        <w:t xml:space="preserve">to taste </w:t>
      </w:r>
      <w:r w:rsidR="00A90BA7">
        <w:rPr>
          <w:rFonts w:ascii="Arial" w:hAnsi="Arial"/>
        </w:rPr>
        <w:t xml:space="preserve">and </w:t>
      </w:r>
      <w:r w:rsidR="004F1060">
        <w:rPr>
          <w:rFonts w:ascii="Arial" w:hAnsi="Arial"/>
        </w:rPr>
        <w:t xml:space="preserve">smell </w:t>
      </w:r>
      <w:r w:rsidR="00E73174">
        <w:rPr>
          <w:rFonts w:ascii="Arial" w:hAnsi="Arial"/>
        </w:rPr>
        <w:t xml:space="preserve">in rodents and then decline, reducing further as meal begins. </w:t>
      </w:r>
      <w:r w:rsidR="00CE77A9">
        <w:rPr>
          <w:rFonts w:ascii="Arial" w:hAnsi="Arial" w:cs="Arial"/>
          <w:color w:val="000000" w:themeColor="text1"/>
        </w:rPr>
        <w:t>As expected, in previously fasted mice serum ghrelin concentration declined significantly 2-hour after feeding</w:t>
      </w:r>
      <w:r w:rsidR="00CE77A9" w:rsidRPr="00B626A7">
        <w:rPr>
          <w:rFonts w:ascii="Arial" w:hAnsi="Arial" w:cs="Arial"/>
          <w:color w:val="000000" w:themeColor="text1"/>
        </w:rPr>
        <w:t xml:space="preserve"> </w:t>
      </w:r>
      <w:r w:rsidR="00CE77A9">
        <w:rPr>
          <w:rFonts w:ascii="Arial" w:hAnsi="Arial" w:cs="Arial"/>
          <w:color w:val="000000" w:themeColor="text1"/>
        </w:rPr>
        <w:t xml:space="preserve">at 14:00. </w:t>
      </w:r>
    </w:p>
    <w:p w14:paraId="138A62D1" w14:textId="77777777" w:rsidR="0015459C" w:rsidRPr="00060D64" w:rsidRDefault="00CE77A9" w:rsidP="0015459C">
      <w:pPr>
        <w:spacing w:line="480" w:lineRule="auto"/>
        <w:jc w:val="both"/>
        <w:rPr>
          <w:rFonts w:ascii="Arial" w:hAnsi="Arial" w:cs="Arial"/>
          <w:color w:val="000000" w:themeColor="text1"/>
        </w:rPr>
      </w:pPr>
      <w:r>
        <w:rPr>
          <w:rFonts w:ascii="Arial" w:hAnsi="Arial" w:cs="Arial"/>
          <w:color w:val="000000" w:themeColor="text1"/>
        </w:rPr>
        <w:lastRenderedPageBreak/>
        <w:t xml:space="preserve">Ghrelin secretion was not supressed 2-hour after feeding in aged male mice, which was in agreement with the previous studies. Takeda et al. showed that circulating plasma ghrelin concentrations were lower in young mice </w:t>
      </w:r>
      <w:r w:rsidR="005C2C55">
        <w:rPr>
          <w:rFonts w:ascii="Arial" w:hAnsi="Arial" w:cs="Arial"/>
          <w:color w:val="000000" w:themeColor="text1"/>
        </w:rPr>
        <w:t>under fed conditions compared with</w:t>
      </w:r>
      <w:r>
        <w:rPr>
          <w:rFonts w:ascii="Arial" w:hAnsi="Arial" w:cs="Arial"/>
          <w:color w:val="000000" w:themeColor="text1"/>
        </w:rPr>
        <w:t xml:space="preserve"> that in aged mice due to age-related metabolic changes. Furthermore, under fasting conditions plasma acylated ghrelin concentrations and expression levels of NPY/agouti-related protein (AgRP) were lower in aged mice compared with those in young mice </w:t>
      </w:r>
      <w:r w:rsidR="00C27102">
        <w:rPr>
          <w:rFonts w:ascii="Arial" w:hAnsi="Arial" w:cs="Arial"/>
          <w:color w:val="000000" w:themeColor="text1"/>
        </w:rPr>
        <w:fldChar w:fldCharType="begin"/>
      </w:r>
      <w:r w:rsidR="00C27102">
        <w:rPr>
          <w:rFonts w:ascii="Arial" w:hAnsi="Arial" w:cs="Arial"/>
          <w:color w:val="000000" w:themeColor="text1"/>
        </w:rPr>
        <w:instrText xml:space="preserve"> ADDIN EN.CITE &lt;EndNote&gt;&lt;Cite&gt;&lt;Author&gt;Takeda&lt;/Author&gt;&lt;Year&gt;2010&lt;/Year&gt;&lt;RecNum&gt;575&lt;/RecNum&gt;&lt;DisplayText&gt;(Takeda et al., 2010)&lt;/DisplayText&gt;&lt;record&gt;&lt;rec-number&gt;575&lt;/rec-number&gt;&lt;foreign-keys&gt;&lt;key app="EN" db-id="ae9rewfrpdttrheppfxxv0p4950wpd25r09x" timestamp="1521075416"&gt;575&lt;/key&gt;&lt;/foreign-keys&gt;&lt;ref-type name="Journal Article"&gt;17&lt;/ref-type&gt;&lt;contributors&gt;&lt;authors&gt;&lt;author&gt;Takeda, Hiroshi&lt;/author&gt;&lt;author&gt;Muto, Shuichi&lt;/author&gt;&lt;author&gt;Hattori, Tomohisa&lt;/author&gt;&lt;author&gt;Sadakane, Chiharu&lt;/author&gt;&lt;author&gt;Tsuchiya, Kazuaki&lt;/author&gt;&lt;author&gt;Katsurada, Takehiko&lt;/author&gt;&lt;author&gt;Ohkawara, Tatsuya&lt;/author&gt;&lt;author&gt;Oridate, Nobuhiko&lt;/author&gt;&lt;author&gt;Asaka, Masahiro&lt;/author&gt;&lt;/authors&gt;&lt;/contributors&gt;&lt;titles&gt;&lt;title&gt;Rikkunshito Ameliorates the Aging-Associated Decrease in Ghrelin Receptor Reactivity via Phosphodiesterase III Inhibition&lt;/title&gt;&lt;secondary-title&gt;Endocrinology&lt;/secondary-title&gt;&lt;/titles&gt;&lt;periodical&gt;&lt;full-title&gt;Endocrinology&lt;/full-title&gt;&lt;/periodical&gt;&lt;pages&gt;244-252&lt;/pages&gt;&lt;volume&gt;151&lt;/volume&gt;&lt;number&gt;1&lt;/number&gt;&lt;keywords&gt;&lt;keyword&gt;Medicine&lt;/keyword&gt;&lt;keyword&gt;Anatomy &amp;amp;amp&lt;/keyword&gt;&lt;keyword&gt;Physiology&lt;/keyword&gt;&lt;/keywords&gt;&lt;dates&gt;&lt;year&gt;2010&lt;/year&gt;&lt;/dates&gt;&lt;isbn&gt;0013-7227&lt;/isbn&gt;&lt;urls&gt;&lt;/urls&gt;&lt;electronic-resource-num&gt;10.1210/en.2009-0633&lt;/electronic-resource-num&gt;&lt;/record&gt;&lt;/Cite&gt;&lt;/EndNote&gt;</w:instrText>
      </w:r>
      <w:r w:rsidR="00C27102">
        <w:rPr>
          <w:rFonts w:ascii="Arial" w:hAnsi="Arial" w:cs="Arial"/>
          <w:color w:val="000000" w:themeColor="text1"/>
        </w:rPr>
        <w:fldChar w:fldCharType="separate"/>
      </w:r>
      <w:r w:rsidR="00C27102">
        <w:rPr>
          <w:rFonts w:ascii="Arial" w:hAnsi="Arial" w:cs="Arial"/>
          <w:noProof/>
          <w:color w:val="000000" w:themeColor="text1"/>
        </w:rPr>
        <w:t>(Takeda et al., 2010)</w:t>
      </w:r>
      <w:r w:rsidR="00C27102">
        <w:rPr>
          <w:rFonts w:ascii="Arial" w:hAnsi="Arial" w:cs="Arial"/>
          <w:color w:val="000000" w:themeColor="text1"/>
        </w:rPr>
        <w:fldChar w:fldCharType="end"/>
      </w:r>
      <w:r>
        <w:rPr>
          <w:rFonts w:ascii="Arial" w:hAnsi="Arial" w:cs="Arial"/>
          <w:color w:val="000000" w:themeColor="text1"/>
        </w:rPr>
        <w:t>.</w:t>
      </w:r>
      <w:r w:rsidR="000660D7">
        <w:rPr>
          <w:rFonts w:ascii="Arial" w:hAnsi="Arial" w:cs="Arial"/>
          <w:color w:val="000000" w:themeColor="text1"/>
        </w:rPr>
        <w:t xml:space="preserve"> </w:t>
      </w:r>
      <w:r w:rsidR="00060D64">
        <w:rPr>
          <w:rFonts w:ascii="Arial" w:hAnsi="Arial" w:cs="Arial"/>
          <w:color w:val="000000" w:themeColor="text1"/>
        </w:rPr>
        <w:t xml:space="preserve">The orexigenic effects of ghrelin are mediated by activating </w:t>
      </w:r>
      <w:r w:rsidR="0015459C" w:rsidRPr="00D37A02">
        <w:rPr>
          <w:rFonts w:ascii="Arial" w:hAnsi="Arial" w:cs="Arial"/>
          <w:color w:val="000000"/>
          <w:shd w:val="clear" w:color="auto" w:fill="FFFFFF"/>
        </w:rPr>
        <w:t>adenosine monophosphate-activated protein kinase</w:t>
      </w:r>
      <w:r w:rsidR="0015459C">
        <w:rPr>
          <w:rFonts w:ascii="Arial" w:hAnsi="Arial" w:cs="Arial"/>
          <w:color w:val="000000" w:themeColor="text1"/>
        </w:rPr>
        <w:t xml:space="preserve"> (AMPK) in </w:t>
      </w:r>
      <w:r w:rsidR="00F43B8D">
        <w:rPr>
          <w:rFonts w:ascii="Arial" w:hAnsi="Arial"/>
        </w:rPr>
        <w:t>NPY</w:t>
      </w:r>
      <w:r w:rsidR="0015459C">
        <w:rPr>
          <w:rFonts w:ascii="Arial" w:hAnsi="Arial"/>
        </w:rPr>
        <w:t xml:space="preserve"> neurones </w:t>
      </w:r>
      <w:r w:rsidR="0015459C" w:rsidRPr="0054310C">
        <w:rPr>
          <w:rFonts w:ascii="Arial" w:hAnsi="Arial"/>
        </w:rPr>
        <w:t xml:space="preserve">of </w:t>
      </w:r>
      <w:r w:rsidR="00060D64">
        <w:rPr>
          <w:rFonts w:ascii="Arial" w:hAnsi="Arial"/>
        </w:rPr>
        <w:t xml:space="preserve">the </w:t>
      </w:r>
      <w:r w:rsidR="0015459C">
        <w:rPr>
          <w:rFonts w:ascii="Arial" w:hAnsi="Arial"/>
        </w:rPr>
        <w:t xml:space="preserve">hypothalamic </w:t>
      </w:r>
      <w:r w:rsidR="0015459C" w:rsidRPr="0054310C">
        <w:rPr>
          <w:rFonts w:ascii="Arial" w:hAnsi="Arial"/>
        </w:rPr>
        <w:t>arcuate nucleus</w:t>
      </w:r>
      <w:r w:rsidR="0015459C">
        <w:rPr>
          <w:rFonts w:ascii="Arial" w:hAnsi="Arial"/>
        </w:rPr>
        <w:t>,</w:t>
      </w:r>
      <w:r w:rsidR="0015459C" w:rsidRPr="00C80377">
        <w:rPr>
          <w:rFonts w:ascii="Arial" w:hAnsi="Arial" w:cs="Arial"/>
          <w:color w:val="000000" w:themeColor="text1"/>
        </w:rPr>
        <w:t xml:space="preserve"> </w:t>
      </w:r>
      <w:r w:rsidR="0015459C">
        <w:rPr>
          <w:rFonts w:ascii="Arial" w:hAnsi="Arial" w:cs="Arial"/>
          <w:color w:val="000000" w:themeColor="text1"/>
        </w:rPr>
        <w:t xml:space="preserve">where ghrelin receptors are expressed </w:t>
      </w:r>
      <w:r w:rsidR="00C27102">
        <w:rPr>
          <w:rFonts w:ascii="Arial" w:hAnsi="Arial" w:cs="Arial"/>
          <w:color w:val="000000" w:themeColor="text1"/>
        </w:rPr>
        <w:fldChar w:fldCharType="begin">
          <w:fldData xml:space="preserve">PEVuZE5vdGU+PENpdGU+PEF1dGhvcj5EcmF6ZW48L0F1dGhvcj48WWVhcj4yMDA2PC9ZZWFyPjxS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=
</w:fldData>
        </w:fldChar>
      </w:r>
      <w:r w:rsidR="0000415D">
        <w:rPr>
          <w:rFonts w:ascii="Arial" w:hAnsi="Arial" w:cs="Arial"/>
          <w:color w:val="000000" w:themeColor="text1"/>
        </w:rPr>
        <w:instrText xml:space="preserve"> ADDIN EN.CITE </w:instrText>
      </w:r>
      <w:r w:rsidR="0000415D">
        <w:rPr>
          <w:rFonts w:ascii="Arial" w:hAnsi="Arial" w:cs="Arial"/>
          <w:color w:val="000000" w:themeColor="text1"/>
        </w:rPr>
        <w:fldChar w:fldCharType="begin">
          <w:fldData xml:space="preserve">PEVuZE5vdGU+PENpdGU+PEF1dGhvcj5EcmF6ZW48L0F1dGhvcj48WWVhcj4yMDA2PC9ZZWFyPjxS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=
</w:fldData>
        </w:fldChar>
      </w:r>
      <w:r w:rsidR="0000415D">
        <w:rPr>
          <w:rFonts w:ascii="Arial" w:hAnsi="Arial" w:cs="Arial"/>
          <w:color w:val="000000" w:themeColor="text1"/>
        </w:rPr>
        <w:instrText xml:space="preserve"> ADDIN EN.CITE.DATA </w:instrText>
      </w:r>
      <w:r w:rsidR="0000415D">
        <w:rPr>
          <w:rFonts w:ascii="Arial" w:hAnsi="Arial" w:cs="Arial"/>
          <w:color w:val="000000" w:themeColor="text1"/>
        </w:rPr>
      </w:r>
      <w:r w:rsidR="0000415D">
        <w:rPr>
          <w:rFonts w:ascii="Arial" w:hAnsi="Arial" w:cs="Arial"/>
          <w:color w:val="000000" w:themeColor="text1"/>
        </w:rPr>
        <w:fldChar w:fldCharType="end"/>
      </w:r>
      <w:r w:rsidR="00C27102">
        <w:rPr>
          <w:rFonts w:ascii="Arial" w:hAnsi="Arial" w:cs="Arial"/>
          <w:color w:val="000000" w:themeColor="text1"/>
        </w:rPr>
      </w:r>
      <w:r w:rsidR="00C27102">
        <w:rPr>
          <w:rFonts w:ascii="Arial" w:hAnsi="Arial" w:cs="Arial"/>
          <w:color w:val="000000" w:themeColor="text1"/>
        </w:rPr>
        <w:fldChar w:fldCharType="separate"/>
      </w:r>
      <w:r w:rsidR="00C27102">
        <w:rPr>
          <w:rFonts w:ascii="Arial" w:hAnsi="Arial" w:cs="Arial"/>
          <w:noProof/>
          <w:color w:val="000000" w:themeColor="text1"/>
        </w:rPr>
        <w:t>(Drazen et al., 2006, Kohno et al., 2008, Szentirmai et al., 2010)</w:t>
      </w:r>
      <w:r w:rsidR="00C27102">
        <w:rPr>
          <w:rFonts w:ascii="Arial" w:hAnsi="Arial" w:cs="Arial"/>
          <w:color w:val="000000" w:themeColor="text1"/>
        </w:rPr>
        <w:fldChar w:fldCharType="end"/>
      </w:r>
      <w:r w:rsidR="00EC6DD1">
        <w:rPr>
          <w:rFonts w:ascii="Arial" w:hAnsi="Arial" w:cs="Arial"/>
          <w:color w:val="000000" w:themeColor="text1"/>
        </w:rPr>
        <w:t xml:space="preserve">. </w:t>
      </w:r>
    </w:p>
    <w:p w14:paraId="3EFD9835" w14:textId="77777777" w:rsidR="0015459C" w:rsidRPr="00D37A02" w:rsidRDefault="0015459C" w:rsidP="0015459C">
      <w:pPr>
        <w:spacing w:line="480" w:lineRule="auto"/>
        <w:jc w:val="both"/>
        <w:rPr>
          <w:rFonts w:ascii="Arial" w:hAnsi="Arial" w:cs="Arial"/>
          <w:color w:val="000000" w:themeColor="text1"/>
        </w:rPr>
      </w:pPr>
    </w:p>
    <w:p w14:paraId="21C51082" w14:textId="77777777" w:rsidR="00C47A56" w:rsidRDefault="00C12912" w:rsidP="001267B8">
      <w:pPr>
        <w:spacing w:line="480" w:lineRule="auto"/>
        <w:jc w:val="both"/>
        <w:rPr>
          <w:rFonts w:ascii="Arial" w:hAnsi="Arial"/>
        </w:rPr>
      </w:pPr>
      <w:r w:rsidRPr="00C12912">
        <w:rPr>
          <w:rFonts w:ascii="Arial" w:hAnsi="Arial"/>
          <w:b/>
        </w:rPr>
        <w:t>Leptin</w:t>
      </w:r>
      <w:r w:rsidR="001267B8">
        <w:rPr>
          <w:rFonts w:ascii="Arial" w:hAnsi="Arial"/>
        </w:rPr>
        <w:t xml:space="preserve">, </w:t>
      </w:r>
      <w:r w:rsidR="0015459C">
        <w:rPr>
          <w:rFonts w:ascii="Arial" w:hAnsi="Arial"/>
        </w:rPr>
        <w:t>secreted from the adipose tissue, is a</w:t>
      </w:r>
      <w:r w:rsidR="00A251A1">
        <w:rPr>
          <w:rFonts w:ascii="Arial" w:hAnsi="Arial"/>
        </w:rPr>
        <w:t xml:space="preserve">ntagonistic to ghrelin </w:t>
      </w:r>
      <w:r w:rsidR="001267B8">
        <w:rPr>
          <w:rFonts w:ascii="Arial" w:hAnsi="Arial"/>
        </w:rPr>
        <w:t xml:space="preserve">and is involved in long-term regulation of energy metabolism </w:t>
      </w:r>
      <w:r w:rsidR="00A251A1">
        <w:rPr>
          <w:rFonts w:ascii="Arial" w:hAnsi="Arial"/>
        </w:rPr>
        <w:t>(Figure 61</w:t>
      </w:r>
      <w:r w:rsidR="0015459C">
        <w:rPr>
          <w:rFonts w:ascii="Arial" w:hAnsi="Arial"/>
        </w:rPr>
        <w:t xml:space="preserve">). It increases energy expenditure and supresses food intake by acting through its receptors expressed in hypothalamic </w:t>
      </w:r>
      <w:r w:rsidR="0015459C" w:rsidRPr="0054310C">
        <w:rPr>
          <w:rFonts w:ascii="Arial" w:hAnsi="Arial"/>
        </w:rPr>
        <w:t>arcuate nucleus</w:t>
      </w:r>
      <w:r w:rsidR="0015459C">
        <w:rPr>
          <w:rFonts w:ascii="Arial" w:hAnsi="Arial"/>
        </w:rPr>
        <w:t xml:space="preserve"> </w:t>
      </w:r>
      <w:r w:rsidR="0015459C" w:rsidRPr="00EF2A9B">
        <w:rPr>
          <w:rFonts w:ascii="Arial" w:hAnsi="Arial" w:cs="Calibri"/>
          <w:bCs/>
          <w:color w:val="000000"/>
        </w:rPr>
        <w:fldChar w:fldCharType="begin">
          <w:fldData xml:space="preserve">PEVuZE5vdGU+PENpdGU+PEF1dGhvcj5XYXV0ZXJzPC9BdXRob3I+PFllYXI+MjAwMDwvWWVhcj48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</w:fldData>
        </w:fldChar>
      </w:r>
      <w:r w:rsidR="00D20595">
        <w:rPr>
          <w:rFonts w:ascii="Arial" w:hAnsi="Arial" w:cs="Calibri"/>
          <w:bCs/>
          <w:color w:val="000000"/>
        </w:rPr>
        <w:instrText xml:space="preserve"> ADDIN EN.CITE </w:instrText>
      </w:r>
      <w:r w:rsidR="00D20595">
        <w:rPr>
          <w:rFonts w:ascii="Arial" w:hAnsi="Arial" w:cs="Calibri"/>
          <w:bCs/>
          <w:color w:val="000000"/>
        </w:rPr>
        <w:fldChar w:fldCharType="begin">
          <w:fldData xml:space="preserve">PEVuZE5vdGU+PENpdGU+PEF1dGhvcj5XYXV0ZXJzPC9BdXRob3I+PFllYXI+MjAwMDwvWWVhcj48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</w:fldData>
        </w:fldChar>
      </w:r>
      <w:r w:rsidR="00D20595">
        <w:rPr>
          <w:rFonts w:ascii="Arial" w:hAnsi="Arial" w:cs="Calibri"/>
          <w:bCs/>
          <w:color w:val="000000"/>
        </w:rPr>
        <w:instrText xml:space="preserve"> ADDIN EN.CITE.DATA </w:instrText>
      </w:r>
      <w:r w:rsidR="00D20595">
        <w:rPr>
          <w:rFonts w:ascii="Arial" w:hAnsi="Arial" w:cs="Calibri"/>
          <w:bCs/>
          <w:color w:val="000000"/>
        </w:rPr>
      </w:r>
      <w:r w:rsidR="00D20595">
        <w:rPr>
          <w:rFonts w:ascii="Arial" w:hAnsi="Arial" w:cs="Calibri"/>
          <w:bCs/>
          <w:color w:val="000000"/>
        </w:rPr>
        <w:fldChar w:fldCharType="end"/>
      </w:r>
      <w:r w:rsidR="0015459C" w:rsidRPr="00EF2A9B">
        <w:rPr>
          <w:rFonts w:ascii="Arial" w:hAnsi="Arial" w:cs="Calibri"/>
          <w:bCs/>
          <w:color w:val="000000"/>
        </w:rPr>
      </w:r>
      <w:r w:rsidR="0015459C" w:rsidRPr="00EF2A9B">
        <w:rPr>
          <w:rFonts w:ascii="Arial" w:hAnsi="Arial" w:cs="Calibri"/>
          <w:bCs/>
          <w:color w:val="000000"/>
        </w:rPr>
        <w:fldChar w:fldCharType="separate"/>
      </w:r>
      <w:r w:rsidR="0015459C" w:rsidRPr="00EF2A9B">
        <w:rPr>
          <w:rFonts w:ascii="Arial" w:hAnsi="Arial" w:cs="Calibri"/>
          <w:bCs/>
          <w:noProof/>
          <w:color w:val="000000"/>
        </w:rPr>
        <w:t>(Wauters et al., 2000, Cowley et al., 2001, Small and Bloom, 2004)</w:t>
      </w:r>
      <w:r w:rsidR="0015459C" w:rsidRPr="00EF2A9B">
        <w:rPr>
          <w:rFonts w:ascii="Arial" w:hAnsi="Arial" w:cs="Calibri"/>
          <w:bCs/>
          <w:color w:val="000000"/>
        </w:rPr>
        <w:fldChar w:fldCharType="end"/>
      </w:r>
      <w:r w:rsidR="0015459C" w:rsidRPr="00EF2A9B">
        <w:rPr>
          <w:rFonts w:ascii="Arial" w:hAnsi="Arial" w:cs="Calibri"/>
          <w:bCs/>
          <w:color w:val="000000"/>
        </w:rPr>
        <w:t>.</w:t>
      </w:r>
      <w:r w:rsidR="0015459C">
        <w:rPr>
          <w:rFonts w:ascii="Arial" w:hAnsi="Arial" w:cs="Calibri"/>
          <w:bCs/>
          <w:color w:val="000000"/>
        </w:rPr>
        <w:t xml:space="preserve"> Serum leptin concentration was decreased </w:t>
      </w:r>
      <w:r w:rsidR="00A251A1">
        <w:rPr>
          <w:rFonts w:ascii="Arial" w:hAnsi="Arial" w:cs="Calibri"/>
          <w:bCs/>
          <w:color w:val="000000"/>
        </w:rPr>
        <w:t xml:space="preserve">significantly </w:t>
      </w:r>
      <w:r w:rsidR="0015459C">
        <w:rPr>
          <w:rFonts w:ascii="Arial" w:hAnsi="Arial"/>
        </w:rPr>
        <w:t xml:space="preserve">at 12:00 </w:t>
      </w:r>
      <w:r w:rsidR="0015459C">
        <w:rPr>
          <w:rFonts w:ascii="Arial" w:hAnsi="Arial" w:cs="Calibri"/>
          <w:bCs/>
          <w:color w:val="000000"/>
        </w:rPr>
        <w:t>in response to fasting and increased at 14:00 and 15:00 after feeding</w:t>
      </w:r>
      <w:r w:rsidR="0015459C" w:rsidRPr="005A3B25">
        <w:rPr>
          <w:rFonts w:ascii="Arial" w:hAnsi="Arial"/>
        </w:rPr>
        <w:t xml:space="preserve"> </w:t>
      </w:r>
      <w:r w:rsidR="0015459C">
        <w:rPr>
          <w:rFonts w:ascii="Arial" w:hAnsi="Arial"/>
        </w:rPr>
        <w:t>compared to ad-lib fed young mice</w:t>
      </w:r>
      <w:r w:rsidR="0015459C">
        <w:rPr>
          <w:rFonts w:ascii="Arial" w:hAnsi="Arial" w:cs="Calibri"/>
          <w:bCs/>
          <w:color w:val="000000"/>
        </w:rPr>
        <w:t xml:space="preserve">. This was consistent with the previous </w:t>
      </w:r>
      <w:r w:rsidR="00A251A1">
        <w:rPr>
          <w:rFonts w:ascii="Arial" w:hAnsi="Arial" w:cs="Calibri"/>
          <w:bCs/>
          <w:color w:val="000000"/>
        </w:rPr>
        <w:t>studies, which have shown</w:t>
      </w:r>
      <w:r w:rsidR="00A251A1" w:rsidRPr="00A251A1">
        <w:rPr>
          <w:rFonts w:ascii="Arial" w:hAnsi="Arial" w:cs="Calibri"/>
          <w:bCs/>
          <w:color w:val="000000"/>
        </w:rPr>
        <w:t xml:space="preserve"> </w:t>
      </w:r>
      <w:r w:rsidR="00A251A1">
        <w:rPr>
          <w:rFonts w:ascii="Arial" w:hAnsi="Arial" w:cs="Calibri"/>
          <w:bCs/>
          <w:color w:val="000000"/>
        </w:rPr>
        <w:t>that leptin concentrations</w:t>
      </w:r>
      <w:r w:rsidR="0015459C">
        <w:rPr>
          <w:rFonts w:ascii="Arial" w:hAnsi="Arial" w:cs="Calibri"/>
          <w:bCs/>
          <w:color w:val="000000"/>
        </w:rPr>
        <w:t xml:space="preserve"> </w:t>
      </w:r>
      <w:r w:rsidR="00A251A1">
        <w:rPr>
          <w:rFonts w:ascii="Arial" w:hAnsi="Arial" w:cs="Calibri"/>
          <w:bCs/>
          <w:color w:val="000000"/>
        </w:rPr>
        <w:t xml:space="preserve">were significantly lower </w:t>
      </w:r>
      <w:r w:rsidR="0015459C">
        <w:rPr>
          <w:rFonts w:ascii="Arial" w:hAnsi="Arial" w:cs="Calibri"/>
          <w:bCs/>
          <w:color w:val="000000"/>
        </w:rPr>
        <w:t>in fasted mice</w:t>
      </w:r>
      <w:r w:rsidR="00A251A1">
        <w:rPr>
          <w:rFonts w:ascii="Arial" w:hAnsi="Arial" w:cs="Calibri"/>
          <w:bCs/>
          <w:color w:val="000000"/>
        </w:rPr>
        <w:t xml:space="preserve"> </w:t>
      </w:r>
      <w:r w:rsidR="001267B8">
        <w:rPr>
          <w:rFonts w:ascii="Arial" w:hAnsi="Arial" w:cs="Calibri"/>
          <w:bCs/>
          <w:color w:val="000000"/>
        </w:rPr>
        <w:t>compared with</w:t>
      </w:r>
      <w:r w:rsidR="0015459C">
        <w:rPr>
          <w:rFonts w:ascii="Arial" w:hAnsi="Arial" w:cs="Calibri"/>
          <w:bCs/>
          <w:color w:val="000000"/>
        </w:rPr>
        <w:t xml:space="preserve"> </w:t>
      </w:r>
      <w:r w:rsidR="003B6ECE">
        <w:rPr>
          <w:rFonts w:ascii="Arial" w:hAnsi="Arial" w:cs="Calibri"/>
          <w:bCs/>
          <w:color w:val="000000"/>
        </w:rPr>
        <w:t xml:space="preserve">that in </w:t>
      </w:r>
      <w:r w:rsidR="0015459C">
        <w:rPr>
          <w:rFonts w:ascii="Arial" w:hAnsi="Arial" w:cs="Calibri"/>
          <w:bCs/>
          <w:color w:val="000000"/>
        </w:rPr>
        <w:t xml:space="preserve">non-fasted mice and significantly increased under feeding conditions </w:t>
      </w:r>
      <w:r w:rsidR="00C27102">
        <w:rPr>
          <w:rFonts w:ascii="Arial" w:hAnsi="Arial" w:cs="Calibri"/>
          <w:bCs/>
          <w:color w:val="000000"/>
        </w:rPr>
        <w:fldChar w:fldCharType="begin">
          <w:fldData xml:space="preserve">PEVuZE5vdGU+PENpdGU+PEF1dGhvcj5SYXluZXI8L0F1dGhvcj48WWVhcj4xOTk4PC9ZZWFyPjxS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==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PEVuZE5vdGU+PENpdGU+PEF1dGhvcj5SYXluZXI8L0F1dGhvcj48WWVhcj4xOTk4PC9ZZWFyPjxS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==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sidR="00C27102">
        <w:rPr>
          <w:rFonts w:ascii="Arial" w:hAnsi="Arial" w:cs="Calibri"/>
          <w:bCs/>
          <w:color w:val="000000"/>
        </w:rPr>
      </w:r>
      <w:r w:rsidR="00C27102">
        <w:rPr>
          <w:rFonts w:ascii="Arial" w:hAnsi="Arial" w:cs="Calibri"/>
          <w:bCs/>
          <w:color w:val="000000"/>
        </w:rPr>
        <w:fldChar w:fldCharType="separate"/>
      </w:r>
      <w:r w:rsidR="00C27102">
        <w:rPr>
          <w:rFonts w:ascii="Arial" w:hAnsi="Arial" w:cs="Calibri"/>
          <w:bCs/>
          <w:noProof/>
          <w:color w:val="000000"/>
        </w:rPr>
        <w:t>(Rayner et al., 1998, Trayhurn et al., 1998, Takeda et al., 2010)</w:t>
      </w:r>
      <w:r w:rsidR="00C27102">
        <w:rPr>
          <w:rFonts w:ascii="Arial" w:hAnsi="Arial" w:cs="Calibri"/>
          <w:bCs/>
          <w:color w:val="000000"/>
        </w:rPr>
        <w:fldChar w:fldCharType="end"/>
      </w:r>
      <w:r w:rsidR="00DB0CF3">
        <w:rPr>
          <w:rFonts w:ascii="Arial" w:hAnsi="Arial" w:cs="Calibri"/>
          <w:bCs/>
          <w:color w:val="000000"/>
        </w:rPr>
        <w:t xml:space="preserve">. </w:t>
      </w:r>
      <w:r w:rsidR="0015459C">
        <w:rPr>
          <w:rFonts w:ascii="Arial" w:hAnsi="Arial" w:cs="Calibri"/>
          <w:bCs/>
          <w:color w:val="000000"/>
        </w:rPr>
        <w:t xml:space="preserve">In aged mice, </w:t>
      </w:r>
      <w:r w:rsidR="0015459C">
        <w:rPr>
          <w:rFonts w:ascii="Arial" w:hAnsi="Arial"/>
        </w:rPr>
        <w:t xml:space="preserve">serum leptin concentrations significantly increased at 14:00 and 15:00 compared with fasted concentrations at 12:00, however levels of leptin were higher in both ad-lib fed and fasted fed aged mice than in young mice. Studies of age-related metabolic changes revealed that leptin concentrations under feeding conditions are substantially higher in aged mice, which is in agreement with our findings </w:t>
      </w:r>
      <w:r w:rsidR="00C27102">
        <w:rPr>
          <w:rFonts w:ascii="Arial" w:hAnsi="Arial"/>
        </w:rPr>
        <w:fldChar w:fldCharType="begin">
          <w:fldData xml:space="preserve">PEVuZE5vdGU+PENpdGU+PEF1dGhvcj5UYWtlZGE8L0F1dGhvcj48WWVhcj4yMDEwPC9ZZWFyPjxS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==
</w:fldData>
        </w:fldChar>
      </w:r>
      <w:r w:rsidR="0000415D">
        <w:rPr>
          <w:rFonts w:ascii="Arial" w:hAnsi="Arial"/>
        </w:rPr>
        <w:instrText xml:space="preserve"> ADDIN EN.CITE </w:instrText>
      </w:r>
      <w:r w:rsidR="0000415D">
        <w:rPr>
          <w:rFonts w:ascii="Arial" w:hAnsi="Arial"/>
        </w:rPr>
        <w:fldChar w:fldCharType="begin">
          <w:fldData xml:space="preserve">PEVuZE5vdGU+PENpdGU+PEF1dGhvcj5UYWtlZGE8L0F1dGhvcj48WWVhcj4yMDEwPC9ZZWFyPjxS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==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00C27102">
        <w:rPr>
          <w:rFonts w:ascii="Arial" w:hAnsi="Arial"/>
        </w:rPr>
      </w:r>
      <w:r w:rsidR="00C27102">
        <w:rPr>
          <w:rFonts w:ascii="Arial" w:hAnsi="Arial"/>
        </w:rPr>
        <w:fldChar w:fldCharType="separate"/>
      </w:r>
      <w:r w:rsidR="00C27102">
        <w:rPr>
          <w:rFonts w:ascii="Arial" w:hAnsi="Arial"/>
          <w:noProof/>
        </w:rPr>
        <w:t>(Takeda et al., 2010, Stenholm et al., 2011)</w:t>
      </w:r>
      <w:r w:rsidR="00C27102">
        <w:rPr>
          <w:rFonts w:ascii="Arial" w:hAnsi="Arial"/>
        </w:rPr>
        <w:fldChar w:fldCharType="end"/>
      </w:r>
      <w:r w:rsidR="001923D5">
        <w:rPr>
          <w:rFonts w:ascii="Arial" w:hAnsi="Arial"/>
        </w:rPr>
        <w:t>.</w:t>
      </w:r>
    </w:p>
    <w:p w14:paraId="20170A3E" w14:textId="77777777" w:rsidR="00A90BA7" w:rsidRDefault="00A90BA7" w:rsidP="001267B8">
      <w:pPr>
        <w:spacing w:line="480" w:lineRule="auto"/>
        <w:jc w:val="both"/>
        <w:rPr>
          <w:rFonts w:ascii="Arial" w:hAnsi="Arial" w:cs="Calibri"/>
          <w:bCs/>
          <w:color w:val="000000"/>
        </w:rPr>
      </w:pPr>
    </w:p>
    <w:p w14:paraId="2EF0BD26" w14:textId="77777777" w:rsidR="00A251A1" w:rsidRDefault="0015459C" w:rsidP="006A6CD0">
      <w:pPr>
        <w:keepNext/>
        <w:ind w:left="567"/>
      </w:pPr>
      <w:r>
        <w:rPr>
          <w:rFonts w:ascii="Arial" w:hAnsi="Arial" w:cs="Arial"/>
          <w:noProof/>
          <w:color w:val="333333"/>
          <w:shd w:val="clear" w:color="auto" w:fill="F9F9F9"/>
          <w:lang w:val="en-US"/>
        </w:rPr>
        <w:drawing>
          <wp:inline distT="0" distB="0" distL="0" distR="0" wp14:anchorId="483FBBAA" wp14:editId="500F4C90">
            <wp:extent cx="5358458" cy="4340225"/>
            <wp:effectExtent l="0" t="0" r="1270" b="3175"/>
            <wp:docPr id="1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152">
                      <a:alphaModFix/>
                      <a:extLst>
                        <a:ext uri="{BEBA8EAE-BF5A-486C-A8C5-ECC9F3942E4B}">
                          <a14:imgProps xmlns:a14="http://schemas.microsoft.com/office/drawing/2010/main">
                            <a14:imgLayer r:embed="rId15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359651" cy="4341191"/>
                    </a:xfrm>
                    <a:prstGeom prst="rect">
                      <a:avLst/>
                    </a:prstGeom>
                    <a:noFill/>
                    <a:ln>
                      <a:noFill/>
                    </a:ln>
                  </pic:spPr>
                </pic:pic>
              </a:graphicData>
            </a:graphic>
          </wp:inline>
        </w:drawing>
      </w:r>
    </w:p>
    <w:p w14:paraId="64951F5D" w14:textId="77777777" w:rsidR="00C33B95" w:rsidRDefault="00C33B95" w:rsidP="00C33B95">
      <w:pPr>
        <w:pStyle w:val="Caption"/>
      </w:pPr>
    </w:p>
    <w:p w14:paraId="47E11457" w14:textId="77777777" w:rsidR="0030045C" w:rsidRDefault="0030045C" w:rsidP="00C33B95">
      <w:pPr>
        <w:pStyle w:val="Caption"/>
        <w:spacing w:line="360" w:lineRule="auto"/>
        <w:jc w:val="both"/>
        <w:rPr>
          <w:rFonts w:ascii="Arial" w:hAnsi="Arial"/>
          <w:color w:val="244061" w:themeColor="accent1" w:themeShade="80"/>
          <w:sz w:val="24"/>
          <w:szCs w:val="24"/>
        </w:rPr>
      </w:pPr>
      <w:bookmarkStart w:id="179" w:name="_Toc383544652"/>
    </w:p>
    <w:p w14:paraId="20D63A7A" w14:textId="77777777" w:rsidR="0015459C" w:rsidRPr="00C33B95" w:rsidRDefault="00A251A1" w:rsidP="00C33B95">
      <w:pPr>
        <w:pStyle w:val="Caption"/>
        <w:spacing w:line="360" w:lineRule="auto"/>
        <w:jc w:val="both"/>
        <w:rPr>
          <w:rFonts w:ascii="Arial" w:hAnsi="Arial" w:cs="Arial"/>
          <w:color w:val="244061" w:themeColor="accent1" w:themeShade="80"/>
          <w:sz w:val="24"/>
          <w:szCs w:val="24"/>
          <w:shd w:val="clear" w:color="auto" w:fill="F9F9F9"/>
        </w:rPr>
      </w:pPr>
      <w:r w:rsidRPr="00C33B95">
        <w:rPr>
          <w:rFonts w:ascii="Arial" w:hAnsi="Arial"/>
          <w:color w:val="244061" w:themeColor="accent1" w:themeShade="80"/>
          <w:sz w:val="24"/>
          <w:szCs w:val="24"/>
        </w:rPr>
        <w:t xml:space="preserve">Figure </w:t>
      </w:r>
      <w:r w:rsidRPr="00C33B95">
        <w:rPr>
          <w:rFonts w:ascii="Arial" w:hAnsi="Arial"/>
          <w:color w:val="244061" w:themeColor="accent1" w:themeShade="80"/>
          <w:sz w:val="24"/>
          <w:szCs w:val="24"/>
        </w:rPr>
        <w:fldChar w:fldCharType="begin"/>
      </w:r>
      <w:r w:rsidRPr="00C33B95">
        <w:rPr>
          <w:rFonts w:ascii="Arial" w:hAnsi="Arial"/>
          <w:color w:val="244061" w:themeColor="accent1" w:themeShade="80"/>
          <w:sz w:val="24"/>
          <w:szCs w:val="24"/>
        </w:rPr>
        <w:instrText xml:space="preserve"> SEQ Figure \* ARABIC </w:instrText>
      </w:r>
      <w:r w:rsidRPr="00C33B95">
        <w:rPr>
          <w:rFonts w:ascii="Arial" w:hAnsi="Arial"/>
          <w:color w:val="244061" w:themeColor="accent1" w:themeShade="80"/>
          <w:sz w:val="24"/>
          <w:szCs w:val="24"/>
        </w:rPr>
        <w:fldChar w:fldCharType="separate"/>
      </w:r>
      <w:r w:rsidR="0091638B">
        <w:rPr>
          <w:rFonts w:ascii="Arial" w:hAnsi="Arial"/>
          <w:noProof/>
          <w:color w:val="244061" w:themeColor="accent1" w:themeShade="80"/>
          <w:sz w:val="24"/>
          <w:szCs w:val="24"/>
        </w:rPr>
        <w:t>61</w:t>
      </w:r>
      <w:r w:rsidRPr="00C33B95">
        <w:rPr>
          <w:rFonts w:ascii="Arial" w:hAnsi="Arial"/>
          <w:color w:val="244061" w:themeColor="accent1" w:themeShade="80"/>
          <w:sz w:val="24"/>
          <w:szCs w:val="24"/>
        </w:rPr>
        <w:fldChar w:fldCharType="end"/>
      </w:r>
      <w:r w:rsidR="00C33B95" w:rsidRPr="00C33B95">
        <w:rPr>
          <w:rFonts w:ascii="Arial" w:hAnsi="Arial" w:cs="Arial"/>
          <w:color w:val="244061" w:themeColor="accent1" w:themeShade="80"/>
          <w:sz w:val="24"/>
          <w:szCs w:val="24"/>
          <w:shd w:val="clear" w:color="auto" w:fill="F9F9F9"/>
        </w:rPr>
        <w:t xml:space="preserve"> </w:t>
      </w:r>
      <w:r w:rsidR="0015459C" w:rsidRPr="00C33B95">
        <w:rPr>
          <w:rFonts w:ascii="Arial" w:hAnsi="Arial"/>
          <w:color w:val="244061" w:themeColor="accent1" w:themeShade="80"/>
          <w:sz w:val="24"/>
          <w:szCs w:val="24"/>
        </w:rPr>
        <w:t>Relationship between ghrelin, leptin and GH-IGF axis in regulation of bone metabolism</w:t>
      </w:r>
      <w:bookmarkEnd w:id="179"/>
      <w:r w:rsidR="0015459C" w:rsidRPr="00C33B95">
        <w:rPr>
          <w:rFonts w:ascii="Arial" w:hAnsi="Arial"/>
          <w:color w:val="244061" w:themeColor="accent1" w:themeShade="80"/>
          <w:sz w:val="24"/>
          <w:szCs w:val="24"/>
        </w:rPr>
        <w:t xml:space="preserve"> </w:t>
      </w:r>
    </w:p>
    <w:p w14:paraId="558E313C" w14:textId="77777777" w:rsidR="0015459C" w:rsidRDefault="0015459C" w:rsidP="00C33B95">
      <w:pPr>
        <w:spacing w:line="360" w:lineRule="auto"/>
        <w:jc w:val="both"/>
        <w:rPr>
          <w:rFonts w:ascii="Arial" w:hAnsi="Arial" w:cs="Arial"/>
          <w:color w:val="333333"/>
          <w:shd w:val="clear" w:color="auto" w:fill="F9F9F9"/>
        </w:rPr>
      </w:pPr>
      <w:r>
        <w:rPr>
          <w:rFonts w:ascii="Arial" w:hAnsi="Arial" w:cs="Arial"/>
          <w:color w:val="000000" w:themeColor="text1"/>
          <w:sz w:val="22"/>
          <w:szCs w:val="22"/>
        </w:rPr>
        <w:t xml:space="preserve">Absorption of calcium, phosphate and nutrients from GI tract provides building blocks for bone formation. Ghrelin, leptin, GH, IGF1 and other osteotropic factors sense nutrient availability and body energy requirements and </w:t>
      </w:r>
      <w:r w:rsidR="00C33B95">
        <w:rPr>
          <w:rFonts w:ascii="Arial" w:hAnsi="Arial" w:cs="Arial"/>
          <w:color w:val="000000" w:themeColor="text1"/>
          <w:sz w:val="22"/>
          <w:szCs w:val="22"/>
        </w:rPr>
        <w:t xml:space="preserve">directly and indirectly </w:t>
      </w:r>
      <w:r>
        <w:rPr>
          <w:rFonts w:ascii="Arial" w:hAnsi="Arial" w:cs="Arial"/>
          <w:color w:val="000000" w:themeColor="text1"/>
          <w:sz w:val="22"/>
          <w:szCs w:val="22"/>
        </w:rPr>
        <w:t xml:space="preserve">regulate bone metabolism at both paracrine and endocrine levels. </w:t>
      </w:r>
    </w:p>
    <w:p w14:paraId="4B03BF9C" w14:textId="77777777" w:rsidR="0015459C" w:rsidRDefault="0015459C" w:rsidP="00C33B95">
      <w:pPr>
        <w:pStyle w:val="Caption"/>
        <w:spacing w:line="360" w:lineRule="auto"/>
        <w:jc w:val="both"/>
        <w:rPr>
          <w:b w:val="0"/>
          <w:color w:val="auto"/>
        </w:rPr>
      </w:pPr>
      <w:r w:rsidRPr="00C33B95">
        <w:rPr>
          <w:rFonts w:ascii="Arial" w:hAnsi="Arial"/>
          <w:b w:val="0"/>
          <w:color w:val="auto"/>
          <w:sz w:val="22"/>
          <w:szCs w:val="22"/>
        </w:rPr>
        <w:t xml:space="preserve">Image </w:t>
      </w:r>
      <w:r w:rsidR="00C578A1">
        <w:rPr>
          <w:rFonts w:ascii="Arial" w:hAnsi="Arial"/>
          <w:b w:val="0"/>
          <w:color w:val="auto"/>
          <w:sz w:val="22"/>
          <w:szCs w:val="22"/>
        </w:rPr>
        <w:t>reproduced</w:t>
      </w:r>
      <w:r w:rsidRPr="00C33B95">
        <w:rPr>
          <w:rFonts w:ascii="Arial" w:hAnsi="Arial"/>
          <w:b w:val="0"/>
          <w:color w:val="auto"/>
          <w:sz w:val="22"/>
          <w:szCs w:val="22"/>
        </w:rPr>
        <w:t xml:space="preserve"> with permission from</w:t>
      </w:r>
      <w:r w:rsidR="00C33B95">
        <w:rPr>
          <w:rFonts w:ascii="Arial" w:hAnsi="Arial"/>
          <w:b w:val="0"/>
          <w:color w:val="auto"/>
          <w:sz w:val="22"/>
          <w:szCs w:val="22"/>
        </w:rPr>
        <w:t xml:space="preserve"> </w:t>
      </w:r>
      <w:r w:rsidR="00C27102">
        <w:rPr>
          <w:rFonts w:ascii="Arial" w:hAnsi="Arial"/>
          <w:b w:val="0"/>
          <w:color w:val="auto"/>
          <w:sz w:val="22"/>
          <w:szCs w:val="22"/>
        </w:rPr>
        <w:fldChar w:fldCharType="begin"/>
      </w:r>
      <w:r w:rsidR="00651EFF">
        <w:rPr>
          <w:rFonts w:ascii="Arial" w:hAnsi="Arial"/>
          <w:b w:val="0"/>
          <w:color w:val="auto"/>
          <w:sz w:val="22"/>
          <w:szCs w:val="22"/>
        </w:rPr>
        <w:instrText xml:space="preserve"> ADDIN EN.CITE &lt;EndNote&gt;&lt;Cite&gt;&lt;Author&gt;Delhanty&lt;/Author&gt;&lt;Year&gt;2014&lt;/Year&gt;&lt;RecNum&gt;567&lt;/RecNum&gt;&lt;DisplayText&gt;(Delhanty et al., 2014)&lt;/DisplayText&gt;&lt;record&gt;&lt;rec-number&gt;567&lt;/rec-number&gt;&lt;foreign-keys&gt;&lt;key app="EN" db-id="ae9rewfrpdttrheppfxxv0p4950wpd25r09x" timestamp="1521063224"&gt;567&lt;/key&gt;&lt;/foreign-keys&gt;&lt;ref-type name="Journal Article"&gt;17&lt;/ref-type&gt;&lt;contributors&gt;&lt;authors&gt;&lt;author&gt;Delhanty, Patric J. D.&lt;/author&gt;&lt;author&gt;Eerden, Bram C. J.&lt;/author&gt;&lt;author&gt;Leeuwen, Johannes P. T. M.&lt;/author&gt;&lt;/authors&gt;&lt;/contributors&gt;&lt;titles&gt;&lt;title&gt;Ghrelin and bone&lt;/title&gt;&lt;secondary-title&gt;BioFactors&lt;/secondary-title&gt;&lt;/titles&gt;&lt;periodical&gt;&lt;full-title&gt;BioFactors&lt;/full-title&gt;&lt;/periodical&gt;&lt;pages&gt;41-48&lt;/pages&gt;&lt;volume&gt;40&lt;/volume&gt;&lt;keywords&gt;&lt;keyword&gt;Ghrelin&lt;/keyword&gt;&lt;keyword&gt;Bone&lt;/keyword&gt;&lt;keyword&gt;Osteoblast&lt;/keyword&gt;&lt;keyword&gt;Nutrition&lt;/keyword&gt;&lt;keyword&gt;Leptin&lt;/keyword&gt;&lt;/keywords&gt;&lt;dates&gt;&lt;year&gt;2014&lt;/year&gt;&lt;/dates&gt;&lt;isbn&gt;0951-6433&lt;/isbn&gt;&lt;urls&gt;&lt;/urls&gt;&lt;electronic-resource-num&gt;10.1002/biof.1120&lt;/electronic-resource-num&gt;&lt;/record&gt;&lt;/Cite&gt;&lt;/EndNote&gt;</w:instrText>
      </w:r>
      <w:r w:rsidR="00C27102">
        <w:rPr>
          <w:rFonts w:ascii="Arial" w:hAnsi="Arial"/>
          <w:b w:val="0"/>
          <w:color w:val="auto"/>
          <w:sz w:val="22"/>
          <w:szCs w:val="22"/>
        </w:rPr>
        <w:fldChar w:fldCharType="separate"/>
      </w:r>
      <w:r w:rsidR="00C27102">
        <w:rPr>
          <w:rFonts w:ascii="Arial" w:hAnsi="Arial"/>
          <w:b w:val="0"/>
          <w:noProof/>
          <w:color w:val="auto"/>
          <w:sz w:val="22"/>
          <w:szCs w:val="22"/>
        </w:rPr>
        <w:t>(Delhanty et al., 2014)</w:t>
      </w:r>
      <w:r w:rsidR="00C27102">
        <w:rPr>
          <w:rFonts w:ascii="Arial" w:hAnsi="Arial"/>
          <w:b w:val="0"/>
          <w:color w:val="auto"/>
          <w:sz w:val="22"/>
          <w:szCs w:val="22"/>
        </w:rPr>
        <w:fldChar w:fldCharType="end"/>
      </w:r>
      <w:r w:rsidR="00C33B95">
        <w:rPr>
          <w:b w:val="0"/>
          <w:color w:val="auto"/>
        </w:rPr>
        <w:t xml:space="preserve"> </w:t>
      </w:r>
      <w:r w:rsidRPr="00CE3528">
        <w:rPr>
          <w:b w:val="0"/>
          <w:color w:val="auto"/>
        </w:rPr>
        <w:t xml:space="preserve"> </w:t>
      </w:r>
    </w:p>
    <w:p w14:paraId="69DAA454" w14:textId="77777777" w:rsidR="0015459C" w:rsidRDefault="0015459C" w:rsidP="0015459C"/>
    <w:p w14:paraId="03DF107F" w14:textId="77777777" w:rsidR="00C47A56" w:rsidRDefault="00C47A56" w:rsidP="0015459C"/>
    <w:p w14:paraId="1F8893C8" w14:textId="77777777" w:rsidR="00284E0F" w:rsidRPr="00CE3528" w:rsidRDefault="00284E0F" w:rsidP="0015459C"/>
    <w:p w14:paraId="559A299C" w14:textId="77777777" w:rsidR="00146266" w:rsidRDefault="00A90BA7" w:rsidP="0010745D">
      <w:pPr>
        <w:spacing w:line="480" w:lineRule="auto"/>
        <w:jc w:val="both"/>
        <w:rPr>
          <w:rFonts w:ascii="Arial" w:hAnsi="Arial"/>
          <w:color w:val="000000" w:themeColor="text1"/>
        </w:rPr>
      </w:pPr>
      <w:r w:rsidRPr="001267B8">
        <w:rPr>
          <w:rFonts w:ascii="Arial" w:hAnsi="Arial"/>
          <w:color w:val="000000" w:themeColor="text1"/>
        </w:rPr>
        <w:t>Hormones secreted from the endocrine pancreas including insulin, glucagon, amylin and PP (pancreatic polypeptide) are crossroads of many pathways of metabolic homeostasis.</w:t>
      </w:r>
      <w:r w:rsidR="00403409">
        <w:rPr>
          <w:rFonts w:ascii="Arial" w:hAnsi="Arial"/>
          <w:color w:val="000000" w:themeColor="text1"/>
        </w:rPr>
        <w:t xml:space="preserve"> </w:t>
      </w:r>
      <w:r w:rsidR="0015459C" w:rsidRPr="00403409">
        <w:rPr>
          <w:rFonts w:ascii="Arial" w:hAnsi="Arial"/>
          <w:color w:val="000000" w:themeColor="text1"/>
        </w:rPr>
        <w:t>Secretion of these hormones are influenced by food intake and body fat, which in turn</w:t>
      </w:r>
      <w:r w:rsidR="0015459C" w:rsidRPr="00284E0F">
        <w:rPr>
          <w:rFonts w:ascii="Arial" w:hAnsi="Arial"/>
          <w:b/>
          <w:color w:val="000000" w:themeColor="text1"/>
        </w:rPr>
        <w:t xml:space="preserve"> </w:t>
      </w:r>
      <w:r w:rsidR="0015459C" w:rsidRPr="00403409">
        <w:rPr>
          <w:rFonts w:ascii="Arial" w:hAnsi="Arial"/>
          <w:color w:val="000000" w:themeColor="text1"/>
        </w:rPr>
        <w:t xml:space="preserve">regulate caloric intake and body weight through </w:t>
      </w:r>
      <w:r w:rsidR="00C47A56" w:rsidRPr="00403409">
        <w:rPr>
          <w:rFonts w:ascii="Arial" w:hAnsi="Arial"/>
          <w:color w:val="000000" w:themeColor="text1"/>
        </w:rPr>
        <w:t xml:space="preserve">various </w:t>
      </w:r>
      <w:r w:rsidR="0015459C" w:rsidRPr="00403409">
        <w:rPr>
          <w:rFonts w:ascii="Arial" w:hAnsi="Arial"/>
          <w:color w:val="000000" w:themeColor="text1"/>
        </w:rPr>
        <w:t xml:space="preserve">peripheral and central </w:t>
      </w:r>
      <w:r w:rsidR="0015459C" w:rsidRPr="00403409">
        <w:rPr>
          <w:rFonts w:ascii="Arial" w:hAnsi="Arial"/>
          <w:color w:val="000000" w:themeColor="text1"/>
        </w:rPr>
        <w:lastRenderedPageBreak/>
        <w:t xml:space="preserve">mechanisms </w:t>
      </w:r>
      <w:r w:rsidR="00C27102" w:rsidRPr="00403409">
        <w:rPr>
          <w:rFonts w:ascii="Arial" w:hAnsi="Arial"/>
          <w:color w:val="000000" w:themeColor="text1"/>
        </w:rPr>
        <w:fldChar w:fldCharType="begin"/>
      </w:r>
      <w:r w:rsidR="0000415D" w:rsidRPr="00403409">
        <w:rPr>
          <w:rFonts w:ascii="Arial" w:hAnsi="Arial"/>
          <w:color w:val="000000" w:themeColor="text1"/>
        </w:rPr>
        <w:instrText xml:space="preserve"> ADDIN EN.CITE &lt;EndNote&gt;&lt;Cite&gt;&lt;Author&gt;Woods&lt;/Author&gt;&lt;Year&gt;2006&lt;/Year&gt;&lt;RecNum&gt;579&lt;/RecNum&gt;&lt;DisplayText&gt;(Woods et al., 2006)&lt;/DisplayText&gt;&lt;record&gt;&lt;rec-number&gt;579&lt;/rec-number&gt;&lt;foreign-keys&gt;&lt;key app="EN" db-id="ae9rewfrpdttrheppfxxv0p4950wpd25r09x" timestamp="1521081098"&gt;579&lt;/key&gt;&lt;/foreign-keys&gt;&lt;ref-type name="Journal Article"&gt;17&lt;/ref-type&gt;&lt;contributors&gt;&lt;authors&gt;&lt;author&gt;Woods, S. C.&lt;/author&gt;&lt;author&gt;Lutz, T. A.&lt;/author&gt;&lt;author&gt;Geary, N.&lt;/author&gt;&lt;author&gt;Langhans, W.&lt;/author&gt;&lt;/authors&gt;&lt;/contributors&gt;&lt;titles&gt;&lt;title&gt;Pancreatic signals controlling food intake; insulin, glucagon and amylin&lt;/title&gt;&lt;secondary-title&gt;Philosophical Transactions of the Royal Society B&lt;/secondary-title&gt;&lt;/titles&gt;&lt;periodical&gt;&lt;full-title&gt;Philosophical Transactions of the Royal Society B&lt;/full-title&gt;&lt;/periodical&gt;&lt;pages&gt;1219-1235&lt;/pages&gt;&lt;volume&gt;361&lt;/volume&gt;&lt;keywords&gt;&lt;keyword&gt;Medicine&lt;/keyword&gt;&lt;keyword&gt;Sciences (General)&lt;/keyword&gt;&lt;keyword&gt;Biology&lt;/keyword&gt;&lt;/keywords&gt;&lt;dates&gt;&lt;year&gt;2006&lt;/year&gt;&lt;/dates&gt;&lt;isbn&gt;0962-8436&lt;/isbn&gt;&lt;urls&gt;&lt;/urls&gt;&lt;electronic-resource-num&gt;10.1098/rstb.2006.1858&lt;/electronic-resource-num&gt;&lt;/record&gt;&lt;/Cite&gt;&lt;/EndNote&gt;</w:instrText>
      </w:r>
      <w:r w:rsidR="00C27102" w:rsidRPr="00403409">
        <w:rPr>
          <w:rFonts w:ascii="Arial" w:hAnsi="Arial"/>
          <w:color w:val="000000" w:themeColor="text1"/>
        </w:rPr>
        <w:fldChar w:fldCharType="separate"/>
      </w:r>
      <w:r w:rsidR="00C27102" w:rsidRPr="00403409">
        <w:rPr>
          <w:rFonts w:ascii="Arial" w:hAnsi="Arial"/>
          <w:noProof/>
          <w:color w:val="000000" w:themeColor="text1"/>
        </w:rPr>
        <w:t>(Woods et al., 2006)</w:t>
      </w:r>
      <w:r w:rsidR="00C27102" w:rsidRPr="00403409">
        <w:rPr>
          <w:rFonts w:ascii="Arial" w:hAnsi="Arial"/>
          <w:color w:val="000000" w:themeColor="text1"/>
        </w:rPr>
        <w:fldChar w:fldCharType="end"/>
      </w:r>
      <w:r w:rsidR="0015459C" w:rsidRPr="00403409">
        <w:rPr>
          <w:rFonts w:ascii="Arial" w:hAnsi="Arial"/>
          <w:color w:val="000000" w:themeColor="text1"/>
        </w:rPr>
        <w:t xml:space="preserve">. </w:t>
      </w:r>
      <w:r w:rsidR="0015459C" w:rsidRPr="0010745D">
        <w:rPr>
          <w:rFonts w:ascii="Arial" w:hAnsi="Arial"/>
          <w:b/>
          <w:color w:val="000000" w:themeColor="text1"/>
        </w:rPr>
        <w:t>Insulin</w:t>
      </w:r>
      <w:r w:rsidR="0015459C" w:rsidRPr="00403409">
        <w:rPr>
          <w:rFonts w:ascii="Arial" w:hAnsi="Arial"/>
          <w:color w:val="000000" w:themeColor="text1"/>
        </w:rPr>
        <w:t>, like leptin, is a major regulator of long-term</w:t>
      </w:r>
      <w:r w:rsidR="0015459C" w:rsidRPr="00284E0F">
        <w:rPr>
          <w:rFonts w:ascii="Arial" w:hAnsi="Arial"/>
          <w:b/>
          <w:color w:val="000000" w:themeColor="text1"/>
        </w:rPr>
        <w:t xml:space="preserve"> </w:t>
      </w:r>
      <w:r w:rsidR="0015459C" w:rsidRPr="00403409">
        <w:rPr>
          <w:rFonts w:ascii="Arial" w:hAnsi="Arial"/>
          <w:color w:val="000000" w:themeColor="text1"/>
        </w:rPr>
        <w:t xml:space="preserve">energy balance </w:t>
      </w:r>
      <w:r w:rsidR="00C27102" w:rsidRPr="00403409">
        <w:rPr>
          <w:rFonts w:ascii="Arial" w:hAnsi="Arial"/>
          <w:color w:val="000000" w:themeColor="text1"/>
        </w:rPr>
        <w:fldChar w:fldCharType="begin"/>
      </w:r>
      <w:r w:rsidR="0000415D" w:rsidRPr="00403409">
        <w:rPr>
          <w:rFonts w:ascii="Arial" w:hAnsi="Arial"/>
          <w:color w:val="000000" w:themeColor="text1"/>
        </w:rPr>
        <w:instrText xml:space="preserve"> ADDIN EN.CITE &lt;EndNote&gt;&lt;Cite&gt;&lt;Author&gt;Havel&lt;/Author&gt;&lt;Year&gt;2001&lt;/Year&gt;&lt;RecNum&gt;135&lt;/RecNum&gt;&lt;DisplayText&gt;(Havel, 2001, Porte et al., 2002)&lt;/DisplayText&gt;&lt;record&gt;&lt;rec-number&gt;135&lt;/rec-number&gt;&lt;foreign-keys&gt;&lt;key app="EN" db-id="ae9rewfrpdttrheppfxxv0p4950wpd25r09x" timestamp="1520657921"&gt;135&lt;/key&gt;&lt;/foreign-keys&gt;&lt;ref-type name="Journal Article"&gt;17&lt;/ref-type&gt;&lt;contributors&gt;&lt;authors&gt;&lt;author&gt;Havel, P. J.&lt;/author&gt;&lt;/authors&gt;&lt;/contributors&gt;&lt;titles&gt;&lt;title&gt;Peripheral signals conveying metabolic information to the brain: Short-term and long-term regulation of food intake and energy homeostasis&lt;/title&gt;&lt;secondary-title&gt;Experimental Biology and Medicine&lt;/secondary-title&gt;&lt;/titles&gt;&lt;periodical&gt;&lt;full-title&gt;Experimental Biology and Medicine&lt;/full-title&gt;&lt;/periodical&gt;&lt;pages&gt;963-977&lt;/pages&gt;&lt;volume&gt;226&lt;/volume&gt;&lt;number&gt;11&lt;/number&gt;&lt;dates&gt;&lt;year&gt;2001&lt;/year&gt;&lt;pub-dates&gt;&lt;date&gt;Dec&lt;/date&gt;&lt;/pub-dates&gt;&lt;/dates&gt;&lt;isbn&gt;1535-3702&lt;/isbn&gt;&lt;accession-num&gt;WOS:000172761200002&lt;/accession-num&gt;&lt;urls&gt;&lt;related-urls&gt;&lt;url&gt;&amp;lt;Go to ISI&amp;gt;://WOS:000172761200002&lt;/url&gt;&lt;/related-urls&gt;&lt;/urls&gt;&lt;/record&gt;&lt;/Cite&gt;&lt;Cite&gt;&lt;Author&gt;Porte&lt;/Author&gt;&lt;Year&gt;2002&lt;/Year&gt;&lt;RecNum&gt;580&lt;/RecNum&gt;&lt;record&gt;&lt;rec-number&gt;580&lt;/rec-number&gt;&lt;foreign-keys&gt;&lt;key app="EN" db-id="ae9rewfrpdttrheppfxxv0p4950wpd25r09x" timestamp="1521082484"&gt;580&lt;/key&gt;&lt;/foreign-keys&gt;&lt;ref-type name="Journal Article"&gt;17&lt;/ref-type&gt;&lt;contributors&gt;&lt;authors&gt;&lt;author&gt;Porte, D.&lt;/author&gt;&lt;author&gt;Baskin, D. G.&lt;/author&gt;&lt;author&gt;Schwartz, Mw&lt;/author&gt;&lt;/authors&gt;&lt;/contributors&gt;&lt;titles&gt;&lt;title&gt;Leptin and insulin action in the central nervous system&lt;/title&gt;&lt;secondary-title&gt;Nutrition Reviews &lt;/secondary-title&gt;&lt;/titles&gt;&lt;periodical&gt;&lt;full-title&gt;Nutrition Reviews&lt;/full-title&gt;&lt;/periodical&gt;&lt;pages&gt;S20-S29&lt;/pages&gt;&lt;volume&gt;60&lt;/volume&gt;&lt;number&gt;10&lt;/number&gt;&lt;dates&gt;&lt;year&gt;2002&lt;/year&gt;&lt;/dates&gt;&lt;isbn&gt;0029-6643&lt;/isbn&gt;&lt;urls&gt;&lt;/urls&gt;&lt;/record&gt;&lt;/Cite&gt;&lt;/EndNote&gt;</w:instrText>
      </w:r>
      <w:r w:rsidR="00C27102" w:rsidRPr="00403409">
        <w:rPr>
          <w:rFonts w:ascii="Arial" w:hAnsi="Arial"/>
          <w:color w:val="000000" w:themeColor="text1"/>
        </w:rPr>
        <w:fldChar w:fldCharType="separate"/>
      </w:r>
      <w:r w:rsidR="00C27102" w:rsidRPr="00403409">
        <w:rPr>
          <w:rFonts w:ascii="Arial" w:hAnsi="Arial"/>
          <w:noProof/>
          <w:color w:val="000000" w:themeColor="text1"/>
        </w:rPr>
        <w:t xml:space="preserve">(Havel, 2001, Porte </w:t>
      </w:r>
      <w:r w:rsidR="001D713A" w:rsidRPr="00403409">
        <w:rPr>
          <w:rFonts w:ascii="Arial" w:hAnsi="Arial"/>
          <w:noProof/>
          <w:color w:val="000000" w:themeColor="text1"/>
        </w:rPr>
        <w:t xml:space="preserve">Jr </w:t>
      </w:r>
      <w:r w:rsidR="00C27102" w:rsidRPr="00403409">
        <w:rPr>
          <w:rFonts w:ascii="Arial" w:hAnsi="Arial"/>
          <w:noProof/>
          <w:color w:val="000000" w:themeColor="text1"/>
        </w:rPr>
        <w:t>et al., 2002)</w:t>
      </w:r>
      <w:r w:rsidR="00C27102" w:rsidRPr="00403409">
        <w:rPr>
          <w:rFonts w:ascii="Arial" w:hAnsi="Arial"/>
          <w:color w:val="000000" w:themeColor="text1"/>
        </w:rPr>
        <w:fldChar w:fldCharType="end"/>
      </w:r>
      <w:r w:rsidR="000D2288" w:rsidRPr="00403409">
        <w:rPr>
          <w:rFonts w:ascii="Arial" w:hAnsi="Arial"/>
          <w:color w:val="000000" w:themeColor="text1"/>
        </w:rPr>
        <w:t xml:space="preserve">. </w:t>
      </w:r>
      <w:r w:rsidR="0015459C" w:rsidRPr="00403409">
        <w:rPr>
          <w:rFonts w:ascii="Arial" w:hAnsi="Arial"/>
          <w:color w:val="000000" w:themeColor="text1"/>
        </w:rPr>
        <w:t>Ghrelin regulates insulin secretion by increasing GI motility and directly supressing insulin secretion by pancreas</w:t>
      </w:r>
      <w:r w:rsidR="000D2288" w:rsidRPr="00403409">
        <w:rPr>
          <w:rFonts w:ascii="Arial" w:hAnsi="Arial"/>
          <w:color w:val="000000" w:themeColor="text1"/>
        </w:rPr>
        <w:t xml:space="preserve"> </w:t>
      </w:r>
      <w:r w:rsidR="00C27102" w:rsidRPr="00403409">
        <w:rPr>
          <w:rFonts w:ascii="Arial" w:hAnsi="Arial"/>
          <w:color w:val="000000" w:themeColor="text1"/>
        </w:rPr>
        <w:fldChar w:fldCharType="begin">
          <w:fldData xml:space="preserve">PEVuZE5vdGU+PENpdGU+PEF1dGhvcj5EZXpha2k8L0F1dGhvcj48WWVhcj4yMDA0PC9ZZWFyPjxS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</w:fldData>
        </w:fldChar>
      </w:r>
      <w:r w:rsidR="0000415D" w:rsidRPr="00403409">
        <w:rPr>
          <w:rFonts w:ascii="Arial" w:hAnsi="Arial"/>
          <w:color w:val="000000" w:themeColor="text1"/>
        </w:rPr>
        <w:instrText xml:space="preserve"> ADDIN EN.CITE </w:instrText>
      </w:r>
      <w:r w:rsidR="0000415D" w:rsidRPr="00403409">
        <w:rPr>
          <w:rFonts w:ascii="Arial" w:hAnsi="Arial"/>
          <w:color w:val="000000" w:themeColor="text1"/>
        </w:rPr>
        <w:fldChar w:fldCharType="begin">
          <w:fldData xml:space="preserve">PEVuZE5vdGU+PENpdGU+PEF1dGhvcj5EZXpha2k8L0F1dGhvcj48WWVhcj4yMDA0PC9ZZWFyPjxS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</w:fldData>
        </w:fldChar>
      </w:r>
      <w:r w:rsidR="0000415D" w:rsidRPr="00403409">
        <w:rPr>
          <w:rFonts w:ascii="Arial" w:hAnsi="Arial"/>
          <w:color w:val="000000" w:themeColor="text1"/>
        </w:rPr>
        <w:instrText xml:space="preserve"> ADDIN EN.CITE.DATA </w:instrText>
      </w:r>
      <w:r w:rsidR="0000415D" w:rsidRPr="00403409">
        <w:rPr>
          <w:rFonts w:ascii="Arial" w:hAnsi="Arial"/>
          <w:color w:val="000000" w:themeColor="text1"/>
        </w:rPr>
      </w:r>
      <w:r w:rsidR="0000415D" w:rsidRPr="00403409">
        <w:rPr>
          <w:rFonts w:ascii="Arial" w:hAnsi="Arial"/>
          <w:color w:val="000000" w:themeColor="text1"/>
        </w:rPr>
        <w:fldChar w:fldCharType="end"/>
      </w:r>
      <w:r w:rsidR="00C27102" w:rsidRPr="00403409">
        <w:rPr>
          <w:rFonts w:ascii="Arial" w:hAnsi="Arial"/>
          <w:color w:val="000000" w:themeColor="text1"/>
        </w:rPr>
      </w:r>
      <w:r w:rsidR="00C27102" w:rsidRPr="00403409">
        <w:rPr>
          <w:rFonts w:ascii="Arial" w:hAnsi="Arial"/>
          <w:color w:val="000000" w:themeColor="text1"/>
        </w:rPr>
        <w:fldChar w:fldCharType="separate"/>
      </w:r>
      <w:r w:rsidR="00C27102" w:rsidRPr="00403409">
        <w:rPr>
          <w:rFonts w:ascii="Arial" w:hAnsi="Arial"/>
          <w:noProof/>
          <w:color w:val="000000" w:themeColor="text1"/>
        </w:rPr>
        <w:t>(Dezaki et al., 2004, Wang et al., 2010)</w:t>
      </w:r>
      <w:r w:rsidR="00C27102" w:rsidRPr="00403409">
        <w:rPr>
          <w:rFonts w:ascii="Arial" w:hAnsi="Arial"/>
          <w:color w:val="000000" w:themeColor="text1"/>
        </w:rPr>
        <w:fldChar w:fldCharType="end"/>
      </w:r>
      <w:r w:rsidR="000D2288" w:rsidRPr="00403409">
        <w:rPr>
          <w:rFonts w:ascii="Arial" w:hAnsi="Arial"/>
          <w:color w:val="000000" w:themeColor="text1"/>
        </w:rPr>
        <w:t>.</w:t>
      </w:r>
      <w:r w:rsidR="0015459C" w:rsidRPr="00403409">
        <w:rPr>
          <w:rFonts w:ascii="Arial" w:hAnsi="Arial"/>
          <w:color w:val="000000" w:themeColor="text1"/>
        </w:rPr>
        <w:t xml:space="preserve"> During fasting circulating insulin concentrations are low (basal condition) and as </w:t>
      </w:r>
      <w:r w:rsidR="0015459C" w:rsidRPr="0010745D">
        <w:rPr>
          <w:rFonts w:ascii="Arial" w:hAnsi="Arial"/>
          <w:color w:val="000000" w:themeColor="text1"/>
        </w:rPr>
        <w:t xml:space="preserve">eating commences, </w:t>
      </w:r>
      <w:r w:rsidR="00865786" w:rsidRPr="0010745D">
        <w:rPr>
          <w:rFonts w:ascii="Arial" w:hAnsi="Arial"/>
          <w:color w:val="000000" w:themeColor="text1"/>
        </w:rPr>
        <w:t xml:space="preserve">plasma </w:t>
      </w:r>
      <w:r w:rsidR="0015459C" w:rsidRPr="0010745D">
        <w:rPr>
          <w:rFonts w:ascii="Arial" w:hAnsi="Arial"/>
          <w:color w:val="000000" w:themeColor="text1"/>
        </w:rPr>
        <w:t xml:space="preserve">insulin concentrations rise primarily to regulate blood glucose concentrations </w:t>
      </w:r>
      <w:r w:rsidR="00C27102" w:rsidRPr="0010745D">
        <w:rPr>
          <w:rFonts w:ascii="Arial" w:hAnsi="Arial"/>
          <w:color w:val="000000" w:themeColor="text1"/>
        </w:rPr>
        <w:fldChar w:fldCharType="begin">
          <w:fldData xml:space="preserve">PEVuZE5vdGU+PENpdGU+PEF1dGhvcj5IZW5xdWluPC9BdXRob3I+PFllYXI+MjAwNjwvWWVhcj48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</w:fldData>
        </w:fldChar>
      </w:r>
      <w:r w:rsidR="00C27102" w:rsidRPr="0010745D">
        <w:rPr>
          <w:rFonts w:ascii="Arial" w:hAnsi="Arial"/>
          <w:color w:val="000000" w:themeColor="text1"/>
        </w:rPr>
        <w:instrText xml:space="preserve"> ADDIN EN.CITE </w:instrText>
      </w:r>
      <w:r w:rsidR="00C27102" w:rsidRPr="0010745D">
        <w:rPr>
          <w:rFonts w:ascii="Arial" w:hAnsi="Arial"/>
          <w:color w:val="000000" w:themeColor="text1"/>
        </w:rPr>
        <w:fldChar w:fldCharType="begin">
          <w:fldData xml:space="preserve">PEVuZE5vdGU+PENpdGU+PEF1dGhvcj5IZW5xdWluPC9BdXRob3I+PFllYXI+MjAwNjwvWWVhcj48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</w:fldData>
        </w:fldChar>
      </w:r>
      <w:r w:rsidR="00C27102" w:rsidRPr="0010745D">
        <w:rPr>
          <w:rFonts w:ascii="Arial" w:hAnsi="Arial"/>
          <w:color w:val="000000" w:themeColor="text1"/>
        </w:rPr>
        <w:instrText xml:space="preserve"> ADDIN EN.CITE.DATA </w:instrText>
      </w:r>
      <w:r w:rsidR="00C27102" w:rsidRPr="0010745D">
        <w:rPr>
          <w:rFonts w:ascii="Arial" w:hAnsi="Arial"/>
          <w:color w:val="000000" w:themeColor="text1"/>
        </w:rPr>
      </w:r>
      <w:r w:rsidR="00C27102" w:rsidRPr="0010745D">
        <w:rPr>
          <w:rFonts w:ascii="Arial" w:hAnsi="Arial"/>
          <w:color w:val="000000" w:themeColor="text1"/>
        </w:rPr>
        <w:fldChar w:fldCharType="end"/>
      </w:r>
      <w:r w:rsidR="00C27102" w:rsidRPr="0010745D">
        <w:rPr>
          <w:rFonts w:ascii="Arial" w:hAnsi="Arial"/>
          <w:color w:val="000000" w:themeColor="text1"/>
        </w:rPr>
      </w:r>
      <w:r w:rsidR="00C27102" w:rsidRPr="0010745D">
        <w:rPr>
          <w:rFonts w:ascii="Arial" w:hAnsi="Arial"/>
          <w:color w:val="000000" w:themeColor="text1"/>
        </w:rPr>
        <w:fldChar w:fldCharType="separate"/>
      </w:r>
      <w:r w:rsidR="00C27102" w:rsidRPr="0010745D">
        <w:rPr>
          <w:rFonts w:ascii="Arial" w:hAnsi="Arial"/>
          <w:noProof/>
          <w:color w:val="000000" w:themeColor="text1"/>
        </w:rPr>
        <w:t>(Henquin et al., 2006, Oliver et al., 2006)</w:t>
      </w:r>
      <w:r w:rsidR="00C27102" w:rsidRPr="0010745D">
        <w:rPr>
          <w:rFonts w:ascii="Arial" w:hAnsi="Arial"/>
          <w:color w:val="000000" w:themeColor="text1"/>
        </w:rPr>
        <w:fldChar w:fldCharType="end"/>
      </w:r>
      <w:r w:rsidR="00BB3F34" w:rsidRPr="0010745D">
        <w:rPr>
          <w:rFonts w:ascii="Arial" w:hAnsi="Arial"/>
          <w:color w:val="000000" w:themeColor="text1"/>
        </w:rPr>
        <w:t xml:space="preserve">. </w:t>
      </w:r>
      <w:r w:rsidR="0015459C" w:rsidRPr="0010745D">
        <w:rPr>
          <w:rFonts w:ascii="Arial" w:hAnsi="Arial"/>
          <w:color w:val="000000" w:themeColor="text1"/>
        </w:rPr>
        <w:t xml:space="preserve">Glucagon, on the other hand, is the main stimulator for glucose production and secretion from liver. Amylin, co-secreted with insulin by pancreatic β cells, reduces food intake, inhibits pancreatic glucagon and enzyme secretion and enhances insulin function by regulating postprandial plasma glucose concentrations </w:t>
      </w:r>
      <w:r w:rsidR="00C27102" w:rsidRPr="0010745D">
        <w:rPr>
          <w:rFonts w:ascii="Arial" w:hAnsi="Arial"/>
          <w:color w:val="000000" w:themeColor="text1"/>
        </w:rPr>
        <w:fldChar w:fldCharType="begin">
          <w:fldData xml:space="preserve">PEVuZE5vdGU+PENpdGU+PEF1dGhvcj5MdXR6PC9BdXRob3I+PFllYXI+MjAwNjwvWWVhcj48UmVj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</w:fldData>
        </w:fldChar>
      </w:r>
      <w:r w:rsidR="0000415D" w:rsidRPr="0010745D">
        <w:rPr>
          <w:rFonts w:ascii="Arial" w:hAnsi="Arial"/>
          <w:color w:val="000000" w:themeColor="text1"/>
        </w:rPr>
        <w:instrText xml:space="preserve"> ADDIN EN.CITE </w:instrText>
      </w:r>
      <w:r w:rsidR="0000415D" w:rsidRPr="0010745D">
        <w:rPr>
          <w:rFonts w:ascii="Arial" w:hAnsi="Arial"/>
          <w:color w:val="000000" w:themeColor="text1"/>
        </w:rPr>
        <w:fldChar w:fldCharType="begin">
          <w:fldData xml:space="preserve">PEVuZE5vdGU+PENpdGU+PEF1dGhvcj5MdXR6PC9BdXRob3I+PFllYXI+MjAwNjwvWWVhcj48UmVj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</w:fldData>
        </w:fldChar>
      </w:r>
      <w:r w:rsidR="0000415D" w:rsidRPr="0010745D">
        <w:rPr>
          <w:rFonts w:ascii="Arial" w:hAnsi="Arial"/>
          <w:color w:val="000000" w:themeColor="text1"/>
        </w:rPr>
        <w:instrText xml:space="preserve"> ADDIN EN.CITE.DATA </w:instrText>
      </w:r>
      <w:r w:rsidR="0000415D" w:rsidRPr="0010745D">
        <w:rPr>
          <w:rFonts w:ascii="Arial" w:hAnsi="Arial"/>
          <w:color w:val="000000" w:themeColor="text1"/>
        </w:rPr>
      </w:r>
      <w:r w:rsidR="0000415D" w:rsidRPr="0010745D">
        <w:rPr>
          <w:rFonts w:ascii="Arial" w:hAnsi="Arial"/>
          <w:color w:val="000000" w:themeColor="text1"/>
        </w:rPr>
        <w:fldChar w:fldCharType="end"/>
      </w:r>
      <w:r w:rsidR="00C27102" w:rsidRPr="0010745D">
        <w:rPr>
          <w:rFonts w:ascii="Arial" w:hAnsi="Arial"/>
          <w:color w:val="000000" w:themeColor="text1"/>
        </w:rPr>
      </w:r>
      <w:r w:rsidR="00C27102" w:rsidRPr="0010745D">
        <w:rPr>
          <w:rFonts w:ascii="Arial" w:hAnsi="Arial"/>
          <w:color w:val="000000" w:themeColor="text1"/>
        </w:rPr>
        <w:fldChar w:fldCharType="separate"/>
      </w:r>
      <w:r w:rsidR="00C27102" w:rsidRPr="0010745D">
        <w:rPr>
          <w:rFonts w:ascii="Arial" w:hAnsi="Arial"/>
          <w:noProof/>
          <w:color w:val="000000" w:themeColor="text1"/>
        </w:rPr>
        <w:t>(Lutz, 2006, Woods et al., 2006)</w:t>
      </w:r>
      <w:r w:rsidR="00C27102" w:rsidRPr="0010745D">
        <w:rPr>
          <w:rFonts w:ascii="Arial" w:hAnsi="Arial"/>
          <w:color w:val="000000" w:themeColor="text1"/>
        </w:rPr>
        <w:fldChar w:fldCharType="end"/>
      </w:r>
      <w:r w:rsidR="00BB3F34" w:rsidRPr="0010745D">
        <w:rPr>
          <w:rFonts w:ascii="Arial" w:hAnsi="Arial"/>
          <w:color w:val="000000" w:themeColor="text1"/>
        </w:rPr>
        <w:t xml:space="preserve">. </w:t>
      </w:r>
    </w:p>
    <w:p w14:paraId="163B2A3B" w14:textId="77777777" w:rsidR="0010745D" w:rsidRPr="0010745D" w:rsidRDefault="0010745D" w:rsidP="0010745D">
      <w:pPr>
        <w:spacing w:line="480" w:lineRule="auto"/>
        <w:jc w:val="both"/>
        <w:rPr>
          <w:rFonts w:ascii="Arial" w:hAnsi="Arial" w:cs="Calibri"/>
          <w:bCs/>
          <w:color w:val="000000"/>
        </w:rPr>
      </w:pPr>
    </w:p>
    <w:p w14:paraId="76CFC3C4" w14:textId="77777777" w:rsidR="0015459C" w:rsidRPr="00F35DD3" w:rsidRDefault="0015459C" w:rsidP="00F35DD3">
      <w:pPr>
        <w:pStyle w:val="Caption"/>
        <w:spacing w:line="480" w:lineRule="auto"/>
        <w:jc w:val="both"/>
        <w:rPr>
          <w:rFonts w:ascii="Arial" w:hAnsi="Arial"/>
          <w:b w:val="0"/>
          <w:color w:val="000000" w:themeColor="text1"/>
          <w:sz w:val="24"/>
          <w:szCs w:val="24"/>
        </w:rPr>
      </w:pPr>
      <w:r w:rsidRPr="00284E0F">
        <w:rPr>
          <w:rFonts w:ascii="Arial" w:hAnsi="Arial"/>
          <w:b w:val="0"/>
          <w:color w:val="000000" w:themeColor="text1"/>
          <w:sz w:val="24"/>
          <w:szCs w:val="24"/>
        </w:rPr>
        <w:t xml:space="preserve">Unsurprisingly, </w:t>
      </w:r>
      <w:r w:rsidR="00BB3F34" w:rsidRPr="00284E0F">
        <w:rPr>
          <w:rFonts w:ascii="Arial" w:hAnsi="Arial"/>
          <w:b w:val="0"/>
          <w:color w:val="000000" w:themeColor="text1"/>
          <w:sz w:val="24"/>
          <w:szCs w:val="24"/>
        </w:rPr>
        <w:t xml:space="preserve">in overnight fasted young and aged mice </w:t>
      </w:r>
      <w:r w:rsidRPr="00284E0F">
        <w:rPr>
          <w:rFonts w:ascii="Arial" w:hAnsi="Arial"/>
          <w:b w:val="0"/>
          <w:color w:val="000000" w:themeColor="text1"/>
          <w:sz w:val="24"/>
          <w:szCs w:val="24"/>
        </w:rPr>
        <w:t xml:space="preserve">serum insulin concentrations were low at 12:00 compared with those in ad-lib fed young and aged mice. </w:t>
      </w:r>
      <w:r w:rsidR="0010745D">
        <w:rPr>
          <w:rFonts w:ascii="Arial" w:hAnsi="Arial"/>
          <w:b w:val="0"/>
          <w:color w:val="000000" w:themeColor="text1"/>
          <w:sz w:val="24"/>
          <w:szCs w:val="24"/>
        </w:rPr>
        <w:t>As shown in Figure 10</w:t>
      </w:r>
      <w:r w:rsidR="00E8702B">
        <w:rPr>
          <w:rFonts w:ascii="Arial" w:hAnsi="Arial"/>
          <w:b w:val="0"/>
          <w:color w:val="000000" w:themeColor="text1"/>
          <w:sz w:val="24"/>
          <w:szCs w:val="24"/>
        </w:rPr>
        <w:t>,</w:t>
      </w:r>
      <w:r w:rsidR="0010745D">
        <w:rPr>
          <w:rFonts w:ascii="Arial" w:hAnsi="Arial"/>
          <w:b w:val="0"/>
          <w:color w:val="000000" w:themeColor="text1"/>
          <w:sz w:val="24"/>
          <w:szCs w:val="24"/>
        </w:rPr>
        <w:t xml:space="preserve"> cephalic insulin secretion </w:t>
      </w:r>
      <w:r w:rsidR="00E8702B">
        <w:rPr>
          <w:rFonts w:ascii="Arial" w:hAnsi="Arial"/>
          <w:b w:val="0"/>
          <w:color w:val="000000" w:themeColor="text1"/>
          <w:sz w:val="24"/>
          <w:szCs w:val="24"/>
        </w:rPr>
        <w:t xml:space="preserve">initiated by signals from the brain </w:t>
      </w:r>
      <w:r w:rsidR="00102F59">
        <w:rPr>
          <w:rFonts w:ascii="Arial" w:hAnsi="Arial"/>
          <w:b w:val="0"/>
          <w:color w:val="000000" w:themeColor="text1"/>
          <w:sz w:val="24"/>
          <w:szCs w:val="24"/>
        </w:rPr>
        <w:t xml:space="preserve">begins 10-15min before the </w:t>
      </w:r>
      <w:r w:rsidR="00F671D1">
        <w:rPr>
          <w:rFonts w:ascii="Arial" w:hAnsi="Arial"/>
          <w:b w:val="0"/>
          <w:color w:val="000000" w:themeColor="text1"/>
          <w:sz w:val="24"/>
          <w:szCs w:val="24"/>
        </w:rPr>
        <w:t xml:space="preserve">anticipated </w:t>
      </w:r>
      <w:r w:rsidR="00102F59">
        <w:rPr>
          <w:rFonts w:ascii="Arial" w:hAnsi="Arial"/>
          <w:b w:val="0"/>
          <w:color w:val="000000" w:themeColor="text1"/>
          <w:sz w:val="24"/>
          <w:szCs w:val="24"/>
        </w:rPr>
        <w:t>meal</w:t>
      </w:r>
      <w:r w:rsidR="002A5D3F">
        <w:rPr>
          <w:rFonts w:ascii="Arial" w:hAnsi="Arial"/>
          <w:b w:val="0"/>
          <w:color w:val="000000" w:themeColor="text1"/>
          <w:sz w:val="24"/>
          <w:szCs w:val="24"/>
        </w:rPr>
        <w:t>,</w:t>
      </w:r>
      <w:r w:rsidR="00F671D1">
        <w:rPr>
          <w:rFonts w:ascii="Arial" w:hAnsi="Arial"/>
          <w:b w:val="0"/>
          <w:color w:val="000000" w:themeColor="text1"/>
          <w:sz w:val="24"/>
          <w:szCs w:val="24"/>
        </w:rPr>
        <w:t xml:space="preserve"> </w:t>
      </w:r>
      <w:r w:rsidR="00385D46">
        <w:rPr>
          <w:rFonts w:ascii="Arial" w:hAnsi="Arial"/>
          <w:b w:val="0"/>
          <w:color w:val="000000" w:themeColor="text1"/>
          <w:sz w:val="24"/>
          <w:szCs w:val="24"/>
        </w:rPr>
        <w:t xml:space="preserve">and as eating occurs </w:t>
      </w:r>
      <w:r w:rsidR="0018059B">
        <w:rPr>
          <w:rFonts w:ascii="Arial" w:hAnsi="Arial"/>
          <w:b w:val="0"/>
          <w:color w:val="000000" w:themeColor="text1"/>
          <w:sz w:val="24"/>
          <w:szCs w:val="24"/>
        </w:rPr>
        <w:t xml:space="preserve">plasma insulin concentrations rise further. </w:t>
      </w:r>
      <w:r w:rsidR="002241FC">
        <w:rPr>
          <w:rFonts w:ascii="Arial" w:hAnsi="Arial"/>
          <w:b w:val="0"/>
          <w:color w:val="000000" w:themeColor="text1"/>
          <w:sz w:val="24"/>
          <w:szCs w:val="24"/>
        </w:rPr>
        <w:t>Cephalic insulin secretion is essential for</w:t>
      </w:r>
      <w:r w:rsidR="002A5D3F">
        <w:rPr>
          <w:rFonts w:ascii="Arial" w:hAnsi="Arial"/>
          <w:b w:val="0"/>
          <w:color w:val="000000" w:themeColor="text1"/>
          <w:sz w:val="24"/>
          <w:szCs w:val="24"/>
        </w:rPr>
        <w:t xml:space="preserve"> the efficient disposal of absorbed glucose </w:t>
      </w:r>
      <w:r w:rsidR="002A5D3F" w:rsidRPr="002A5D3F">
        <w:rPr>
          <w:rFonts w:ascii="Arial" w:hAnsi="Arial" w:cs="Lucida Grande"/>
          <w:b w:val="0"/>
          <w:color w:val="auto"/>
          <w:sz w:val="24"/>
          <w:szCs w:val="24"/>
        </w:rPr>
        <w:fldChar w:fldCharType="begin"/>
      </w:r>
      <w:r w:rsidR="002A5D3F" w:rsidRPr="002A5D3F">
        <w:rPr>
          <w:rFonts w:ascii="Arial" w:hAnsi="Arial" w:cs="Lucida Grande"/>
          <w:b w:val="0"/>
          <w:color w:val="auto"/>
          <w:sz w:val="24"/>
          <w:szCs w:val="24"/>
        </w:rPr>
        <w:instrText xml:space="preserve"> ADDIN EN.CITE &lt;EndNote&gt;&lt;Cite&gt;&lt;Author&gt;Teff&lt;/Author&gt;&lt;Year&gt;2011&lt;/Year&gt;&lt;RecNum&gt;121&lt;/RecNum&gt;&lt;DisplayText&gt;(Teff, 2011)&lt;/DisplayText&gt;&lt;record&gt;&lt;rec-number&gt;121&lt;/rec-number&gt;&lt;foreign-keys&gt;&lt;key app="EN" db-id="ae9rewfrpdttrheppfxxv0p4950wpd25r09x" timestamp="1520657899"&gt;121&lt;/key&gt;&lt;key app="ENWeb" db-id=""&gt;0&lt;/key&gt;&lt;/foreign-keys&gt;&lt;ref-type name="Journal Article"&gt;17&lt;/ref-type&gt;&lt;contributors&gt;&lt;authors&gt;&lt;author&gt;Teff, Karen L.&lt;/author&gt;&lt;/authors&gt;&lt;/contributors&gt;&lt;titles&gt;&lt;title&gt;How neural mediation of anticipatory and compensatory insulin release helps us tolerate food&lt;/title&gt;&lt;secondary-title&gt;Physiology and Behavior&lt;/secondary-title&gt;&lt;/titles&gt;&lt;periodical&gt;&lt;full-title&gt;Physiology and Behavior&lt;/full-title&gt;&lt;/periodical&gt;&lt;pages&gt;44-50&lt;/pages&gt;&lt;volume&gt;103&lt;/volume&gt;&lt;number&gt;1&lt;/number&gt;&lt;keywords&gt;&lt;keyword&gt;Cephalic Phase Insulin&lt;/keyword&gt;&lt;keyword&gt;Insulin Resistance&lt;/keyword&gt;&lt;keyword&gt;Pancreatic Polypeptide&lt;/keyword&gt;&lt;keyword&gt;Vagus Nerve&lt;/keyword&gt;&lt;/keywords&gt;&lt;dates&gt;&lt;year&gt;2011&lt;/year&gt;&lt;/dates&gt;&lt;isbn&gt;00319384&lt;/isbn&gt;&lt;urls&gt;&lt;/urls&gt;&lt;electronic-resource-num&gt;10.1016/j.physbeh.2011.01.012&lt;/electronic-resource-num&gt;&lt;/record&gt;&lt;/Cite&gt;&lt;/EndNote&gt;</w:instrText>
      </w:r>
      <w:r w:rsidR="002A5D3F" w:rsidRPr="002A5D3F">
        <w:rPr>
          <w:rFonts w:ascii="Arial" w:hAnsi="Arial" w:cs="Lucida Grande"/>
          <w:b w:val="0"/>
          <w:color w:val="auto"/>
          <w:sz w:val="24"/>
          <w:szCs w:val="24"/>
        </w:rPr>
        <w:fldChar w:fldCharType="separate"/>
      </w:r>
      <w:r w:rsidR="002A5D3F" w:rsidRPr="002A5D3F">
        <w:rPr>
          <w:rFonts w:ascii="Arial" w:hAnsi="Arial" w:cs="Lucida Grande"/>
          <w:b w:val="0"/>
          <w:noProof/>
          <w:color w:val="auto"/>
          <w:sz w:val="24"/>
          <w:szCs w:val="24"/>
        </w:rPr>
        <w:t>(Teff, 2011)</w:t>
      </w:r>
      <w:r w:rsidR="002A5D3F" w:rsidRPr="002A5D3F">
        <w:rPr>
          <w:rFonts w:ascii="Arial" w:hAnsi="Arial" w:cs="Lucida Grande"/>
          <w:b w:val="0"/>
          <w:color w:val="auto"/>
          <w:sz w:val="24"/>
          <w:szCs w:val="24"/>
        </w:rPr>
        <w:fldChar w:fldCharType="end"/>
      </w:r>
      <w:r w:rsidR="002A5D3F" w:rsidRPr="002A5D3F">
        <w:rPr>
          <w:rFonts w:ascii="Arial" w:hAnsi="Arial" w:cs="Lucida Grande"/>
          <w:b w:val="0"/>
          <w:color w:val="auto"/>
          <w:sz w:val="24"/>
          <w:szCs w:val="24"/>
        </w:rPr>
        <w:t>.</w:t>
      </w:r>
      <w:r w:rsidR="002A5D3F">
        <w:rPr>
          <w:rFonts w:ascii="Arial" w:hAnsi="Arial"/>
          <w:b w:val="0"/>
          <w:color w:val="000000" w:themeColor="text1"/>
          <w:sz w:val="24"/>
          <w:szCs w:val="24"/>
        </w:rPr>
        <w:t xml:space="preserve"> </w:t>
      </w:r>
      <w:r w:rsidR="0018059B">
        <w:rPr>
          <w:rFonts w:ascii="Arial" w:hAnsi="Arial"/>
          <w:b w:val="0"/>
          <w:color w:val="000000" w:themeColor="text1"/>
          <w:sz w:val="24"/>
          <w:szCs w:val="24"/>
        </w:rPr>
        <w:t>In agreement with this, i</w:t>
      </w:r>
      <w:r w:rsidRPr="00284E0F">
        <w:rPr>
          <w:rFonts w:ascii="Arial" w:hAnsi="Arial"/>
          <w:b w:val="0"/>
          <w:color w:val="000000" w:themeColor="text1"/>
          <w:sz w:val="24"/>
          <w:szCs w:val="24"/>
        </w:rPr>
        <w:t>n response to 2-hour feeding serum insulin concentrations significantly increased in young but not aged mice and significantly decreased at 15:00 in both age groups. Ageing is commonly associated with insulinopenia (hypoinsulinism)</w:t>
      </w:r>
      <w:r w:rsidR="00BB3F34">
        <w:rPr>
          <w:rFonts w:ascii="Arial" w:hAnsi="Arial"/>
          <w:b w:val="0"/>
          <w:color w:val="000000" w:themeColor="text1"/>
          <w:sz w:val="24"/>
          <w:szCs w:val="24"/>
        </w:rPr>
        <w:t>,</w:t>
      </w:r>
      <w:r w:rsidRPr="00284E0F">
        <w:rPr>
          <w:rFonts w:ascii="Arial" w:hAnsi="Arial"/>
          <w:b w:val="0"/>
          <w:color w:val="000000" w:themeColor="text1"/>
          <w:sz w:val="24"/>
          <w:szCs w:val="24"/>
        </w:rPr>
        <w:t xml:space="preserve"> as occurs in type </w:t>
      </w:r>
      <w:proofErr w:type="gramStart"/>
      <w:r w:rsidRPr="00284E0F">
        <w:rPr>
          <w:rFonts w:ascii="Arial" w:hAnsi="Arial"/>
          <w:b w:val="0"/>
          <w:color w:val="000000" w:themeColor="text1"/>
          <w:sz w:val="24"/>
          <w:szCs w:val="24"/>
        </w:rPr>
        <w:t>1 diabetes</w:t>
      </w:r>
      <w:proofErr w:type="gramEnd"/>
      <w:r w:rsidRPr="00284E0F">
        <w:rPr>
          <w:rFonts w:ascii="Arial" w:hAnsi="Arial"/>
          <w:b w:val="0"/>
          <w:color w:val="000000" w:themeColor="text1"/>
          <w:sz w:val="24"/>
          <w:szCs w:val="24"/>
        </w:rPr>
        <w:t xml:space="preserve">, resistance to the metabolic actions of insulin, glucose intolerance and altered glucose-insulin axis </w:t>
      </w:r>
      <w:r w:rsidR="00C27102">
        <w:rPr>
          <w:rFonts w:ascii="Arial" w:hAnsi="Arial"/>
          <w:b w:val="0"/>
          <w:color w:val="000000" w:themeColor="text1"/>
          <w:sz w:val="24"/>
          <w:szCs w:val="24"/>
        </w:rPr>
        <w:fldChar w:fldCharType="begin">
          <w:fldData xml:space="preserve">PEVuZE5vdGU+PENpdGU+PEF1dGhvcj5HcnVuZGxlZ2VyPC9BdXRob3I+PFllYXI+MTk4MDwvWWVh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</w:fldData>
        </w:fldChar>
      </w:r>
      <w:r w:rsidR="0000415D">
        <w:rPr>
          <w:rFonts w:ascii="Arial" w:hAnsi="Arial"/>
          <w:b w:val="0"/>
          <w:color w:val="000000" w:themeColor="text1"/>
          <w:sz w:val="24"/>
          <w:szCs w:val="24"/>
        </w:rPr>
        <w:instrText xml:space="preserve"> ADDIN EN.CITE </w:instrText>
      </w:r>
      <w:r w:rsidR="0000415D">
        <w:rPr>
          <w:rFonts w:ascii="Arial" w:hAnsi="Arial"/>
          <w:b w:val="0"/>
          <w:color w:val="000000" w:themeColor="text1"/>
          <w:sz w:val="24"/>
          <w:szCs w:val="24"/>
        </w:rPr>
        <w:fldChar w:fldCharType="begin">
          <w:fldData xml:space="preserve">PEVuZE5vdGU+PENpdGU+PEF1dGhvcj5HcnVuZGxlZ2VyPC9BdXRob3I+PFllYXI+MTk4MDwvWWVh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</w:fldData>
        </w:fldChar>
      </w:r>
      <w:r w:rsidR="0000415D">
        <w:rPr>
          <w:rFonts w:ascii="Arial" w:hAnsi="Arial"/>
          <w:b w:val="0"/>
          <w:color w:val="000000" w:themeColor="text1"/>
          <w:sz w:val="24"/>
          <w:szCs w:val="24"/>
        </w:rPr>
        <w:instrText xml:space="preserve"> ADDIN EN.CITE.DATA </w:instrText>
      </w:r>
      <w:r w:rsidR="0000415D">
        <w:rPr>
          <w:rFonts w:ascii="Arial" w:hAnsi="Arial"/>
          <w:b w:val="0"/>
          <w:color w:val="000000" w:themeColor="text1"/>
          <w:sz w:val="24"/>
          <w:szCs w:val="24"/>
        </w:rPr>
      </w:r>
      <w:r w:rsidR="0000415D">
        <w:rPr>
          <w:rFonts w:ascii="Arial" w:hAnsi="Arial"/>
          <w:b w:val="0"/>
          <w:color w:val="000000" w:themeColor="text1"/>
          <w:sz w:val="24"/>
          <w:szCs w:val="24"/>
        </w:rPr>
        <w:fldChar w:fldCharType="end"/>
      </w:r>
      <w:r w:rsidR="00C27102">
        <w:rPr>
          <w:rFonts w:ascii="Arial" w:hAnsi="Arial"/>
          <w:b w:val="0"/>
          <w:color w:val="000000" w:themeColor="text1"/>
          <w:sz w:val="24"/>
          <w:szCs w:val="24"/>
        </w:rPr>
      </w:r>
      <w:r w:rsidR="00C27102">
        <w:rPr>
          <w:rFonts w:ascii="Arial" w:hAnsi="Arial"/>
          <w:b w:val="0"/>
          <w:color w:val="000000" w:themeColor="text1"/>
          <w:sz w:val="24"/>
          <w:szCs w:val="24"/>
        </w:rPr>
        <w:fldChar w:fldCharType="separate"/>
      </w:r>
      <w:r w:rsidR="00C27102">
        <w:rPr>
          <w:rFonts w:ascii="Arial" w:hAnsi="Arial"/>
          <w:b w:val="0"/>
          <w:noProof/>
          <w:color w:val="000000" w:themeColor="text1"/>
          <w:sz w:val="24"/>
          <w:szCs w:val="24"/>
        </w:rPr>
        <w:t>(Grundleger et al., 1980, Carvalho et al., 1996, Stenholm et al., 2011)</w:t>
      </w:r>
      <w:r w:rsidR="00C27102">
        <w:rPr>
          <w:rFonts w:ascii="Arial" w:hAnsi="Arial"/>
          <w:b w:val="0"/>
          <w:color w:val="000000" w:themeColor="text1"/>
          <w:sz w:val="24"/>
          <w:szCs w:val="24"/>
        </w:rPr>
        <w:fldChar w:fldCharType="end"/>
      </w:r>
      <w:r w:rsidR="00DA3816">
        <w:rPr>
          <w:rFonts w:ascii="Arial" w:hAnsi="Arial"/>
          <w:b w:val="0"/>
          <w:color w:val="000000" w:themeColor="text1"/>
          <w:sz w:val="24"/>
          <w:szCs w:val="24"/>
        </w:rPr>
        <w:t>.</w:t>
      </w:r>
      <w:r w:rsidRPr="00284E0F">
        <w:rPr>
          <w:rFonts w:ascii="Arial" w:hAnsi="Arial"/>
          <w:b w:val="0"/>
          <w:color w:val="000000" w:themeColor="text1"/>
          <w:sz w:val="24"/>
          <w:szCs w:val="24"/>
        </w:rPr>
        <w:t xml:space="preserve"> </w:t>
      </w:r>
      <w:r w:rsidR="006F5863">
        <w:rPr>
          <w:rFonts w:ascii="Arial" w:hAnsi="Arial"/>
          <w:b w:val="0"/>
          <w:color w:val="000000" w:themeColor="text1"/>
          <w:sz w:val="24"/>
          <w:szCs w:val="24"/>
        </w:rPr>
        <w:t>I</w:t>
      </w:r>
      <w:r w:rsidRPr="00284E0F">
        <w:rPr>
          <w:rFonts w:ascii="Arial" w:hAnsi="Arial"/>
          <w:b w:val="0"/>
          <w:color w:val="000000" w:themeColor="text1"/>
          <w:sz w:val="24"/>
          <w:szCs w:val="24"/>
        </w:rPr>
        <w:t xml:space="preserve">n rodent animal models it was shown that pancreatic β cell metabolism was impaired as a consequence of ageing, which was correlated with impaired biphasic insulin secretion </w:t>
      </w:r>
      <w:r w:rsidR="00C27102">
        <w:rPr>
          <w:rFonts w:ascii="Arial" w:hAnsi="Arial"/>
          <w:b w:val="0"/>
          <w:color w:val="000000" w:themeColor="text1"/>
          <w:sz w:val="24"/>
          <w:szCs w:val="24"/>
        </w:rPr>
        <w:fldChar w:fldCharType="begin">
          <w:fldData xml:space="preserve">PEVuZE5vdGU+PENpdGU+PEF1dGhvcj5OYWdhbWF0c3U8L0F1dGhvcj48WWVhcj4xOTk5PC9ZZWFy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</w:fldData>
        </w:fldChar>
      </w:r>
      <w:r w:rsidR="00C27102">
        <w:rPr>
          <w:rFonts w:ascii="Arial" w:hAnsi="Arial"/>
          <w:b w:val="0"/>
          <w:color w:val="000000" w:themeColor="text1"/>
          <w:sz w:val="24"/>
          <w:szCs w:val="24"/>
        </w:rPr>
        <w:instrText xml:space="preserve"> ADDIN EN.CITE </w:instrText>
      </w:r>
      <w:r w:rsidR="00C27102">
        <w:rPr>
          <w:rFonts w:ascii="Arial" w:hAnsi="Arial"/>
          <w:b w:val="0"/>
          <w:color w:val="000000" w:themeColor="text1"/>
          <w:sz w:val="24"/>
          <w:szCs w:val="24"/>
        </w:rPr>
        <w:fldChar w:fldCharType="begin">
          <w:fldData xml:space="preserve">PEVuZE5vdGU+PENpdGU+PEF1dGhvcj5OYWdhbWF0c3U8L0F1dGhvcj48WWVhcj4xOTk5PC9ZZWFy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</w:fldData>
        </w:fldChar>
      </w:r>
      <w:r w:rsidR="00C27102">
        <w:rPr>
          <w:rFonts w:ascii="Arial" w:hAnsi="Arial"/>
          <w:b w:val="0"/>
          <w:color w:val="000000" w:themeColor="text1"/>
          <w:sz w:val="24"/>
          <w:szCs w:val="24"/>
        </w:rPr>
        <w:instrText xml:space="preserve"> ADDIN EN.CITE.DATA </w:instrText>
      </w:r>
      <w:r w:rsidR="00C27102">
        <w:rPr>
          <w:rFonts w:ascii="Arial" w:hAnsi="Arial"/>
          <w:b w:val="0"/>
          <w:color w:val="000000" w:themeColor="text1"/>
          <w:sz w:val="24"/>
          <w:szCs w:val="24"/>
        </w:rPr>
      </w:r>
      <w:r w:rsidR="00C27102">
        <w:rPr>
          <w:rFonts w:ascii="Arial" w:hAnsi="Arial"/>
          <w:b w:val="0"/>
          <w:color w:val="000000" w:themeColor="text1"/>
          <w:sz w:val="24"/>
          <w:szCs w:val="24"/>
        </w:rPr>
        <w:fldChar w:fldCharType="end"/>
      </w:r>
      <w:r w:rsidR="00C27102">
        <w:rPr>
          <w:rFonts w:ascii="Arial" w:hAnsi="Arial"/>
          <w:b w:val="0"/>
          <w:color w:val="000000" w:themeColor="text1"/>
          <w:sz w:val="24"/>
          <w:szCs w:val="24"/>
        </w:rPr>
      </w:r>
      <w:r w:rsidR="00C27102">
        <w:rPr>
          <w:rFonts w:ascii="Arial" w:hAnsi="Arial"/>
          <w:b w:val="0"/>
          <w:color w:val="000000" w:themeColor="text1"/>
          <w:sz w:val="24"/>
          <w:szCs w:val="24"/>
        </w:rPr>
        <w:fldChar w:fldCharType="separate"/>
      </w:r>
      <w:r w:rsidR="00C27102">
        <w:rPr>
          <w:rFonts w:ascii="Arial" w:hAnsi="Arial"/>
          <w:b w:val="0"/>
          <w:noProof/>
          <w:color w:val="000000" w:themeColor="text1"/>
          <w:sz w:val="24"/>
          <w:szCs w:val="24"/>
        </w:rPr>
        <w:t>(Nagamatsu et al., 1999, Chan et al., 2001, Zhang and Herman, 2002, Selman and Withers, 2011, Houtkooper et al., 2011)</w:t>
      </w:r>
      <w:r w:rsidR="00C27102">
        <w:rPr>
          <w:rFonts w:ascii="Arial" w:hAnsi="Arial"/>
          <w:b w:val="0"/>
          <w:color w:val="000000" w:themeColor="text1"/>
          <w:sz w:val="24"/>
          <w:szCs w:val="24"/>
        </w:rPr>
        <w:fldChar w:fldCharType="end"/>
      </w:r>
      <w:r w:rsidR="00C0064E">
        <w:rPr>
          <w:rFonts w:ascii="Arial" w:hAnsi="Arial"/>
          <w:b w:val="0"/>
          <w:color w:val="000000" w:themeColor="text1"/>
          <w:sz w:val="24"/>
          <w:szCs w:val="24"/>
        </w:rPr>
        <w:t xml:space="preserve">. </w:t>
      </w:r>
      <w:r w:rsidR="006F5863">
        <w:rPr>
          <w:rFonts w:ascii="Arial" w:hAnsi="Arial"/>
          <w:b w:val="0"/>
          <w:color w:val="000000" w:themeColor="text1"/>
          <w:sz w:val="24"/>
          <w:szCs w:val="24"/>
        </w:rPr>
        <w:t xml:space="preserve">This could explain the impaired insulin secretion in response to feeding in our aged mice. </w:t>
      </w:r>
    </w:p>
    <w:p w14:paraId="1B962819" w14:textId="77777777" w:rsidR="0032587A" w:rsidRDefault="0015459C" w:rsidP="00284E0F">
      <w:pPr>
        <w:spacing w:line="480" w:lineRule="auto"/>
        <w:jc w:val="both"/>
        <w:rPr>
          <w:rFonts w:ascii="Arial" w:hAnsi="Arial" w:cs="Arial"/>
        </w:rPr>
      </w:pPr>
      <w:r w:rsidRPr="00284E0F">
        <w:rPr>
          <w:rFonts w:ascii="Arial" w:hAnsi="Arial" w:cs="Arial"/>
        </w:rPr>
        <w:lastRenderedPageBreak/>
        <w:t xml:space="preserve">Incretins including </w:t>
      </w:r>
      <w:r w:rsidRPr="00284E0F">
        <w:rPr>
          <w:rFonts w:ascii="Arial" w:hAnsi="Arial" w:cs="Arial"/>
          <w:b/>
        </w:rPr>
        <w:t>GIP</w:t>
      </w:r>
      <w:r w:rsidRPr="00284E0F">
        <w:rPr>
          <w:rFonts w:ascii="Arial" w:hAnsi="Arial" w:cs="Arial"/>
        </w:rPr>
        <w:t xml:space="preserve"> and </w:t>
      </w:r>
      <w:r w:rsidRPr="00284E0F">
        <w:rPr>
          <w:rFonts w:ascii="Arial" w:hAnsi="Arial" w:cs="Arial"/>
          <w:b/>
        </w:rPr>
        <w:t xml:space="preserve">GLP1 </w:t>
      </w:r>
      <w:r w:rsidRPr="00284E0F">
        <w:rPr>
          <w:rFonts w:ascii="Arial" w:hAnsi="Arial" w:cs="Arial"/>
        </w:rPr>
        <w:t>hormones</w:t>
      </w:r>
      <w:r w:rsidRPr="00284E0F">
        <w:rPr>
          <w:rFonts w:ascii="Arial" w:hAnsi="Arial" w:cs="Arial"/>
          <w:b/>
        </w:rPr>
        <w:t xml:space="preserve"> </w:t>
      </w:r>
      <w:r w:rsidRPr="00284E0F">
        <w:rPr>
          <w:rFonts w:ascii="Arial" w:hAnsi="Arial" w:cs="Arial"/>
        </w:rPr>
        <w:t>are released from small and large intestines in response to food intake and stimulate pancreatic ins</w:t>
      </w:r>
      <w:r w:rsidR="00EE4FC7">
        <w:rPr>
          <w:rFonts w:ascii="Arial" w:hAnsi="Arial" w:cs="Arial"/>
        </w:rPr>
        <w:t xml:space="preserve">ulin secretion and slow gastric </w:t>
      </w:r>
      <w:r w:rsidRPr="00284E0F">
        <w:rPr>
          <w:rFonts w:ascii="Arial" w:hAnsi="Arial" w:cs="Arial"/>
        </w:rPr>
        <w:t xml:space="preserve">emptying </w:t>
      </w:r>
      <w:r w:rsidR="00C27102">
        <w:rPr>
          <w:rFonts w:ascii="Arial" w:hAnsi="Arial" w:cs="Arial"/>
        </w:rPr>
        <w:fldChar w:fldCharType="begin">
          <w:fldData xml:space="preserve">PEVuZE5vdGU+PENpdGU+PEF1dGhvcj5NaXlhd2FraTwvQXV0aG9yPjxZZWFyPjE5OTk8L1llYXI+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PEVuZE5vdGU+PENpdGU+PEF1dGhvcj5NaXlhd2FraTwvQXV0aG9yPjxZZWFyPjE5OTk8L1llYXI+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C27102">
        <w:rPr>
          <w:rFonts w:ascii="Arial" w:hAnsi="Arial" w:cs="Arial"/>
        </w:rPr>
      </w:r>
      <w:r w:rsidR="00C27102">
        <w:rPr>
          <w:rFonts w:ascii="Arial" w:hAnsi="Arial" w:cs="Arial"/>
        </w:rPr>
        <w:fldChar w:fldCharType="separate"/>
      </w:r>
      <w:r w:rsidR="00C27102">
        <w:rPr>
          <w:rFonts w:ascii="Arial" w:hAnsi="Arial" w:cs="Arial"/>
          <w:noProof/>
        </w:rPr>
        <w:t>(Miyawaki et al., 1999, Mortensen et al., 2003, Vilsbøll et al., 2003, Drucker, 2006)</w:t>
      </w:r>
      <w:r w:rsidR="00C27102">
        <w:rPr>
          <w:rFonts w:ascii="Arial" w:hAnsi="Arial" w:cs="Arial"/>
        </w:rPr>
        <w:fldChar w:fldCharType="end"/>
      </w:r>
      <w:r w:rsidR="001D50D8">
        <w:rPr>
          <w:rFonts w:ascii="Arial" w:hAnsi="Arial" w:cs="Arial"/>
        </w:rPr>
        <w:t xml:space="preserve">. </w:t>
      </w:r>
      <w:r w:rsidR="003E237A">
        <w:rPr>
          <w:rFonts w:ascii="Arial" w:hAnsi="Arial" w:cs="Arial"/>
        </w:rPr>
        <w:t>As shown in Figure 10, GLP1 is secreted approximately 1h before the anticipated meal in rats</w:t>
      </w:r>
      <w:r w:rsidR="00E50165">
        <w:rPr>
          <w:rFonts w:ascii="Arial" w:hAnsi="Arial" w:cs="Arial"/>
        </w:rPr>
        <w:t xml:space="preserve">, </w:t>
      </w:r>
      <w:r w:rsidR="00256779">
        <w:rPr>
          <w:rFonts w:ascii="Arial" w:hAnsi="Arial" w:cs="Arial"/>
        </w:rPr>
        <w:t xml:space="preserve">concentrations </w:t>
      </w:r>
      <w:r w:rsidR="00E50165">
        <w:rPr>
          <w:rFonts w:ascii="Arial" w:hAnsi="Arial" w:cs="Arial"/>
        </w:rPr>
        <w:t xml:space="preserve">then return to baseline by meal time with levels increasing as eating commences. </w:t>
      </w:r>
      <w:r w:rsidRPr="00284E0F">
        <w:rPr>
          <w:rFonts w:ascii="Arial" w:hAnsi="Arial" w:cs="Arial"/>
        </w:rPr>
        <w:t xml:space="preserve">Consistent with the previous findings, feeding significantly stimulated GIP and GLP1 secretion at 14:00 and 15:00 compared with fasting serum concentrations of GIP and GLP1 in young but not aged male mice. Unsurprisingly, </w:t>
      </w:r>
      <w:r w:rsidR="005871F1" w:rsidRPr="00284E0F">
        <w:rPr>
          <w:rFonts w:ascii="Arial" w:hAnsi="Arial" w:cs="Arial"/>
        </w:rPr>
        <w:t xml:space="preserve">in ad-lib fed young and aged mice </w:t>
      </w:r>
      <w:r w:rsidR="005871F1">
        <w:rPr>
          <w:rFonts w:ascii="Arial" w:hAnsi="Arial" w:cs="Arial"/>
        </w:rPr>
        <w:t xml:space="preserve">the </w:t>
      </w:r>
      <w:r w:rsidRPr="00284E0F">
        <w:rPr>
          <w:rFonts w:ascii="Arial" w:hAnsi="Arial" w:cs="Arial"/>
        </w:rPr>
        <w:t xml:space="preserve">concentrations of GIP and GLP1 remained unchanged. </w:t>
      </w:r>
    </w:p>
    <w:p w14:paraId="6A8CFE27" w14:textId="77777777" w:rsidR="0032587A" w:rsidRDefault="0032587A" w:rsidP="00284E0F">
      <w:pPr>
        <w:spacing w:line="480" w:lineRule="auto"/>
        <w:jc w:val="both"/>
        <w:rPr>
          <w:rFonts w:ascii="Arial" w:hAnsi="Arial" w:cs="Arial"/>
        </w:rPr>
      </w:pPr>
    </w:p>
    <w:p w14:paraId="3DFF0B6A" w14:textId="77777777" w:rsidR="0015459C" w:rsidRPr="00284E0F" w:rsidRDefault="0015459C" w:rsidP="00284E0F">
      <w:pPr>
        <w:spacing w:line="480" w:lineRule="auto"/>
        <w:jc w:val="both"/>
        <w:rPr>
          <w:rFonts w:ascii="Arial" w:hAnsi="Arial" w:cs="Arial"/>
        </w:rPr>
      </w:pPr>
      <w:r w:rsidRPr="00284E0F">
        <w:rPr>
          <w:rFonts w:ascii="Arial" w:hAnsi="Arial" w:cs="Arial"/>
        </w:rPr>
        <w:t>GLP1 has a short half-life, once released, is rapidly within few minutes proteolysed by DPP4 (dipeptidyl peptidase-4) to biologically inactive form in humans and animal</w:t>
      </w:r>
      <w:r w:rsidR="00DF53B8">
        <w:rPr>
          <w:rFonts w:ascii="Arial" w:hAnsi="Arial" w:cs="Arial"/>
        </w:rPr>
        <w:t xml:space="preserve">s </w:t>
      </w:r>
      <w:r w:rsidR="00C27102">
        <w:rPr>
          <w:rFonts w:ascii="Arial" w:hAnsi="Arial" w:cs="Arial"/>
        </w:rPr>
        <w:fldChar w:fldCharType="begin">
          <w:fldData xml:space="preserve">PEVuZE5vdGU+PENpdGU+PEF1dGhvcj5EZXRlbDwvQXV0aG9yPjxZZWFyPjIwMDc8L1llYXI+PFJl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PEVuZE5vdGU+PENpdGU+PEF1dGhvcj5EZXRlbDwvQXV0aG9yPjxZZWFyPjIwMDc8L1llYXI+PFJl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C27102">
        <w:rPr>
          <w:rFonts w:ascii="Arial" w:hAnsi="Arial" w:cs="Arial"/>
        </w:rPr>
      </w:r>
      <w:r w:rsidR="00C27102">
        <w:rPr>
          <w:rFonts w:ascii="Arial" w:hAnsi="Arial" w:cs="Arial"/>
        </w:rPr>
        <w:fldChar w:fldCharType="separate"/>
      </w:r>
      <w:r w:rsidR="00C27102">
        <w:rPr>
          <w:rFonts w:ascii="Arial" w:hAnsi="Arial" w:cs="Arial"/>
          <w:noProof/>
        </w:rPr>
        <w:t>(Detel et al., 2007, Padidela et al., 2009)</w:t>
      </w:r>
      <w:r w:rsidR="00C27102">
        <w:rPr>
          <w:rFonts w:ascii="Arial" w:hAnsi="Arial" w:cs="Arial"/>
        </w:rPr>
        <w:fldChar w:fldCharType="end"/>
      </w:r>
      <w:r w:rsidR="00DF53B8">
        <w:rPr>
          <w:rFonts w:ascii="Arial" w:hAnsi="Arial" w:cs="Arial"/>
        </w:rPr>
        <w:t>.</w:t>
      </w:r>
      <w:r w:rsidRPr="00284E0F">
        <w:rPr>
          <w:rFonts w:ascii="Arial" w:hAnsi="Arial" w:cs="Arial"/>
        </w:rPr>
        <w:t xml:space="preserve"> In </w:t>
      </w:r>
      <w:r w:rsidR="00DF53B8">
        <w:rPr>
          <w:rFonts w:ascii="Arial" w:hAnsi="Arial" w:cs="Arial"/>
        </w:rPr>
        <w:t xml:space="preserve">the </w:t>
      </w:r>
      <w:r w:rsidRPr="00284E0F">
        <w:rPr>
          <w:rFonts w:ascii="Arial" w:hAnsi="Arial" w:cs="Arial"/>
        </w:rPr>
        <w:t xml:space="preserve">elderly adults with type </w:t>
      </w:r>
      <w:proofErr w:type="gramStart"/>
      <w:r w:rsidRPr="00284E0F">
        <w:rPr>
          <w:rFonts w:ascii="Arial" w:hAnsi="Arial" w:cs="Arial"/>
        </w:rPr>
        <w:t>2 diabetes,</w:t>
      </w:r>
      <w:proofErr w:type="gramEnd"/>
      <w:r w:rsidRPr="00284E0F">
        <w:rPr>
          <w:rFonts w:ascii="Arial" w:hAnsi="Arial" w:cs="Arial"/>
        </w:rPr>
        <w:t xml:space="preserve"> the response of GLP1 to feeding is shown to be reduced </w:t>
      </w:r>
      <w:r w:rsidR="00C27102">
        <w:rPr>
          <w:rFonts w:ascii="Arial" w:hAnsi="Arial" w:cs="Arial"/>
        </w:rPr>
        <w:fldChar w:fldCharType="begin">
          <w:fldData xml:space="preserve">PEVuZE5vdGU+PENpdGU+PEF1dGhvcj5WaWxzYsO4bGw8L0F1dGhvcj48WWVhcj4yMDAxPC9ZZWFy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</w:fldData>
        </w:fldChar>
      </w:r>
      <w:r w:rsidR="00C27102">
        <w:rPr>
          <w:rFonts w:ascii="Arial" w:hAnsi="Arial" w:cs="Arial"/>
        </w:rPr>
        <w:instrText xml:space="preserve"> ADDIN EN.CITE </w:instrText>
      </w:r>
      <w:r w:rsidR="00C27102">
        <w:rPr>
          <w:rFonts w:ascii="Arial" w:hAnsi="Arial" w:cs="Arial"/>
        </w:rPr>
        <w:fldChar w:fldCharType="begin">
          <w:fldData xml:space="preserve">PEVuZE5vdGU+PENpdGU+PEF1dGhvcj5WaWxzYsO4bGw8L0F1dGhvcj48WWVhcj4yMDAxPC9ZZWFy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</w:fldData>
        </w:fldChar>
      </w:r>
      <w:r w:rsidR="00C27102">
        <w:rPr>
          <w:rFonts w:ascii="Arial" w:hAnsi="Arial" w:cs="Arial"/>
        </w:rPr>
        <w:instrText xml:space="preserve"> ADDIN EN.CITE.DATA </w:instrText>
      </w:r>
      <w:r w:rsidR="00C27102">
        <w:rPr>
          <w:rFonts w:ascii="Arial" w:hAnsi="Arial" w:cs="Arial"/>
        </w:rPr>
      </w:r>
      <w:r w:rsidR="00C27102">
        <w:rPr>
          <w:rFonts w:ascii="Arial" w:hAnsi="Arial" w:cs="Arial"/>
        </w:rPr>
        <w:fldChar w:fldCharType="end"/>
      </w:r>
      <w:r w:rsidR="00C27102">
        <w:rPr>
          <w:rFonts w:ascii="Arial" w:hAnsi="Arial" w:cs="Arial"/>
        </w:rPr>
      </w:r>
      <w:r w:rsidR="00C27102">
        <w:rPr>
          <w:rFonts w:ascii="Arial" w:hAnsi="Arial" w:cs="Arial"/>
        </w:rPr>
        <w:fldChar w:fldCharType="separate"/>
      </w:r>
      <w:r w:rsidR="00C27102">
        <w:rPr>
          <w:rFonts w:ascii="Arial" w:hAnsi="Arial" w:cs="Arial"/>
          <w:noProof/>
        </w:rPr>
        <w:t>(Vilsbøll et al., 2001, Logroscino et al., 2004)</w:t>
      </w:r>
      <w:r w:rsidR="00C27102">
        <w:rPr>
          <w:rFonts w:ascii="Arial" w:hAnsi="Arial" w:cs="Arial"/>
        </w:rPr>
        <w:fldChar w:fldCharType="end"/>
      </w:r>
      <w:r w:rsidR="00A03B06">
        <w:rPr>
          <w:rFonts w:ascii="Arial" w:hAnsi="Arial" w:cs="Arial"/>
        </w:rPr>
        <w:t xml:space="preserve">. </w:t>
      </w:r>
      <w:r w:rsidRPr="00284E0F">
        <w:rPr>
          <w:rFonts w:ascii="Arial" w:hAnsi="Arial" w:cs="Arial"/>
        </w:rPr>
        <w:t>The expressio</w:t>
      </w:r>
      <w:r w:rsidR="00B9602E">
        <w:rPr>
          <w:rFonts w:ascii="Arial" w:hAnsi="Arial" w:cs="Arial"/>
        </w:rPr>
        <w:t xml:space="preserve">ns of GIP receptors in mice are down </w:t>
      </w:r>
      <w:r w:rsidRPr="00284E0F">
        <w:rPr>
          <w:rFonts w:ascii="Arial" w:hAnsi="Arial" w:cs="Arial"/>
        </w:rPr>
        <w:t xml:space="preserve">regulated with ageing resulting </w:t>
      </w:r>
      <w:r w:rsidR="00B9602E">
        <w:rPr>
          <w:rFonts w:ascii="Arial" w:hAnsi="Arial" w:cs="Arial"/>
        </w:rPr>
        <w:t xml:space="preserve">in </w:t>
      </w:r>
      <w:r w:rsidRPr="00284E0F">
        <w:rPr>
          <w:rFonts w:ascii="Arial" w:hAnsi="Arial" w:cs="Arial"/>
        </w:rPr>
        <w:t xml:space="preserve">the loss of </w:t>
      </w:r>
      <w:r w:rsidR="00B9602E">
        <w:rPr>
          <w:rFonts w:ascii="Arial" w:hAnsi="Arial" w:cs="Arial"/>
        </w:rPr>
        <w:t xml:space="preserve">the </w:t>
      </w:r>
      <w:r w:rsidRPr="00284E0F">
        <w:rPr>
          <w:rFonts w:ascii="Arial" w:hAnsi="Arial" w:cs="Arial"/>
        </w:rPr>
        <w:t xml:space="preserve">GIP </w:t>
      </w:r>
      <w:r w:rsidR="00D5094A" w:rsidRPr="00284E0F">
        <w:rPr>
          <w:rFonts w:ascii="Arial" w:hAnsi="Arial" w:cs="Arial"/>
        </w:rPr>
        <w:t>signalling</w:t>
      </w:r>
      <w:r w:rsidRPr="00284E0F">
        <w:rPr>
          <w:rFonts w:ascii="Arial" w:hAnsi="Arial" w:cs="Arial"/>
        </w:rPr>
        <w:t xml:space="preserve"> </w:t>
      </w:r>
      <w:r w:rsidR="00C27102">
        <w:rPr>
          <w:rFonts w:ascii="Arial" w:hAnsi="Arial" w:cs="Arial"/>
        </w:rPr>
        <w:fldChar w:fldCharType="begin"/>
      </w:r>
      <w:r w:rsidR="00C27102">
        <w:rPr>
          <w:rFonts w:ascii="Arial" w:hAnsi="Arial" w:cs="Arial"/>
        </w:rPr>
        <w:instrText xml:space="preserve"> ADDIN EN.CITE &lt;EndNote&gt;&lt;Cite&gt;&lt;Author&gt;Ding&lt;/Author&gt;&lt;Year&gt;2008&lt;/Year&gt;&lt;RecNum&gt;177&lt;/RecNum&gt;&lt;DisplayText&gt;(Ding et al., 2008)&lt;/DisplayText&gt;&lt;record&gt;&lt;rec-number&gt;177&lt;/rec-number&gt;&lt;foreign-keys&gt;&lt;key app="EN" db-id="ae9rewfrpdttrheppfxxv0p4950wpd25r09x" timestamp="1520658026"&gt;177&lt;/key&gt;&lt;key app="ENWeb" db-id=""&gt;0&lt;/key&gt;&lt;/foreign-keys&gt;&lt;ref-type name="Journal Article"&gt;17&lt;/ref-type&gt;&lt;contributors&gt;&lt;authors&gt;&lt;author&gt;Ding, Ke-Hong&lt;/author&gt;&lt;author&gt;Shi, Xing-Ming&lt;/author&gt;&lt;author&gt;Zhong, Qing&lt;/author&gt;&lt;author&gt;Kang, Baolin&lt;/author&gt;&lt;author&gt;Xie, Ding&lt;/author&gt;&lt;author&gt;Bollag, Wendy B.&lt;/author&gt;&lt;author&gt;Chutkan, Norman&lt;/author&gt;&lt;author&gt;Hamrick, Mark&lt;/author&gt;&lt;author&gt;Isales, Carlos M.&lt;/author&gt;&lt;author&gt;Bollag, Roni J.&lt;/author&gt;&lt;author&gt;Mi, Qing-Sheng&lt;/author&gt;&lt;author&gt;Hill, William&lt;/author&gt;&lt;author&gt;Washington, Walter&lt;/author&gt;&lt;author&gt;Insogna, Karl&lt;/author&gt;&lt;/authors&gt;&lt;/contributors&gt;&lt;titles&gt;&lt;title&gt;Impact of glucose- dependent insulinotropic peptide on age- induced bone loss&lt;/title&gt;&lt;secondary-title&gt;Journal of Bone and Mineral Research&lt;/secondary-title&gt;&lt;/titles&gt;&lt;periodical&gt;&lt;full-title&gt;Journal of Bone and Mineral Research&lt;/full-title&gt;&lt;/periodical&gt;&lt;pages&gt;536-543&lt;/pages&gt;&lt;volume&gt;23&lt;/volume&gt;&lt;number&gt;4&lt;/number&gt;&lt;keywords&gt;&lt;keyword&gt;Aging&lt;/keyword&gt;&lt;keyword&gt;Bone&lt;/keyword&gt;&lt;keyword&gt;Bone Marrow Stromal Cells&lt;/keyword&gt;&lt;keyword&gt;Glucose- Dependent Insulinotropic Peptide&lt;/keyword&gt;&lt;keyword&gt;Transgenic Mice&lt;/keyword&gt;&lt;/keywords&gt;&lt;dates&gt;&lt;year&gt;2008&lt;/year&gt;&lt;/dates&gt;&lt;isbn&gt;08840431&lt;/isbn&gt;&lt;urls&gt;&lt;/urls&gt;&lt;electronic-resource-num&gt;10.1359/jbmr.071202&lt;/electronic-resource-num&gt;&lt;/record&gt;&lt;/Cite&gt;&lt;/EndNote&gt;</w:instrText>
      </w:r>
      <w:r w:rsidR="00C27102">
        <w:rPr>
          <w:rFonts w:ascii="Arial" w:hAnsi="Arial" w:cs="Arial"/>
        </w:rPr>
        <w:fldChar w:fldCharType="separate"/>
      </w:r>
      <w:r w:rsidR="00C27102">
        <w:rPr>
          <w:rFonts w:ascii="Arial" w:hAnsi="Arial" w:cs="Arial"/>
          <w:noProof/>
        </w:rPr>
        <w:t>(Ding et al., 2008)</w:t>
      </w:r>
      <w:r w:rsidR="00C27102">
        <w:rPr>
          <w:rFonts w:ascii="Arial" w:hAnsi="Arial" w:cs="Arial"/>
        </w:rPr>
        <w:fldChar w:fldCharType="end"/>
      </w:r>
      <w:r w:rsidR="00B9602E">
        <w:rPr>
          <w:rFonts w:ascii="Arial" w:hAnsi="Arial" w:cs="Arial"/>
        </w:rPr>
        <w:t>.</w:t>
      </w:r>
      <w:r w:rsidRPr="00284E0F">
        <w:rPr>
          <w:rFonts w:ascii="Arial" w:hAnsi="Arial" w:cs="Arial"/>
        </w:rPr>
        <w:t xml:space="preserve"> These age-related changes may account for the reduced serum GIP and GLP1 concentrations in response to feeding following overnight fasting in aged mice. </w:t>
      </w:r>
    </w:p>
    <w:p w14:paraId="7C65B4E6" w14:textId="77777777" w:rsidR="0015459C" w:rsidRPr="00C12912" w:rsidRDefault="0015459C" w:rsidP="00C12912">
      <w:pPr>
        <w:pStyle w:val="Heading3"/>
        <w:spacing w:line="480" w:lineRule="auto"/>
        <w:jc w:val="both"/>
        <w:rPr>
          <w:rFonts w:ascii="Arial" w:hAnsi="Arial"/>
          <w:color w:val="auto"/>
        </w:rPr>
      </w:pPr>
      <w:bookmarkStart w:id="180" w:name="_Toc383723936"/>
      <w:r w:rsidRPr="00C12912">
        <w:rPr>
          <w:rFonts w:ascii="Arial" w:hAnsi="Arial"/>
          <w:color w:val="auto"/>
        </w:rPr>
        <w:t xml:space="preserve">7.3.2 </w:t>
      </w:r>
      <w:proofErr w:type="gramStart"/>
      <w:r w:rsidRPr="00C12912">
        <w:rPr>
          <w:rFonts w:ascii="Arial" w:hAnsi="Arial"/>
          <w:color w:val="auto"/>
        </w:rPr>
        <w:t>The</w:t>
      </w:r>
      <w:proofErr w:type="gramEnd"/>
      <w:r w:rsidRPr="00C12912">
        <w:rPr>
          <w:rFonts w:ascii="Arial" w:hAnsi="Arial"/>
          <w:color w:val="auto"/>
        </w:rPr>
        <w:t xml:space="preserve"> associations between altered concentrations of </w:t>
      </w:r>
      <w:r w:rsidR="0021264D">
        <w:rPr>
          <w:rFonts w:ascii="Arial" w:hAnsi="Arial"/>
          <w:color w:val="auto"/>
        </w:rPr>
        <w:t xml:space="preserve">candidate </w:t>
      </w:r>
      <w:r w:rsidRPr="00C12912">
        <w:rPr>
          <w:rFonts w:ascii="Arial" w:hAnsi="Arial"/>
          <w:color w:val="auto"/>
        </w:rPr>
        <w:t>metabolic hormones an</w:t>
      </w:r>
      <w:r w:rsidR="0021264D">
        <w:rPr>
          <w:rFonts w:ascii="Arial" w:hAnsi="Arial"/>
          <w:color w:val="auto"/>
        </w:rPr>
        <w:t xml:space="preserve">d bone’s adaptive response to </w:t>
      </w:r>
      <w:r w:rsidRPr="00C12912">
        <w:rPr>
          <w:rFonts w:ascii="Arial" w:hAnsi="Arial"/>
          <w:color w:val="auto"/>
        </w:rPr>
        <w:t>loading in young and aged mice</w:t>
      </w:r>
      <w:bookmarkEnd w:id="180"/>
    </w:p>
    <w:p w14:paraId="64D9E220" w14:textId="77777777" w:rsidR="0015459C" w:rsidRPr="007B2A7F" w:rsidRDefault="0015459C" w:rsidP="0015459C">
      <w:pPr>
        <w:spacing w:line="480" w:lineRule="auto"/>
        <w:jc w:val="both"/>
        <w:rPr>
          <w:rFonts w:ascii="Arial" w:hAnsi="Arial"/>
        </w:rPr>
      </w:pPr>
      <w:r>
        <w:rPr>
          <w:rFonts w:ascii="Arial" w:hAnsi="Arial" w:cs="Arial"/>
        </w:rPr>
        <w:t xml:space="preserve">As discussed in </w:t>
      </w:r>
      <w:r w:rsidR="00BB6C41">
        <w:rPr>
          <w:rFonts w:ascii="Arial" w:hAnsi="Arial" w:cs="Arial"/>
        </w:rPr>
        <w:t xml:space="preserve">the </w:t>
      </w:r>
      <w:r>
        <w:rPr>
          <w:rFonts w:ascii="Arial" w:hAnsi="Arial" w:cs="Arial"/>
        </w:rPr>
        <w:t>general introduction</w:t>
      </w:r>
      <w:r w:rsidR="00BB6C41">
        <w:rPr>
          <w:rFonts w:ascii="Arial" w:hAnsi="Arial" w:cs="Arial"/>
        </w:rPr>
        <w:t xml:space="preserve"> (Chapter 1)</w:t>
      </w:r>
      <w:r>
        <w:rPr>
          <w:rFonts w:ascii="Arial" w:hAnsi="Arial" w:cs="Arial"/>
        </w:rPr>
        <w:t xml:space="preserve">, </w:t>
      </w:r>
      <w:r w:rsidRPr="00F47EF2">
        <w:rPr>
          <w:rFonts w:ascii="Arial" w:hAnsi="Arial" w:cs="Arial"/>
          <w:b/>
        </w:rPr>
        <w:t xml:space="preserve">ghrelin </w:t>
      </w:r>
      <w:r w:rsidR="00BB6C41">
        <w:rPr>
          <w:rFonts w:ascii="Arial" w:hAnsi="Arial" w:cs="Arial"/>
        </w:rPr>
        <w:t>has</w:t>
      </w:r>
      <w:r w:rsidRPr="00F47EF2">
        <w:rPr>
          <w:rFonts w:ascii="Arial" w:hAnsi="Arial" w:cs="Arial"/>
        </w:rPr>
        <w:t xml:space="preserve"> </w:t>
      </w:r>
      <w:r>
        <w:rPr>
          <w:rFonts w:ascii="Arial" w:hAnsi="Arial" w:cs="Arial"/>
        </w:rPr>
        <w:t xml:space="preserve">direct </w:t>
      </w:r>
      <w:r w:rsidRPr="00F47EF2">
        <w:rPr>
          <w:rFonts w:ascii="Arial" w:hAnsi="Arial" w:cs="Arial"/>
        </w:rPr>
        <w:t>anabolic</w:t>
      </w:r>
      <w:r>
        <w:rPr>
          <w:rFonts w:ascii="Arial" w:hAnsi="Arial" w:cs="Arial"/>
          <w:b/>
        </w:rPr>
        <w:t xml:space="preserve"> </w:t>
      </w:r>
      <w:r w:rsidRPr="00F47EF2">
        <w:rPr>
          <w:rFonts w:ascii="Arial" w:hAnsi="Arial" w:cs="Arial"/>
        </w:rPr>
        <w:t xml:space="preserve">effects on bone </w:t>
      </w:r>
      <w:r>
        <w:rPr>
          <w:rFonts w:ascii="Arial" w:hAnsi="Arial" w:cs="Arial"/>
        </w:rPr>
        <w:t xml:space="preserve">homeostasis both </w:t>
      </w:r>
      <w:r>
        <w:rPr>
          <w:rFonts w:ascii="Arial" w:hAnsi="Arial"/>
          <w:i/>
        </w:rPr>
        <w:t>in viv</w:t>
      </w:r>
      <w:r w:rsidRPr="00C67F0B">
        <w:rPr>
          <w:rFonts w:ascii="Arial" w:hAnsi="Arial"/>
          <w:i/>
        </w:rPr>
        <w:t>o</w:t>
      </w:r>
      <w:r>
        <w:rPr>
          <w:rFonts w:ascii="Arial" w:hAnsi="Arial"/>
          <w:i/>
        </w:rPr>
        <w:t xml:space="preserve"> </w:t>
      </w:r>
      <w:r w:rsidRPr="00641050">
        <w:rPr>
          <w:rFonts w:ascii="Arial" w:hAnsi="Arial"/>
        </w:rPr>
        <w:t>and</w:t>
      </w:r>
      <w:r>
        <w:rPr>
          <w:rFonts w:ascii="Arial" w:hAnsi="Arial"/>
          <w:i/>
        </w:rPr>
        <w:t xml:space="preserve"> in vitro</w:t>
      </w:r>
      <w:r>
        <w:rPr>
          <w:rFonts w:ascii="Arial" w:hAnsi="Arial" w:cs="Arial"/>
        </w:rPr>
        <w:t xml:space="preserve">. Circulating fasting ghrelin concentrations were correlated </w:t>
      </w:r>
      <w:r w:rsidR="00BB6C41">
        <w:rPr>
          <w:rFonts w:ascii="Arial" w:hAnsi="Arial" w:cs="Arial"/>
        </w:rPr>
        <w:t xml:space="preserve">positively </w:t>
      </w:r>
      <w:r>
        <w:rPr>
          <w:rFonts w:ascii="Arial" w:hAnsi="Arial" w:cs="Arial"/>
        </w:rPr>
        <w:t xml:space="preserve">with BMD in women </w:t>
      </w:r>
      <w:r w:rsidR="006D3A47">
        <w:rPr>
          <w:rFonts w:ascii="Arial" w:hAnsi="Arial" w:cs="Arial"/>
        </w:rPr>
        <w:fldChar w:fldCharType="begin">
          <w:fldData xml:space="preserve">PEVuZE5vdGU+PENpdGU+PEF1dGhvcj5BbWluaTwvQXV0aG9yPjxZZWFyPjIwMTM8L1llYXI+PFJl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</w:fldData>
        </w:fldChar>
      </w:r>
      <w:r w:rsidR="00B97465">
        <w:rPr>
          <w:rFonts w:ascii="Arial" w:hAnsi="Arial" w:cs="Arial"/>
        </w:rPr>
        <w:instrText xml:space="preserve"> ADDIN EN.CITE </w:instrText>
      </w:r>
      <w:r w:rsidR="00B97465">
        <w:rPr>
          <w:rFonts w:ascii="Arial" w:hAnsi="Arial" w:cs="Arial"/>
        </w:rPr>
        <w:fldChar w:fldCharType="begin">
          <w:fldData xml:space="preserve">PEVuZE5vdGU+PENpdGU+PEF1dGhvcj5BbWluaTwvQXV0aG9yPjxZZWFyPjIwMTM8L1llYXI+PFJl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</w:fldData>
        </w:fldChar>
      </w:r>
      <w:r w:rsidR="00B97465">
        <w:rPr>
          <w:rFonts w:ascii="Arial" w:hAnsi="Arial" w:cs="Arial"/>
        </w:rPr>
        <w:instrText xml:space="preserve"> ADDIN EN.CITE.DATA </w:instrText>
      </w:r>
      <w:r w:rsidR="00B97465">
        <w:rPr>
          <w:rFonts w:ascii="Arial" w:hAnsi="Arial" w:cs="Arial"/>
        </w:rPr>
      </w:r>
      <w:r w:rsidR="00B97465">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(Amini et al., 2013)</w:t>
      </w:r>
      <w:r w:rsidR="006D3A47">
        <w:rPr>
          <w:rFonts w:ascii="Arial" w:hAnsi="Arial" w:cs="Arial"/>
        </w:rPr>
        <w:fldChar w:fldCharType="end"/>
      </w:r>
      <w:r>
        <w:rPr>
          <w:rFonts w:ascii="Arial" w:hAnsi="Arial" w:cs="Arial"/>
        </w:rPr>
        <w:t>.</w:t>
      </w:r>
      <w:r w:rsidRPr="00CD3A3C">
        <w:rPr>
          <w:rFonts w:ascii="Arial" w:hAnsi="Arial" w:cs="Arial"/>
        </w:rPr>
        <w:t xml:space="preserve"> </w:t>
      </w:r>
      <w:r w:rsidR="009B6D69">
        <w:rPr>
          <w:rFonts w:ascii="Arial" w:hAnsi="Arial" w:cs="Arial"/>
        </w:rPr>
        <w:t>Intraperitoneal infusion of g</w:t>
      </w:r>
      <w:r>
        <w:rPr>
          <w:rFonts w:ascii="Arial" w:hAnsi="Arial" w:cs="Arial"/>
        </w:rPr>
        <w:t xml:space="preserve">hrelin increased BMD in rodents, and both ghrelin and its receptor </w:t>
      </w:r>
      <w:r w:rsidRPr="008A639C">
        <w:rPr>
          <w:rFonts w:ascii="Arial" w:eastAsiaTheme="minorEastAsia" w:hAnsi="Arial" w:cs="Arial"/>
          <w:lang w:val="en-US"/>
        </w:rPr>
        <w:t>growth hormone secretagogue receptor</w:t>
      </w:r>
      <w:r>
        <w:rPr>
          <w:rFonts w:ascii="Arial" w:eastAsiaTheme="minorEastAsia" w:hAnsi="Arial" w:cs="Arial"/>
          <w:lang w:val="en-US"/>
        </w:rPr>
        <w:t xml:space="preserve"> </w:t>
      </w:r>
      <w:r w:rsidRPr="008A639C">
        <w:rPr>
          <w:rFonts w:ascii="Arial" w:eastAsiaTheme="minorEastAsia" w:hAnsi="Arial" w:cs="Arial"/>
          <w:lang w:val="en-US"/>
        </w:rPr>
        <w:t>1a (GHS-R1a)</w:t>
      </w:r>
      <w:r>
        <w:rPr>
          <w:rFonts w:ascii="Arial" w:hAnsi="Arial" w:cs="Arial"/>
        </w:rPr>
        <w:t xml:space="preserve"> were identified in osteoblast like cells </w:t>
      </w:r>
      <w:r w:rsidR="006D3A47">
        <w:rPr>
          <w:rFonts w:ascii="Arial" w:hAnsi="Arial" w:cs="Arial"/>
        </w:rPr>
        <w:fldChar w:fldCharType="begin"/>
      </w:r>
      <w:r w:rsidR="006D3A47">
        <w:rPr>
          <w:rFonts w:ascii="Arial" w:hAnsi="Arial" w:cs="Arial"/>
        </w:rPr>
        <w:instrText xml:space="preserve"> ADDIN EN.CITE &lt;EndNote&gt;&lt;Cite&gt;&lt;Author&gt;Fukushima&lt;/Author&gt;&lt;Year&gt;2005&lt;/Year&gt;&lt;RecNum&gt;152&lt;/RecNum&gt;&lt;DisplayText&gt;(Fukushima et al., 2005)&lt;/DisplayText&gt;&lt;record&gt;&lt;rec-number&gt;152&lt;/rec-number&gt;&lt;foreign-keys&gt;&lt;key app="EN" db-id="ae9rewfrpdttrheppfxxv0p4950wpd25r09x" timestamp="1520657952"&gt;152&lt;/key&gt;&lt;key app="ENWeb" db-id=""&gt;0&lt;/key&gt;&lt;/foreign-keys&gt;&lt;ref-type name="Journal Article"&gt;17&lt;/ref-type&gt;&lt;contributors&gt;&lt;authors&gt;&lt;author&gt;Fukushima, Nobuhiro&lt;/author&gt;&lt;author&gt;Hanada, Reiko&lt;/author&gt;&lt;author&gt;Teranishi, Hitoshi&lt;/author&gt;&lt;author&gt;Fukue, Yoshihiko&lt;/author&gt;&lt;author&gt;Kojima, Masayasu&lt;/author&gt;&lt;author&gt;Nagata, Kensei&lt;/author&gt;&lt;author&gt;Tachibana, Toshiaki&lt;/author&gt;&lt;author&gt;Ishikawa, Hiroshi&lt;/author&gt;&lt;author&gt;Takeda, Shu&lt;/author&gt;&lt;author&gt;Takeuchi, Yasuhiro&lt;/author&gt;&lt;author&gt;Fukumoto, Seiji&lt;/author&gt;&lt;author&gt;Kangawa, Kenji&lt;/author&gt;&lt;/authors&gt;&lt;/contributors&gt;&lt;titles&gt;&lt;title&gt;Ghrelin directly regulates bone formation&lt;/title&gt;&lt;secondary-title&gt;Journal of Bone and Mineral Research&lt;/secondary-title&gt;&lt;/titles&gt;&lt;periodical&gt;&lt;full-title&gt;Journal of Bone and Mineral Research&lt;/full-title&gt;&lt;/periodical&gt;&lt;pages&gt;790-798&lt;/pages&gt;&lt;volume&gt;20&lt;/volume&gt;&lt;number&gt;5&lt;/number&gt;&lt;keywords&gt;&lt;keyword&gt;Bmd&lt;/keyword&gt;&lt;keyword&gt;Differentiation&lt;/keyword&gt;&lt;keyword&gt;Ghrelin&lt;/keyword&gt;&lt;keyword&gt;Growth Hormone Secretagogue Receptor 1a&lt;/keyword&gt;&lt;keyword&gt;Osteoblast&lt;/keyword&gt;&lt;/keywords&gt;&lt;dates&gt;&lt;year&gt;2005&lt;/year&gt;&lt;/dates&gt;&lt;isbn&gt;08840431&lt;/isbn&gt;&lt;urls&gt;&lt;/urls&gt;&lt;electronic-resource-num&gt;10.1359/JBMR.041237&lt;/electronic-resource-num&gt;&lt;/record&gt;&lt;/Cite&gt;&lt;/EndNote&gt;</w:instrText>
      </w:r>
      <w:r w:rsidR="006D3A47">
        <w:rPr>
          <w:rFonts w:ascii="Arial" w:hAnsi="Arial" w:cs="Arial"/>
        </w:rPr>
        <w:fldChar w:fldCharType="separate"/>
      </w:r>
      <w:r w:rsidR="006D3A47">
        <w:rPr>
          <w:rFonts w:ascii="Arial" w:hAnsi="Arial" w:cs="Arial"/>
          <w:noProof/>
        </w:rPr>
        <w:t>(Fukushima et al., 2005)</w:t>
      </w:r>
      <w:r w:rsidR="006D3A47">
        <w:rPr>
          <w:rFonts w:ascii="Arial" w:hAnsi="Arial" w:cs="Arial"/>
        </w:rPr>
        <w:fldChar w:fldCharType="end"/>
      </w:r>
      <w:r w:rsidR="00536834">
        <w:rPr>
          <w:rFonts w:ascii="Arial" w:hAnsi="Arial" w:cs="Arial"/>
        </w:rPr>
        <w:t xml:space="preserve">. Ghrelin </w:t>
      </w:r>
      <w:r>
        <w:rPr>
          <w:rFonts w:ascii="Arial" w:hAnsi="Arial" w:cs="Arial"/>
        </w:rPr>
        <w:t xml:space="preserve">regulates bone formation by stimulating osteoblast differentiation in </w:t>
      </w:r>
      <w:r>
        <w:rPr>
          <w:rFonts w:ascii="Arial" w:hAnsi="Arial" w:cs="Arial"/>
        </w:rPr>
        <w:lastRenderedPageBreak/>
        <w:t xml:space="preserve">humans and rodents and </w:t>
      </w:r>
      <w:r w:rsidRPr="00C67F0B">
        <w:rPr>
          <w:rFonts w:ascii="Arial" w:hAnsi="Arial"/>
        </w:rPr>
        <w:t xml:space="preserve">inhibits osteoblastic apoptosis </w:t>
      </w:r>
      <w:r w:rsidRPr="00C67F0B">
        <w:rPr>
          <w:rFonts w:ascii="Arial" w:hAnsi="Arial"/>
          <w:i/>
        </w:rPr>
        <w:t>in vitro</w:t>
      </w:r>
      <w:r w:rsidR="008E59EA">
        <w:rPr>
          <w:rFonts w:ascii="Arial" w:hAnsi="Arial"/>
          <w:i/>
        </w:rPr>
        <w:t xml:space="preserve"> </w:t>
      </w:r>
      <w:r w:rsidRPr="00DB1F4D">
        <w:rPr>
          <w:rFonts w:ascii="Arial" w:hAnsi="Arial"/>
        </w:rPr>
        <w:fldChar w:fldCharType="begin">
          <w:fldData xml:space="preserve">PEVuZE5vdGU+PENpdGU+PEF1dGhvcj5GdWt1c2hpbWE8L0F1dGhvcj48WWVhcj4yMDA1PC9ZZWFy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</w:fldData>
        </w:fldChar>
      </w:r>
      <w:r w:rsidR="0000415D">
        <w:rPr>
          <w:rFonts w:ascii="Arial" w:hAnsi="Arial"/>
        </w:rPr>
        <w:instrText xml:space="preserve"> ADDIN EN.CITE </w:instrText>
      </w:r>
      <w:r w:rsidR="0000415D">
        <w:rPr>
          <w:rFonts w:ascii="Arial" w:hAnsi="Arial"/>
        </w:rPr>
        <w:fldChar w:fldCharType="begin">
          <w:fldData xml:space="preserve">PEVuZE5vdGU+PENpdGU+PEF1dGhvcj5GdWt1c2hpbWE8L0F1dGhvcj48WWVhcj4yMDA1PC9ZZWFy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Pr="00DB1F4D">
        <w:rPr>
          <w:rFonts w:ascii="Arial" w:hAnsi="Arial"/>
        </w:rPr>
      </w:r>
      <w:r w:rsidRPr="00DB1F4D">
        <w:rPr>
          <w:rFonts w:ascii="Arial" w:hAnsi="Arial"/>
        </w:rPr>
        <w:fldChar w:fldCharType="separate"/>
      </w:r>
      <w:r w:rsidR="00D20595">
        <w:rPr>
          <w:rFonts w:ascii="Arial" w:hAnsi="Arial"/>
          <w:noProof/>
        </w:rPr>
        <w:t>(Fukushima et al., 2005, Kim et al., 2005, Maccarinelli et al., 2005, Sibilia et al., 2005, Delhanty et al., 2006)</w:t>
      </w:r>
      <w:r w:rsidRPr="00DB1F4D">
        <w:rPr>
          <w:rFonts w:ascii="Arial" w:hAnsi="Arial"/>
        </w:rPr>
        <w:fldChar w:fldCharType="end"/>
      </w:r>
      <w:r w:rsidR="00536834">
        <w:rPr>
          <w:rFonts w:ascii="Arial" w:hAnsi="Arial"/>
        </w:rPr>
        <w:t>. The</w:t>
      </w:r>
      <w:r>
        <w:rPr>
          <w:rFonts w:ascii="Arial" w:hAnsi="Arial"/>
        </w:rPr>
        <w:t xml:space="preserve"> rhythmicity of ghrelin secretion throughout the day </w:t>
      </w:r>
      <w:r w:rsidRPr="00FA5941">
        <w:rPr>
          <w:rFonts w:ascii="Arial" w:hAnsi="Arial"/>
        </w:rPr>
        <w:t xml:space="preserve">with high </w:t>
      </w:r>
      <w:r>
        <w:rPr>
          <w:rFonts w:ascii="Arial" w:hAnsi="Arial"/>
        </w:rPr>
        <w:t xml:space="preserve">circulating ghrelin </w:t>
      </w:r>
      <w:r w:rsidRPr="00FA5941">
        <w:rPr>
          <w:rFonts w:ascii="Arial" w:hAnsi="Arial"/>
        </w:rPr>
        <w:t xml:space="preserve">concentrations </w:t>
      </w:r>
      <w:r w:rsidR="00536834">
        <w:rPr>
          <w:rFonts w:ascii="Arial" w:hAnsi="Arial"/>
        </w:rPr>
        <w:t>during</w:t>
      </w:r>
      <w:r>
        <w:rPr>
          <w:rFonts w:ascii="Arial" w:hAnsi="Arial"/>
        </w:rPr>
        <w:t xml:space="preserve"> fasting and </w:t>
      </w:r>
      <w:r w:rsidRPr="00FA5941">
        <w:rPr>
          <w:rFonts w:ascii="Arial" w:hAnsi="Arial"/>
        </w:rPr>
        <w:t xml:space="preserve">low concentrations after the food intake </w:t>
      </w:r>
      <w:r w:rsidR="00666FED">
        <w:rPr>
          <w:rFonts w:ascii="Arial" w:hAnsi="Arial"/>
        </w:rPr>
        <w:t>suggests that ghrelin is</w:t>
      </w:r>
      <w:r>
        <w:rPr>
          <w:rFonts w:ascii="Arial" w:hAnsi="Arial"/>
        </w:rPr>
        <w:t xml:space="preserve"> unlikely to be</w:t>
      </w:r>
      <w:r w:rsidR="00666FED">
        <w:rPr>
          <w:rFonts w:ascii="Arial" w:hAnsi="Arial"/>
        </w:rPr>
        <w:t xml:space="preserve"> the acute factor, which </w:t>
      </w:r>
      <w:r>
        <w:rPr>
          <w:rFonts w:ascii="Arial" w:hAnsi="Arial"/>
        </w:rPr>
        <w:t>poten</w:t>
      </w:r>
      <w:r w:rsidR="00666FED">
        <w:rPr>
          <w:rFonts w:ascii="Arial" w:hAnsi="Arial"/>
        </w:rPr>
        <w:t>tiates</w:t>
      </w:r>
      <w:r>
        <w:rPr>
          <w:rFonts w:ascii="Arial" w:hAnsi="Arial"/>
        </w:rPr>
        <w:t xml:space="preserve"> effect </w:t>
      </w:r>
      <w:r w:rsidR="00666FED">
        <w:rPr>
          <w:rFonts w:ascii="Arial" w:hAnsi="Arial"/>
        </w:rPr>
        <w:t xml:space="preserve">of exercise 2 hours after feeding on cortical bone </w:t>
      </w:r>
      <w:r>
        <w:rPr>
          <w:rFonts w:ascii="Arial" w:hAnsi="Arial"/>
        </w:rPr>
        <w:t>of our young male mice</w:t>
      </w:r>
      <w:r w:rsidR="00666FED">
        <w:rPr>
          <w:rFonts w:ascii="Arial" w:hAnsi="Arial"/>
        </w:rPr>
        <w:t xml:space="preserve">. In </w:t>
      </w:r>
      <w:r w:rsidR="00896550">
        <w:rPr>
          <w:rFonts w:ascii="Arial" w:hAnsi="Arial"/>
        </w:rPr>
        <w:t xml:space="preserve">humans </w:t>
      </w:r>
      <w:r>
        <w:rPr>
          <w:rFonts w:ascii="Arial" w:hAnsi="Arial"/>
        </w:rPr>
        <w:t xml:space="preserve">infusion of ghrelin did not result in acute changes in bone turnover markers including CTX and PINP </w:t>
      </w:r>
      <w:r w:rsidR="006D3A47">
        <w:rPr>
          <w:rFonts w:ascii="Arial" w:hAnsi="Arial"/>
        </w:rPr>
        <w:fldChar w:fldCharType="begin"/>
      </w:r>
      <w:r w:rsidR="006D3A47">
        <w:rPr>
          <w:rFonts w:ascii="Arial" w:hAnsi="Arial"/>
        </w:rPr>
        <w:instrText xml:space="preserve"> ADDIN EN.CITE &lt;EndNote&gt;&lt;Cite&gt;&lt;Author&gt;Huda&lt;/Author&gt;&lt;Year&gt;2007&lt;/Year&gt;&lt;RecNum&gt;603&lt;/RecNum&gt;&lt;DisplayText&gt;(Huda et al., 2007)&lt;/DisplayText&gt;&lt;record&gt;&lt;rec-number&gt;603&lt;/rec-number&gt;&lt;foreign-keys&gt;&lt;key app="EN" db-id="ae9rewfrpdttrheppfxxv0p4950wpd25r09x" timestamp="1521130730"&gt;603&lt;/key&gt;&lt;/foreign-keys&gt;&lt;ref-type name="Journal Article"&gt;17&lt;/ref-type&gt;&lt;contributors&gt;&lt;authors&gt;&lt;author&gt;Huda, M. S. B.&lt;/author&gt;&lt;author&gt;Durham, B. H.&lt;/author&gt;&lt;author&gt;Wong, S. P.&lt;/author&gt;&lt;author&gt;Dovey, T. M.&lt;/author&gt;&lt;author&gt;McCulloch, P.&lt;/author&gt;&lt;author&gt;Kerrigan, D.&lt;/author&gt;&lt;author&gt;Pinkney, J. H.&lt;/author&gt;&lt;author&gt;Fraser, W. D.&lt;/author&gt;&lt;author&gt;Wilding, J. P. H.&lt;/author&gt;&lt;/authors&gt;&lt;/contributors&gt;&lt;titles&gt;&lt;title&gt;Lack of an acute effect of ghrelin on markers of bone turnover in healthy controls and post- gastrectomy subjects&lt;/title&gt;&lt;secondary-title&gt;Bone&lt;/secondary-title&gt;&lt;/titles&gt;&lt;periodical&gt;&lt;full-title&gt;Bone&lt;/full-title&gt;&lt;/periodical&gt;&lt;pages&gt;406-413&lt;/pages&gt;&lt;volume&gt;41&lt;/volume&gt;&lt;number&gt;3&lt;/number&gt;&lt;keywords&gt;&lt;keyword&gt;Ghrelin&lt;/keyword&gt;&lt;keyword&gt;Bone Resorption&lt;/keyword&gt;&lt;keyword&gt;Bone Formation&lt;/keyword&gt;&lt;/keywords&gt;&lt;dates&gt;&lt;year&gt;2007&lt;/year&gt;&lt;/dates&gt;&lt;isbn&gt;8756-3282&lt;/isbn&gt;&lt;urls&gt;&lt;/urls&gt;&lt;electronic-resource-num&gt;10.1016/j.bone.2007.05.006&lt;/electronic-resource-num&gt;&lt;/record&gt;&lt;/Cite&gt;&lt;/EndNote&gt;</w:instrText>
      </w:r>
      <w:r w:rsidR="006D3A47">
        <w:rPr>
          <w:rFonts w:ascii="Arial" w:hAnsi="Arial"/>
        </w:rPr>
        <w:fldChar w:fldCharType="separate"/>
      </w:r>
      <w:r w:rsidR="006D3A47">
        <w:rPr>
          <w:rFonts w:ascii="Arial" w:hAnsi="Arial"/>
          <w:noProof/>
        </w:rPr>
        <w:t>(Huda et al., 2007)</w:t>
      </w:r>
      <w:r w:rsidR="006D3A47">
        <w:rPr>
          <w:rFonts w:ascii="Arial" w:hAnsi="Arial"/>
        </w:rPr>
        <w:fldChar w:fldCharType="end"/>
      </w:r>
      <w:r>
        <w:rPr>
          <w:rFonts w:ascii="Arial" w:hAnsi="Arial"/>
        </w:rPr>
        <w:t xml:space="preserve">. In future it would be </w:t>
      </w:r>
      <w:r w:rsidR="00363A78">
        <w:rPr>
          <w:rFonts w:ascii="Arial" w:hAnsi="Arial"/>
        </w:rPr>
        <w:t xml:space="preserve">interesting to determine whether mechanical loading </w:t>
      </w:r>
      <w:r>
        <w:rPr>
          <w:rFonts w:ascii="Arial" w:hAnsi="Arial"/>
        </w:rPr>
        <w:t>affect</w:t>
      </w:r>
      <w:r w:rsidR="00363A78">
        <w:rPr>
          <w:rFonts w:ascii="Arial" w:hAnsi="Arial"/>
        </w:rPr>
        <w:t>s</w:t>
      </w:r>
      <w:r>
        <w:rPr>
          <w:rFonts w:ascii="Arial" w:hAnsi="Arial"/>
        </w:rPr>
        <w:t xml:space="preserve"> </w:t>
      </w:r>
      <w:r w:rsidR="00363A78">
        <w:rPr>
          <w:rFonts w:ascii="Arial" w:hAnsi="Arial"/>
        </w:rPr>
        <w:t>ghrelin secretion in our mice since</w:t>
      </w:r>
      <w:r>
        <w:rPr>
          <w:rFonts w:ascii="Arial" w:hAnsi="Arial"/>
        </w:rPr>
        <w:t xml:space="preserve"> it was shown that exercise training increases acylated fasting ghrelin concentrations in middle age women </w:t>
      </w:r>
      <w:r w:rsidR="006D3A47">
        <w:rPr>
          <w:rFonts w:ascii="Arial" w:hAnsi="Arial"/>
        </w:rPr>
        <w:fldChar w:fldCharType="begin"/>
      </w:r>
      <w:r w:rsidR="006D3A47">
        <w:rPr>
          <w:rFonts w:ascii="Arial" w:hAnsi="Arial"/>
        </w:rPr>
        <w:instrText xml:space="preserve"> ADDIN EN.CITE &lt;EndNote&gt;&lt;Cite&gt;&lt;Author&gt;Ueda&lt;/Author&gt;&lt;Year&gt;2013&lt;/Year&gt;&lt;RecNum&gt;604&lt;/RecNum&gt;&lt;DisplayText&gt;(Ueda et al., 2013)&lt;/DisplayText&gt;&lt;record&gt;&lt;rec-number&gt;604&lt;/rec-number&gt;&lt;foreign-keys&gt;&lt;key app="EN" db-id="ae9rewfrpdttrheppfxxv0p4950wpd25r09x" timestamp="1521131473"&gt;604&lt;/key&gt;&lt;/foreign-keys&gt;&lt;ref-type name="Journal Article"&gt;17&lt;/ref-type&gt;&lt;contributors&gt;&lt;authors&gt;&lt;author&gt;Ueda, Shin-ya&lt;/author&gt;&lt;author&gt;Miyamoto, Tadayoshi&lt;/author&gt;&lt;author&gt;Nakahara, Hidehiro&lt;/author&gt;&lt;author&gt;Shishido, Toshiaki&lt;/author&gt;&lt;author&gt;Usui, Tatsuya&lt;/author&gt;&lt;author&gt;Katsura, Yoshihiro&lt;/author&gt;&lt;author&gt;Yoshikawa, Takahiro&lt;/author&gt;&lt;author&gt;Fujimoto, Shigeo&lt;/author&gt;&lt;/authors&gt;&lt;/contributors&gt;&lt;titles&gt;&lt;title&gt;Effects of exercise training on gut hormone levels after a single bout of exercise in middle- aged Japanese women&lt;/title&gt;&lt;secondary-title&gt;SpringerPlus&lt;/secondary-title&gt;&lt;/titles&gt;&lt;periodical&gt;&lt;full-title&gt;SpringerPlus&lt;/full-title&gt;&lt;/periodical&gt;&lt;pages&gt;1-9&lt;/pages&gt;&lt;volume&gt;2&lt;/volume&gt;&lt;number&gt;1&lt;/number&gt;&lt;keywords&gt;&lt;keyword&gt;Glucagon-like peptide-1&lt;/keyword&gt;&lt;keyword&gt;Peptide YY&lt;/keyword&gt;&lt;keyword&gt;Ghrelin&lt;/keyword&gt;&lt;keyword&gt;Exercise training&lt;/keyword&gt;&lt;/keywords&gt;&lt;dates&gt;&lt;year&gt;2013&lt;/year&gt;&lt;/dates&gt;&lt;pub-location&gt;Cham&lt;/pub-location&gt;&lt;urls&gt;&lt;/urls&gt;&lt;electronic-resource-num&gt;10.1186/2193-1801-2-83&lt;/electronic-resource-num&gt;&lt;/record&gt;&lt;/Cite&gt;&lt;/EndNote&gt;</w:instrText>
      </w:r>
      <w:r w:rsidR="006D3A47">
        <w:rPr>
          <w:rFonts w:ascii="Arial" w:hAnsi="Arial"/>
        </w:rPr>
        <w:fldChar w:fldCharType="separate"/>
      </w:r>
      <w:r w:rsidR="006D3A47">
        <w:rPr>
          <w:rFonts w:ascii="Arial" w:hAnsi="Arial"/>
          <w:noProof/>
        </w:rPr>
        <w:t>(Ueda et al., 2013)</w:t>
      </w:r>
      <w:r w:rsidR="006D3A47">
        <w:rPr>
          <w:rFonts w:ascii="Arial" w:hAnsi="Arial"/>
        </w:rPr>
        <w:fldChar w:fldCharType="end"/>
      </w:r>
      <w:r>
        <w:rPr>
          <w:rFonts w:ascii="Arial" w:hAnsi="Arial"/>
        </w:rPr>
        <w:t xml:space="preserve">. </w:t>
      </w:r>
      <w:r w:rsidR="00F1037A">
        <w:rPr>
          <w:rFonts w:ascii="Arial" w:hAnsi="Arial"/>
        </w:rPr>
        <w:t xml:space="preserve">However, it has also been shown that acute exercise supressed </w:t>
      </w:r>
      <w:r w:rsidR="007763EE">
        <w:rPr>
          <w:rFonts w:ascii="Arial" w:hAnsi="Arial"/>
        </w:rPr>
        <w:t xml:space="preserve">acylated ghrelin concentration in young men </w:t>
      </w:r>
      <w:r w:rsidR="006D3A47">
        <w:rPr>
          <w:rFonts w:ascii="Arial" w:hAnsi="Arial"/>
        </w:rPr>
        <w:fldChar w:fldCharType="begin"/>
      </w:r>
      <w:r w:rsidR="00B97465">
        <w:rPr>
          <w:rFonts w:ascii="Arial" w:hAnsi="Arial"/>
        </w:rPr>
        <w:instrText xml:space="preserve"> ADDIN EN.CITE &lt;EndNote&gt;&lt;Cite&gt;&lt;Author&gt;Broom&lt;/Author&gt;&lt;Year&gt;2007&lt;/Year&gt;&lt;RecNum&gt;606&lt;/RecNum&gt;&lt;DisplayText&gt;(Broom et al., 2007)&lt;/DisplayText&gt;&lt;record&gt;&lt;rec-number&gt;606&lt;/rec-number&gt;&lt;foreign-keys&gt;&lt;key app="EN" db-id="ae9rewfrpdttrheppfxxv0p4950wpd25r09x" timestamp="1521132312"&gt;606&lt;/key&gt;&lt;/foreign-keys&gt;&lt;ref-type name="Journal Article"&gt;17&lt;/ref-type&gt;&lt;contributors&gt;&lt;authors&gt;&lt;author&gt;Broom, D. R.&lt;/author&gt;&lt;author&gt;Stensel, D. J.&lt;/author&gt;&lt;author&gt;Bishop, N. C.&lt;/author&gt;&lt;author&gt;Burns, S. F.&lt;/author&gt;&lt;author&gt;Miyashita, M.&lt;/author&gt;&lt;/authors&gt;&lt;/contributors&gt;&lt;titles&gt;&lt;title&gt;Exercise-induced suppression of acylated ghrelin in humans&lt;/title&gt;&lt;secondary-title&gt;Journal of Applied Physiology (Bethesda, Md. : 1985)&lt;/secondary-title&gt;&lt;/titles&gt;&lt;periodical&gt;&lt;full-title&gt;Journal of applied physiology (Bethesda, Md. : 1985)&lt;/full-title&gt;&lt;/periodical&gt;&lt;pages&gt;2165-2171&lt;/pages&gt;&lt;volume&gt;102&lt;/volume&gt;&lt;number&gt;6&lt;/number&gt;&lt;keywords&gt;&lt;keyword&gt;Appetite -- Physiology&lt;/keyword&gt;&lt;keyword&gt;Physical Endurance -- Physiology&lt;/keyword&gt;&lt;keyword&gt;Physical Exertion -- Physiology&lt;/keyword&gt;&lt;keyword&gt;Running -- Physiology&lt;/keyword&gt;&lt;/keywords&gt;&lt;dates&gt;&lt;year&gt;2007&lt;/year&gt;&lt;/dates&gt;&lt;isbn&gt;8750-7587&lt;/isbn&gt;&lt;urls&gt;&lt;/urls&gt;&lt;electronic-resource-num&gt;10.1152/japplphysiol.00759.2006&lt;/electronic-resource-num&gt;&lt;/record&gt;&lt;/Cite&gt;&lt;/EndNote&gt;</w:instrText>
      </w:r>
      <w:r w:rsidR="006D3A47">
        <w:rPr>
          <w:rFonts w:ascii="Arial" w:hAnsi="Arial"/>
        </w:rPr>
        <w:fldChar w:fldCharType="separate"/>
      </w:r>
      <w:r w:rsidR="006D3A47">
        <w:rPr>
          <w:rFonts w:ascii="Arial" w:hAnsi="Arial"/>
          <w:noProof/>
        </w:rPr>
        <w:t>(Broom et al., 2007)</w:t>
      </w:r>
      <w:r w:rsidR="006D3A47">
        <w:rPr>
          <w:rFonts w:ascii="Arial" w:hAnsi="Arial"/>
        </w:rPr>
        <w:fldChar w:fldCharType="end"/>
      </w:r>
      <w:r w:rsidR="007763EE">
        <w:rPr>
          <w:rFonts w:ascii="Arial" w:hAnsi="Arial"/>
        </w:rPr>
        <w:t xml:space="preserve">. </w:t>
      </w:r>
    </w:p>
    <w:p w14:paraId="15C4C829" w14:textId="77777777" w:rsidR="0015459C" w:rsidRDefault="0015459C" w:rsidP="0015459C"/>
    <w:p w14:paraId="393F7AE7" w14:textId="77777777" w:rsidR="0015459C" w:rsidRDefault="00500979" w:rsidP="0015459C">
      <w:pPr>
        <w:spacing w:line="480" w:lineRule="auto"/>
        <w:jc w:val="both"/>
        <w:rPr>
          <w:rFonts w:ascii="Arial" w:hAnsi="Arial"/>
        </w:rPr>
      </w:pPr>
      <w:r>
        <w:rPr>
          <w:rFonts w:ascii="Arial" w:hAnsi="Arial"/>
        </w:rPr>
        <w:t xml:space="preserve">Elevated concentrations of ghrelin observed in our aged mice at 14:00 may have contributed to increased bone turnover characteristic to the fasted state </w:t>
      </w:r>
      <w:r w:rsidR="006D3A47">
        <w:rPr>
          <w:rFonts w:ascii="Arial" w:hAnsi="Arial"/>
        </w:rPr>
        <w:fldChar w:fldCharType="begin"/>
      </w:r>
      <w:r w:rsidR="00651EFF">
        <w:rPr>
          <w:rFonts w:ascii="Arial" w:hAnsi="Arial"/>
        </w:rPr>
        <w:instrText xml:space="preserve"> ADDIN EN.CITE &lt;EndNote&gt;&lt;Cite&gt;&lt;Author&gt;Costa&lt;/Author&gt;&lt;Year&gt;2011&lt;/Year&gt;&lt;RecNum&gt;609&lt;/RecNum&gt;&lt;DisplayText&gt;(Costa et al., 2011)&lt;/DisplayText&gt;&lt;record&gt;&lt;rec-number&gt;609&lt;/rec-number&gt;&lt;foreign-keys&gt;&lt;key app="EN" db-id="ae9rewfrpdttrheppfxxv0p4950wpd25r09x" timestamp="1521133759"&gt;609&lt;/key&gt;&lt;/foreign-keys&gt;&lt;ref-type name="Journal Article"&gt;17&lt;/ref-type&gt;&lt;contributors&gt;&lt;authors&gt;&lt;author&gt;Costa, J. L., &lt;/author&gt;&lt;author&gt;Naot, D., &lt;/author&gt;&lt;author&gt;Lin, J., &lt;/author&gt;&lt;author&gt;Watson, M., &lt;/author&gt;&lt;author&gt;Callon, K. E., &lt;/author&gt;&lt;author&gt;Reid, I. R., &lt;/author&gt;&lt;author&gt;Grey, a. B., &lt;/author&gt;&lt;author&gt;Cornish, J.&lt;/author&gt;&lt;/authors&gt;&lt;/contributors&gt;&lt;titles&gt;&lt;title&gt;Ghrelin is an Osteoblast Mitogen and Increases Osteoclastic Bone Resorption In Vitro&lt;/title&gt;&lt;secondary-title&gt;International Journal of Peptides&lt;/secondary-title&gt;&lt;/titles&gt;&lt;periodical&gt;&lt;full-title&gt;International Journal of Peptides&lt;/full-title&gt;&lt;/periodical&gt;&lt;pages&gt;1-7&lt;/pages&gt;&lt;volume&gt;2011&lt;/volume&gt;&lt;keywords&gt;&lt;keyword&gt;Biochemistry&lt;/keyword&gt;&lt;keyword&gt;Qd415-436&lt;/keyword&gt;&lt;keyword&gt;Chemistry&lt;/keyword&gt;&lt;/keywords&gt;&lt;dates&gt;&lt;year&gt;2011&lt;/year&gt;&lt;/dates&gt;&lt;isbn&gt;1687-9767&amp;#xD;1687-9775&lt;/isbn&gt;&lt;urls&gt;&lt;/urls&gt;&lt;electronic-resource-num&gt;10.1155/2011/605193&lt;/electronic-resource-num&gt;&lt;/record&gt;&lt;/Cite&gt;&lt;/EndNote&gt;</w:instrText>
      </w:r>
      <w:r w:rsidR="006D3A47">
        <w:rPr>
          <w:rFonts w:ascii="Arial" w:hAnsi="Arial"/>
        </w:rPr>
        <w:fldChar w:fldCharType="separate"/>
      </w:r>
      <w:r w:rsidR="006D3A47">
        <w:rPr>
          <w:rFonts w:ascii="Arial" w:hAnsi="Arial"/>
          <w:noProof/>
        </w:rPr>
        <w:t>(Costa et al., 2011)</w:t>
      </w:r>
      <w:r w:rsidR="006D3A47">
        <w:rPr>
          <w:rFonts w:ascii="Arial" w:hAnsi="Arial"/>
        </w:rPr>
        <w:fldChar w:fldCharType="end"/>
      </w:r>
      <w:r>
        <w:rPr>
          <w:rFonts w:ascii="Arial" w:hAnsi="Arial"/>
        </w:rPr>
        <w:t xml:space="preserve">. </w:t>
      </w:r>
      <w:r w:rsidR="0015459C" w:rsidRPr="00B56199">
        <w:rPr>
          <w:rFonts w:ascii="Arial" w:hAnsi="Arial" w:cs="Arial"/>
          <w:color w:val="000000"/>
          <w:shd w:val="clear" w:color="auto" w:fill="FFFFFF"/>
        </w:rPr>
        <w:t xml:space="preserve">Ghrelin is a </w:t>
      </w:r>
      <w:r w:rsidR="0015459C">
        <w:rPr>
          <w:rFonts w:ascii="Arial" w:hAnsi="Arial" w:cs="Arial"/>
          <w:color w:val="000000"/>
          <w:shd w:val="clear" w:color="auto" w:fill="FFFFFF"/>
        </w:rPr>
        <w:t>circulating</w:t>
      </w:r>
      <w:r w:rsidR="0015459C" w:rsidRPr="00B56199">
        <w:rPr>
          <w:rFonts w:ascii="Arial" w:hAnsi="Arial" w:cs="Arial"/>
          <w:color w:val="000000"/>
          <w:shd w:val="clear" w:color="auto" w:fill="FFFFFF"/>
        </w:rPr>
        <w:t xml:space="preserve"> orexigenic </w:t>
      </w:r>
      <w:r w:rsidR="0015459C">
        <w:rPr>
          <w:rFonts w:ascii="Arial" w:hAnsi="Arial" w:cs="Arial"/>
          <w:color w:val="000000"/>
          <w:shd w:val="clear" w:color="auto" w:fill="FFFFFF"/>
        </w:rPr>
        <w:t>appetite-</w:t>
      </w:r>
      <w:r w:rsidR="0015459C" w:rsidRPr="00B56199">
        <w:rPr>
          <w:rFonts w:ascii="Arial" w:hAnsi="Arial" w:cs="Arial"/>
          <w:color w:val="000000"/>
          <w:shd w:val="clear" w:color="auto" w:fill="FFFFFF"/>
        </w:rPr>
        <w:t>regulating</w:t>
      </w:r>
      <w:r w:rsidR="0015459C">
        <w:rPr>
          <w:rFonts w:ascii="Arial" w:hAnsi="Arial" w:cs="Arial"/>
          <w:color w:val="000000"/>
          <w:shd w:val="clear" w:color="auto" w:fill="FFFFFF"/>
        </w:rPr>
        <w:t xml:space="preserve"> peptide, which </w:t>
      </w:r>
      <w:r w:rsidR="0015459C" w:rsidRPr="00B56199">
        <w:rPr>
          <w:rFonts w:ascii="Arial" w:hAnsi="Arial" w:cs="Arial"/>
          <w:color w:val="000000"/>
          <w:shd w:val="clear" w:color="auto" w:fill="FFFFFF"/>
        </w:rPr>
        <w:t>is part of a feedback loop between the periphery and brain</w:t>
      </w:r>
      <w:r w:rsidR="0015459C">
        <w:rPr>
          <w:rFonts w:ascii="Arial" w:hAnsi="Arial" w:cs="Arial"/>
          <w:color w:val="000000"/>
          <w:shd w:val="clear" w:color="auto" w:fill="FFFFFF"/>
        </w:rPr>
        <w:t xml:space="preserve"> and important factor</w:t>
      </w:r>
      <w:r w:rsidR="0015459C" w:rsidRPr="00B56199">
        <w:rPr>
          <w:rFonts w:ascii="Arial" w:hAnsi="Arial" w:cs="Arial"/>
          <w:color w:val="000000"/>
          <w:shd w:val="clear" w:color="auto" w:fill="FFFFFF"/>
        </w:rPr>
        <w:t xml:space="preserve"> in aging</w:t>
      </w:r>
      <w:r w:rsidR="0015459C">
        <w:rPr>
          <w:rFonts w:ascii="Arial" w:hAnsi="Arial" w:cs="Arial"/>
          <w:color w:val="000000"/>
          <w:shd w:val="clear" w:color="auto" w:fill="FFFFFF"/>
        </w:rPr>
        <w:t xml:space="preserve"> shown both in humans and mouse models of ageing </w:t>
      </w:r>
      <w:r w:rsidR="006D3A47">
        <w:rPr>
          <w:rFonts w:ascii="Arial" w:hAnsi="Arial" w:cs="Arial"/>
          <w:color w:val="000000"/>
          <w:shd w:val="clear" w:color="auto" w:fill="FFFFFF"/>
        </w:rPr>
        <w:fldChar w:fldCharType="begin"/>
      </w:r>
      <w:r w:rsidR="00651EFF">
        <w:rPr>
          <w:rFonts w:ascii="Arial" w:hAnsi="Arial" w:cs="Arial"/>
          <w:color w:val="000000"/>
          <w:shd w:val="clear" w:color="auto" w:fill="FFFFFF"/>
        </w:rPr>
        <w:instrText xml:space="preserve"> ADDIN EN.CITE &lt;EndNote&gt;&lt;Cite&gt;&lt;Author&gt;Fujitsuka&lt;/Author&gt;&lt;Year&gt;2016&lt;/Year&gt;&lt;RecNum&gt;607&lt;/RecNum&gt;&lt;DisplayText&gt;(Fujitsuka et al., 2016)&lt;/DisplayText&gt;&lt;record&gt;&lt;rec-number&gt;607&lt;/rec-number&gt;&lt;foreign-keys&gt;&lt;key app="EN" db-id="ae9rewfrpdttrheppfxxv0p4950wpd25r09x" timestamp="1521132677"&gt;607&lt;/key&gt;&lt;/foreign-keys&gt;&lt;ref-type name="Journal Article"&gt;17&lt;/ref-type&gt;&lt;contributors&gt;&lt;authors&gt;&lt;author&gt;N. Fujitsuka&lt;/author&gt;&lt;author&gt;A. Asakawa&lt;/author&gt;&lt;author&gt;A. Morinaga&lt;/author&gt;&lt;author&gt;M. S. Amitani&lt;/author&gt;&lt;author&gt;H. Amitani&lt;/author&gt;&lt;author&gt;G. Katsuura&lt;/author&gt;&lt;author&gt;Y. Sawada&lt;/author&gt;&lt;author&gt;Y. Sudo&lt;/author&gt;&lt;author&gt;Y. Uezono&lt;/author&gt;&lt;author&gt;E. Mochiki&lt;/author&gt;&lt;author&gt;I. Sakata&lt;/author&gt;&lt;author&gt;T. Sakai&lt;/author&gt;&lt;author&gt;K. Hanazaki&lt;/author&gt;&lt;author&gt;T. Yada&lt;/author&gt;&lt;author&gt;K. Yakabi&lt;/author&gt;&lt;author&gt;E. Sakuma&lt;/author&gt;&lt;author&gt;T. Ueki&lt;/author&gt;&lt;author&gt;A. Niijima&lt;/author&gt;&lt;author&gt;K. Nakagawa&lt;/author&gt;&lt;author&gt;N. Okubo&lt;/author&gt;&lt;author&gt;H. Takeda&lt;/author&gt;&lt;author&gt;M. Asaka&lt;/author&gt;&lt;author&gt;A. Inui&lt;/author&gt;&lt;/authors&gt;&lt;/contributors&gt;&lt;titles&gt;&lt;title&gt;Increased ghrelin signaling prolongs survival in mouse models of human aging through activation of sirtuin1&lt;/title&gt;&lt;secondary-title&gt;Molecular Psychiatry&lt;/secondary-title&gt;&lt;/titles&gt;&lt;periodical&gt;&lt;full-title&gt;Molecular Psychiatry&lt;/full-title&gt;&lt;/periodical&gt;&lt;pages&gt;1613-23&lt;/pages&gt;&lt;volume&gt;21&lt;/volume&gt;&lt;number&gt;11&lt;/number&gt;&lt;keywords&gt;&lt;keyword&gt;Ghrelin -- Health Aspects&lt;/keyword&gt;&lt;keyword&gt;Aging (Biology) -- Health Aspects&lt;/keyword&gt;&lt;/keywords&gt;&lt;dates&gt;&lt;year&gt;2016&lt;/year&gt;&lt;/dates&gt;&lt;isbn&gt;1359-4184&lt;/isbn&gt;&lt;urls&gt;&lt;/urls&gt;&lt;electronic-resource-num&gt;10.1038/mp.2015.220&lt;/electronic-resource-num&gt;&lt;/record&gt;&lt;/Cite&gt;&lt;/EndNote&gt;</w:instrText>
      </w:r>
      <w:r w:rsidR="006D3A47">
        <w:rPr>
          <w:rFonts w:ascii="Arial" w:hAnsi="Arial" w:cs="Arial"/>
          <w:color w:val="000000"/>
          <w:shd w:val="clear" w:color="auto" w:fill="FFFFFF"/>
        </w:rPr>
        <w:fldChar w:fldCharType="separate"/>
      </w:r>
      <w:r w:rsidR="006D3A47">
        <w:rPr>
          <w:rFonts w:ascii="Arial" w:hAnsi="Arial" w:cs="Arial"/>
          <w:noProof/>
          <w:color w:val="000000"/>
          <w:shd w:val="clear" w:color="auto" w:fill="FFFFFF"/>
        </w:rPr>
        <w:t>(Fujitsuka et al., 2016)</w:t>
      </w:r>
      <w:r w:rsidR="006D3A47">
        <w:rPr>
          <w:rFonts w:ascii="Arial" w:hAnsi="Arial" w:cs="Arial"/>
          <w:color w:val="000000"/>
          <w:shd w:val="clear" w:color="auto" w:fill="FFFFFF"/>
        </w:rPr>
        <w:fldChar w:fldCharType="end"/>
      </w:r>
      <w:r w:rsidR="0015459C">
        <w:rPr>
          <w:rFonts w:ascii="Arial" w:hAnsi="Arial" w:cs="Arial"/>
          <w:color w:val="000000"/>
          <w:shd w:val="clear" w:color="auto" w:fill="FFFFFF"/>
        </w:rPr>
        <w:t>.</w:t>
      </w:r>
      <w:r w:rsidR="0015459C" w:rsidRPr="001668C2">
        <w:rPr>
          <w:rFonts w:ascii="Arial" w:hAnsi="Arial"/>
        </w:rPr>
        <w:t xml:space="preserve"> </w:t>
      </w:r>
      <w:r w:rsidR="00880631">
        <w:rPr>
          <w:rFonts w:ascii="Arial" w:hAnsi="Arial" w:cs="Arial"/>
        </w:rPr>
        <w:t xml:space="preserve">During ageing plasma ghrelin concentrations in brown adipose tissue are elevated, which may lead to impairment and imbalance in thermogenic regulation </w:t>
      </w:r>
      <w:r w:rsidR="006D3A47">
        <w:rPr>
          <w:rFonts w:ascii="Arial" w:hAnsi="Arial" w:cs="Arial"/>
        </w:rPr>
        <w:fldChar w:fldCharType="begin"/>
      </w:r>
      <w:r w:rsidR="0000415D">
        <w:rPr>
          <w:rFonts w:ascii="Arial" w:hAnsi="Arial" w:cs="Arial"/>
        </w:rPr>
        <w:instrText xml:space="preserve"> ADDIN EN.CITE &lt;EndNote&gt;&lt;Cite&gt;&lt;Author&gt;Lin&lt;/Author&gt;&lt;Year&gt;2014&lt;/Year&gt;&lt;RecNum&gt;608&lt;/RecNum&gt;&lt;DisplayText&gt;(Lin et al., 2014)&lt;/DisplayText&gt;&lt;record&gt;&lt;rec-number&gt;608&lt;/rec-number&gt;&lt;foreign-keys&gt;&lt;key app="EN" db-id="ae9rewfrpdttrheppfxxv0p4950wpd25r09x" timestamp="1521132815"&gt;608&lt;/key&gt;&lt;/foreign-keys&gt;&lt;ref-type name="Journal Article"&gt;17&lt;/ref-type&gt;&lt;contributors&gt;&lt;authors&gt;&lt;author&gt;Lin, Ligen&lt;/author&gt;&lt;author&gt;Lee, Jong Han&lt;/author&gt;&lt;author&gt;Bongmba, Odelia Y. N.&lt;/author&gt;&lt;author&gt;Ma, Xiaojun&lt;/author&gt;&lt;author&gt;Zhu, Xiongwei&lt;/author&gt;&lt;author&gt;Sheikh-Hamad, David&lt;/author&gt;&lt;author&gt;Sun, Yuxiang&lt;/author&gt;&lt;/authors&gt;&lt;/contributors&gt;&lt;titles&gt;&lt;title&gt;The suppression of ghrelin signaling mitigates age</w:instrText>
      </w:r>
      <w:r w:rsidR="0000415D">
        <w:rPr>
          <w:rFonts w:ascii="American Typewriter" w:hAnsi="American Typewriter" w:cs="American Typewriter"/>
        </w:rPr>
        <w:instrText>‐</w:instrText>
      </w:r>
      <w:r w:rsidR="0000415D">
        <w:rPr>
          <w:rFonts w:ascii="Arial" w:hAnsi="Arial" w:cs="Arial"/>
        </w:rPr>
        <w:instrText>associated thermogenic impairment&lt;/title&gt;&lt;secondary-title&gt;Aging&lt;/secondary-title&gt;&lt;/titles&gt;&lt;periodical&gt;&lt;full-title&gt;Aging&lt;/full-title&gt;&lt;/periodical&gt;&lt;pages&gt;1019-32&lt;/pages&gt;&lt;volume&gt;6&lt;/volume&gt;&lt;number&gt;12&lt;/number&gt;&lt;keywords&gt;&lt;keyword&gt;Signal Transduction&lt;/keyword&gt;&lt;keyword&gt;Thermogenesis&lt;/keyword&gt;&lt;keyword&gt;Aging -- Metabolism&lt;/keyword&gt;&lt;keyword&gt;Ghrelin -- Metabolism&lt;/keyword&gt;&lt;keyword&gt;Receptors, Ghrelin -- Metabolism&lt;/keyword&gt;&lt;/keywords&gt;&lt;dates&gt;&lt;year&gt;2014&lt;/year&gt;&lt;/dates&gt;&lt;urls&gt;&lt;/urls&gt;&lt;electronic-resource-num&gt;10.18632/aging.100706&lt;/electronic-resource-num&gt;&lt;/record&gt;&lt;/Cite&gt;&lt;/EndNote&gt;</w:instrText>
      </w:r>
      <w:r w:rsidR="006D3A47">
        <w:rPr>
          <w:rFonts w:ascii="Arial" w:hAnsi="Arial" w:cs="Arial"/>
        </w:rPr>
        <w:fldChar w:fldCharType="separate"/>
      </w:r>
      <w:r w:rsidR="006D3A47">
        <w:rPr>
          <w:rFonts w:ascii="Arial" w:hAnsi="Arial" w:cs="Arial"/>
          <w:noProof/>
        </w:rPr>
        <w:t>(Lin et al., 2014)</w:t>
      </w:r>
      <w:r w:rsidR="006D3A47">
        <w:rPr>
          <w:rFonts w:ascii="Arial" w:hAnsi="Arial" w:cs="Arial"/>
        </w:rPr>
        <w:fldChar w:fldCharType="end"/>
      </w:r>
      <w:r w:rsidR="00880631">
        <w:rPr>
          <w:rFonts w:ascii="Arial" w:hAnsi="Arial" w:cs="Arial"/>
        </w:rPr>
        <w:t xml:space="preserve">. </w:t>
      </w:r>
      <w:r w:rsidR="008C78B1">
        <w:rPr>
          <w:rFonts w:ascii="Arial" w:hAnsi="Arial" w:cs="Arial"/>
        </w:rPr>
        <w:t>A</w:t>
      </w:r>
      <w:r w:rsidR="0015459C">
        <w:rPr>
          <w:rFonts w:ascii="Arial" w:hAnsi="Arial" w:cs="Arial"/>
        </w:rPr>
        <w:t>geing may impair the endogenous ghrelin signalling pathways</w:t>
      </w:r>
      <w:r>
        <w:rPr>
          <w:rFonts w:ascii="Arial" w:hAnsi="Arial" w:cs="Arial"/>
        </w:rPr>
        <w:t xml:space="preserve"> </w:t>
      </w:r>
      <w:r w:rsidR="006D3A47">
        <w:rPr>
          <w:rFonts w:ascii="Arial" w:hAnsi="Arial" w:cs="Arial"/>
        </w:rPr>
        <w:fldChar w:fldCharType="begin">
          <w:fldData xml:space="preserve">PEVuZE5vdGU+PENpdGU+PEF1dGhvcj5HaXJhcmRldDwvQXV0aG9yPjxZZWFyPjIwMTQ8L1llYXI+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</w:fldData>
        </w:fldChar>
      </w:r>
      <w:r w:rsidR="006D3A47">
        <w:rPr>
          <w:rFonts w:ascii="Arial" w:hAnsi="Arial" w:cs="Arial"/>
        </w:rPr>
        <w:instrText xml:space="preserve"> ADDIN EN.CITE </w:instrText>
      </w:r>
      <w:r w:rsidR="006D3A47">
        <w:rPr>
          <w:rFonts w:ascii="Arial" w:hAnsi="Arial" w:cs="Arial"/>
        </w:rPr>
        <w:fldChar w:fldCharType="begin">
          <w:fldData xml:space="preserve">PEVuZE5vdGU+PENpdGU+PEF1dGhvcj5HaXJhcmRldDwvQXV0aG9yPjxZZWFyPjIwMTQ8L1llYXI+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</w:fldData>
        </w:fldChar>
      </w:r>
      <w:r w:rsidR="006D3A47">
        <w:rPr>
          <w:rFonts w:ascii="Arial" w:hAnsi="Arial" w:cs="Arial"/>
        </w:rPr>
        <w:instrText xml:space="preserve"> ADDIN EN.CITE.DATA </w:instrText>
      </w:r>
      <w:r w:rsidR="006D3A47">
        <w:rPr>
          <w:rFonts w:ascii="Arial" w:hAnsi="Arial" w:cs="Arial"/>
        </w:rPr>
      </w:r>
      <w:r w:rsidR="006D3A47">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(Girardet et al., 2014, Bayliss and Andrews, 2016)</w:t>
      </w:r>
      <w:r w:rsidR="006D3A47">
        <w:rPr>
          <w:rFonts w:ascii="Arial" w:hAnsi="Arial" w:cs="Arial"/>
        </w:rPr>
        <w:fldChar w:fldCharType="end"/>
      </w:r>
      <w:r w:rsidR="008C78B1">
        <w:rPr>
          <w:rFonts w:ascii="Arial" w:hAnsi="Arial" w:cs="Arial"/>
        </w:rPr>
        <w:t>, m</w:t>
      </w:r>
      <w:r w:rsidR="0015459C">
        <w:rPr>
          <w:rFonts w:ascii="Arial" w:hAnsi="Arial" w:cs="Arial"/>
        </w:rPr>
        <w:t>ost importantly, the</w:t>
      </w:r>
      <w:r w:rsidR="0015459C">
        <w:rPr>
          <w:rFonts w:ascii="Arial" w:hAnsi="Arial"/>
        </w:rPr>
        <w:t xml:space="preserve"> anabolic e</w:t>
      </w:r>
      <w:r w:rsidR="0015459C" w:rsidRPr="0054310C">
        <w:rPr>
          <w:rFonts w:ascii="Arial" w:hAnsi="Arial"/>
        </w:rPr>
        <w:t xml:space="preserve">ffects </w:t>
      </w:r>
      <w:r w:rsidR="0015459C">
        <w:rPr>
          <w:rFonts w:ascii="Arial" w:hAnsi="Arial"/>
        </w:rPr>
        <w:t xml:space="preserve">of ghrelin </w:t>
      </w:r>
      <w:r w:rsidR="0015459C" w:rsidRPr="0054310C">
        <w:rPr>
          <w:rFonts w:ascii="Arial" w:hAnsi="Arial"/>
        </w:rPr>
        <w:t xml:space="preserve">on bone </w:t>
      </w:r>
      <w:r w:rsidR="0015459C">
        <w:rPr>
          <w:rFonts w:ascii="Arial" w:hAnsi="Arial"/>
        </w:rPr>
        <w:t>and long-term regulation of energy homeostasis</w:t>
      </w:r>
      <w:r w:rsidR="0015459C" w:rsidRPr="0054310C">
        <w:rPr>
          <w:rFonts w:ascii="Arial" w:hAnsi="Arial"/>
        </w:rPr>
        <w:t xml:space="preserve"> are affected by age</w:t>
      </w:r>
      <w:r w:rsidR="008C78B1">
        <w:rPr>
          <w:rFonts w:ascii="Arial" w:hAnsi="Arial"/>
        </w:rPr>
        <w:t xml:space="preserve"> </w:t>
      </w:r>
      <w:r w:rsidR="006D3A47">
        <w:rPr>
          <w:rFonts w:ascii="Arial" w:hAnsi="Arial"/>
        </w:rPr>
        <w:fldChar w:fldCharType="begin">
          <w:fldData xml:space="preserve">PEVuZE5vdGU+PENpdGU+PEF1dGhvcj5TbWl0aDwvQXV0aG9yPjxZZWFyPjIwMDc8L1llYXI+PFJl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</w:fldData>
        </w:fldChar>
      </w:r>
      <w:r w:rsidR="0000415D">
        <w:rPr>
          <w:rFonts w:ascii="Arial" w:hAnsi="Arial"/>
        </w:rPr>
        <w:instrText xml:space="preserve"> ADDIN EN.CITE </w:instrText>
      </w:r>
      <w:r w:rsidR="0000415D">
        <w:rPr>
          <w:rFonts w:ascii="Arial" w:hAnsi="Arial"/>
        </w:rPr>
        <w:fldChar w:fldCharType="begin">
          <w:fldData xml:space="preserve">PEVuZE5vdGU+PENpdGU+PEF1dGhvcj5TbWl0aDwvQXV0aG9yPjxZZWFyPjIwMDc8L1llYXI+PFJl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</w:fldData>
        </w:fldChar>
      </w:r>
      <w:r w:rsidR="0000415D">
        <w:rPr>
          <w:rFonts w:ascii="Arial" w:hAnsi="Arial"/>
        </w:rPr>
        <w:instrText xml:space="preserve"> ADDIN EN.CITE.DATA </w:instrText>
      </w:r>
      <w:r w:rsidR="0000415D">
        <w:rPr>
          <w:rFonts w:ascii="Arial" w:hAnsi="Arial"/>
        </w:rPr>
      </w:r>
      <w:r w:rsidR="0000415D">
        <w:rPr>
          <w:rFonts w:ascii="Arial" w:hAnsi="Arial"/>
        </w:rPr>
        <w:fldChar w:fldCharType="end"/>
      </w:r>
      <w:r w:rsidR="006D3A47">
        <w:rPr>
          <w:rFonts w:ascii="Arial" w:hAnsi="Arial"/>
        </w:rPr>
      </w:r>
      <w:r w:rsidR="006D3A47">
        <w:rPr>
          <w:rFonts w:ascii="Arial" w:hAnsi="Arial"/>
        </w:rPr>
        <w:fldChar w:fldCharType="separate"/>
      </w:r>
      <w:r w:rsidR="0000415D">
        <w:rPr>
          <w:rFonts w:ascii="Arial" w:hAnsi="Arial"/>
          <w:noProof/>
        </w:rPr>
        <w:t>(Smith et al., 2007, Van der Velde et al., 2012)</w:t>
      </w:r>
      <w:r w:rsidR="006D3A47">
        <w:rPr>
          <w:rFonts w:ascii="Arial" w:hAnsi="Arial"/>
        </w:rPr>
        <w:fldChar w:fldCharType="end"/>
      </w:r>
      <w:r w:rsidR="008C78B1">
        <w:rPr>
          <w:rFonts w:ascii="Arial" w:hAnsi="Arial"/>
        </w:rPr>
        <w:t>.</w:t>
      </w:r>
      <w:r w:rsidR="0015459C" w:rsidRPr="0054310C">
        <w:rPr>
          <w:rFonts w:ascii="Arial" w:hAnsi="Arial"/>
        </w:rPr>
        <w:t xml:space="preserve"> </w:t>
      </w:r>
    </w:p>
    <w:p w14:paraId="535AB7A0" w14:textId="77777777" w:rsidR="0015459C" w:rsidRDefault="0015459C" w:rsidP="0015459C">
      <w:pPr>
        <w:spacing w:line="480" w:lineRule="auto"/>
        <w:jc w:val="both"/>
        <w:rPr>
          <w:rFonts w:ascii="Arial" w:hAnsi="Arial" w:cs="Arial"/>
          <w:color w:val="000000" w:themeColor="text1"/>
        </w:rPr>
      </w:pPr>
    </w:p>
    <w:p w14:paraId="5A434872" w14:textId="77777777" w:rsidR="0015459C" w:rsidRDefault="0015459C" w:rsidP="0015459C">
      <w:pPr>
        <w:spacing w:line="480" w:lineRule="auto"/>
        <w:jc w:val="both"/>
        <w:rPr>
          <w:rFonts w:ascii="Arial" w:hAnsi="Arial" w:cs="Arial"/>
        </w:rPr>
      </w:pPr>
      <w:r>
        <w:rPr>
          <w:rFonts w:ascii="Arial" w:hAnsi="Arial" w:cs="Arial"/>
          <w:color w:val="000000" w:themeColor="text1"/>
        </w:rPr>
        <w:t xml:space="preserve">Ghrelin </w:t>
      </w:r>
      <w:r w:rsidR="00A62E27">
        <w:rPr>
          <w:rFonts w:ascii="Arial" w:hAnsi="Arial" w:cs="Arial"/>
          <w:color w:val="000000" w:themeColor="text1"/>
        </w:rPr>
        <w:t xml:space="preserve">directly and indirectly </w:t>
      </w:r>
      <w:r>
        <w:rPr>
          <w:rFonts w:ascii="Arial" w:hAnsi="Arial" w:cs="Arial"/>
          <w:color w:val="000000" w:themeColor="text1"/>
        </w:rPr>
        <w:t xml:space="preserve">interacts with </w:t>
      </w:r>
      <w:r w:rsidRPr="00732FDC">
        <w:rPr>
          <w:rFonts w:ascii="Arial" w:hAnsi="Arial" w:cs="Arial"/>
          <w:b/>
          <w:color w:val="000000" w:themeColor="text1"/>
        </w:rPr>
        <w:t>leptin</w:t>
      </w:r>
      <w:r w:rsidR="00A62E27">
        <w:rPr>
          <w:rFonts w:ascii="Arial" w:hAnsi="Arial" w:cs="Arial"/>
          <w:color w:val="000000" w:themeColor="text1"/>
        </w:rPr>
        <w:t xml:space="preserve"> to modulate</w:t>
      </w:r>
      <w:r>
        <w:rPr>
          <w:rFonts w:ascii="Arial" w:hAnsi="Arial" w:cs="Arial"/>
          <w:color w:val="000000" w:themeColor="text1"/>
        </w:rPr>
        <w:t xml:space="preserve"> bone structure comprising a metabolically balanced mechanism that couples bone homeostasis with energy metabolism </w:t>
      </w:r>
      <w:r w:rsidR="006D3A47">
        <w:rPr>
          <w:rFonts w:ascii="Arial" w:hAnsi="Arial" w:cs="Arial"/>
          <w:color w:val="000000" w:themeColor="text1"/>
        </w:rPr>
        <w:fldChar w:fldCharType="begin">
          <w:fldData xml:space="preserve">PEVuZE5vdGU+PENpdGU+PEF1dGhvcj5XZWx0PC9BdXRob3I+PFllYXI+MjAwNDwvWWVhcj48UmVj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</w:fldData>
        </w:fldChar>
      </w:r>
      <w:r w:rsidR="0000415D">
        <w:rPr>
          <w:rFonts w:ascii="Arial" w:hAnsi="Arial" w:cs="Arial"/>
          <w:color w:val="000000" w:themeColor="text1"/>
        </w:rPr>
        <w:instrText xml:space="preserve"> ADDIN EN.CITE </w:instrText>
      </w:r>
      <w:r w:rsidR="0000415D">
        <w:rPr>
          <w:rFonts w:ascii="Arial" w:hAnsi="Arial" w:cs="Arial"/>
          <w:color w:val="000000" w:themeColor="text1"/>
        </w:rPr>
        <w:fldChar w:fldCharType="begin">
          <w:fldData xml:space="preserve">PEVuZE5vdGU+PENpdGU+PEF1dGhvcj5XZWx0PC9BdXRob3I+PFllYXI+MjAwNDwvWWVhcj48UmVj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</w:fldData>
        </w:fldChar>
      </w:r>
      <w:r w:rsidR="0000415D">
        <w:rPr>
          <w:rFonts w:ascii="Arial" w:hAnsi="Arial" w:cs="Arial"/>
          <w:color w:val="000000" w:themeColor="text1"/>
        </w:rPr>
        <w:instrText xml:space="preserve"> ADDIN EN.CITE.DATA </w:instrText>
      </w:r>
      <w:r w:rsidR="0000415D">
        <w:rPr>
          <w:rFonts w:ascii="Arial" w:hAnsi="Arial" w:cs="Arial"/>
          <w:color w:val="000000" w:themeColor="text1"/>
        </w:rPr>
      </w:r>
      <w:r w:rsidR="0000415D">
        <w:rPr>
          <w:rFonts w:ascii="Arial" w:hAnsi="Arial" w:cs="Arial"/>
          <w:color w:val="000000" w:themeColor="text1"/>
        </w:rPr>
        <w:fldChar w:fldCharType="end"/>
      </w:r>
      <w:r w:rsidR="006D3A47">
        <w:rPr>
          <w:rFonts w:ascii="Arial" w:hAnsi="Arial" w:cs="Arial"/>
          <w:color w:val="000000" w:themeColor="text1"/>
        </w:rPr>
      </w:r>
      <w:r w:rsidR="006D3A47">
        <w:rPr>
          <w:rFonts w:ascii="Arial" w:hAnsi="Arial" w:cs="Arial"/>
          <w:color w:val="000000" w:themeColor="text1"/>
        </w:rPr>
        <w:fldChar w:fldCharType="separate"/>
      </w:r>
      <w:r w:rsidR="006D3A47">
        <w:rPr>
          <w:rFonts w:ascii="Arial" w:hAnsi="Arial" w:cs="Arial"/>
          <w:noProof/>
          <w:color w:val="000000" w:themeColor="text1"/>
        </w:rPr>
        <w:t>(Welt et al., 2004, Hamrick et al., 2008b, Rosen et al., 2009)</w:t>
      </w:r>
      <w:r w:rsidR="006D3A47">
        <w:rPr>
          <w:rFonts w:ascii="Arial" w:hAnsi="Arial" w:cs="Arial"/>
          <w:color w:val="000000" w:themeColor="text1"/>
        </w:rPr>
        <w:fldChar w:fldCharType="end"/>
      </w:r>
      <w:r w:rsidR="00AA7D00">
        <w:rPr>
          <w:rFonts w:ascii="Arial" w:hAnsi="Arial" w:cs="Arial"/>
          <w:color w:val="000000" w:themeColor="text1"/>
        </w:rPr>
        <w:t xml:space="preserve">. </w:t>
      </w:r>
      <w:r>
        <w:rPr>
          <w:rFonts w:ascii="Arial" w:hAnsi="Arial" w:cs="Arial"/>
          <w:color w:val="000000" w:themeColor="text1"/>
        </w:rPr>
        <w:t xml:space="preserve">As discussed in </w:t>
      </w:r>
      <w:r>
        <w:rPr>
          <w:rFonts w:ascii="Arial" w:hAnsi="Arial" w:cs="Arial"/>
          <w:color w:val="000000" w:themeColor="text1"/>
        </w:rPr>
        <w:lastRenderedPageBreak/>
        <w:t>general introduction</w:t>
      </w:r>
      <w:r w:rsidR="001058B3">
        <w:rPr>
          <w:rFonts w:ascii="Arial" w:hAnsi="Arial" w:cs="Arial"/>
          <w:color w:val="000000" w:themeColor="text1"/>
        </w:rPr>
        <w:t xml:space="preserve"> (Chapter 1)</w:t>
      </w:r>
      <w:r>
        <w:rPr>
          <w:rFonts w:ascii="Arial" w:hAnsi="Arial" w:cs="Arial"/>
          <w:color w:val="000000" w:themeColor="text1"/>
        </w:rPr>
        <w:t xml:space="preserve">, </w:t>
      </w:r>
      <w:r>
        <w:rPr>
          <w:rFonts w:ascii="Arial" w:hAnsi="Arial" w:cs="Arial"/>
        </w:rPr>
        <w:t>l</w:t>
      </w:r>
      <w:r w:rsidRPr="00414B19">
        <w:rPr>
          <w:rFonts w:ascii="Arial" w:hAnsi="Arial" w:cs="Arial"/>
        </w:rPr>
        <w:t xml:space="preserve">eptin </w:t>
      </w:r>
      <w:r>
        <w:rPr>
          <w:rFonts w:ascii="Arial" w:hAnsi="Arial" w:cs="Arial"/>
        </w:rPr>
        <w:t>play</w:t>
      </w:r>
      <w:r w:rsidR="001058B3">
        <w:rPr>
          <w:rFonts w:ascii="Arial" w:hAnsi="Arial" w:cs="Arial"/>
        </w:rPr>
        <w:t>s</w:t>
      </w:r>
      <w:r w:rsidRPr="00414B19">
        <w:rPr>
          <w:rFonts w:ascii="Arial" w:hAnsi="Arial" w:cs="Arial"/>
        </w:rPr>
        <w:t xml:space="preserve"> significant role in bone metabolism</w:t>
      </w:r>
      <w:r>
        <w:rPr>
          <w:rFonts w:ascii="Arial" w:hAnsi="Arial" w:cs="Arial"/>
        </w:rPr>
        <w:t>. Leptin is li</w:t>
      </w:r>
      <w:r w:rsidR="00C578A1">
        <w:rPr>
          <w:rFonts w:ascii="Arial" w:hAnsi="Arial" w:cs="Arial"/>
        </w:rPr>
        <w:t>n</w:t>
      </w:r>
      <w:r>
        <w:rPr>
          <w:rFonts w:ascii="Arial" w:hAnsi="Arial" w:cs="Arial"/>
        </w:rPr>
        <w:t xml:space="preserve">ked to an increased cortical bone mass having direct effects on osteoblasts and osteoclasts </w:t>
      </w:r>
      <w:r w:rsidR="006D3A47">
        <w:rPr>
          <w:rFonts w:ascii="Arial" w:hAnsi="Arial" w:cs="Arial"/>
        </w:rPr>
        <w:fldChar w:fldCharType="begin">
          <w:fldData xml:space="preserve">PEVuZE5vdGU+PENpdGU+PEF1dGhvcj5UaG9tYXM8L0F1dGhvcj48WWVhcj4xOTk5PC9ZZWFyPjxS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</w:fldData>
        </w:fldChar>
      </w:r>
      <w:r w:rsidR="00651EFF">
        <w:rPr>
          <w:rFonts w:ascii="Arial" w:hAnsi="Arial" w:cs="Arial"/>
        </w:rPr>
        <w:instrText xml:space="preserve"> ADDIN EN.CITE </w:instrText>
      </w:r>
      <w:r w:rsidR="00651EFF">
        <w:rPr>
          <w:rFonts w:ascii="Arial" w:hAnsi="Arial" w:cs="Arial"/>
        </w:rPr>
        <w:fldChar w:fldCharType="begin">
          <w:fldData xml:space="preserve">PEVuZE5vdGU+PENpdGU+PEF1dGhvcj5UaG9tYXM8L0F1dGhvcj48WWVhcj4xOTk5PC9ZZWFyPjxS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</w:fldData>
        </w:fldChar>
      </w:r>
      <w:r w:rsidR="00651EFF">
        <w:rPr>
          <w:rFonts w:ascii="Arial" w:hAnsi="Arial" w:cs="Arial"/>
        </w:rPr>
        <w:instrText xml:space="preserve"> ADDIN EN.CITE.DATA </w:instrText>
      </w:r>
      <w:r w:rsidR="00651EFF">
        <w:rPr>
          <w:rFonts w:ascii="Arial" w:hAnsi="Arial" w:cs="Arial"/>
        </w:rPr>
      </w:r>
      <w:r w:rsidR="00651EFF">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(Thomas et al., 1999, Hamrick et al., 2008b)</w:t>
      </w:r>
      <w:r w:rsidR="006D3A47">
        <w:rPr>
          <w:rFonts w:ascii="Arial" w:hAnsi="Arial" w:cs="Arial"/>
        </w:rPr>
        <w:fldChar w:fldCharType="end"/>
      </w:r>
      <w:r w:rsidR="00AA7D00">
        <w:rPr>
          <w:rFonts w:ascii="Arial" w:hAnsi="Arial" w:cs="Arial"/>
        </w:rPr>
        <w:t xml:space="preserve"> </w:t>
      </w:r>
      <w:r>
        <w:rPr>
          <w:rFonts w:ascii="Arial" w:hAnsi="Arial" w:cs="Arial"/>
        </w:rPr>
        <w:t xml:space="preserve">and through stimulation of </w:t>
      </w:r>
      <w:r w:rsidRPr="00B56B4A">
        <w:rPr>
          <w:rFonts w:ascii="Arial" w:hAnsi="Arial" w:cs="Calibri"/>
          <w:bCs/>
          <w:color w:val="000000"/>
        </w:rPr>
        <w:t xml:space="preserve">GH-IGF axis and </w:t>
      </w:r>
      <w:r>
        <w:rPr>
          <w:rFonts w:ascii="Arial" w:hAnsi="Arial" w:cs="Calibri"/>
          <w:bCs/>
          <w:color w:val="000000"/>
        </w:rPr>
        <w:t xml:space="preserve">inhibition of </w:t>
      </w:r>
      <w:r w:rsidRPr="00B56B4A">
        <w:rPr>
          <w:rFonts w:ascii="Arial" w:hAnsi="Arial" w:cs="Calibri"/>
          <w:bCs/>
          <w:color w:val="000000"/>
        </w:rPr>
        <w:t>NPY</w:t>
      </w:r>
      <w:r>
        <w:rPr>
          <w:rFonts w:ascii="Arial" w:hAnsi="Arial" w:cs="Calibri"/>
          <w:bCs/>
          <w:color w:val="000000"/>
        </w:rPr>
        <w:t>, which is opposite to the effect of ghrelin</w:t>
      </w:r>
      <w:r w:rsidR="00650B48">
        <w:rPr>
          <w:rFonts w:ascii="Arial" w:hAnsi="Arial" w:cs="Calibri"/>
          <w:bCs/>
          <w:color w:val="000000"/>
        </w:rPr>
        <w:t xml:space="preserve"> </w:t>
      </w:r>
      <w:r w:rsidR="006D3A47">
        <w:rPr>
          <w:rFonts w:ascii="Arial" w:hAnsi="Arial" w:cs="Calibri"/>
          <w:bCs/>
          <w:color w:val="000000"/>
        </w:rPr>
        <w:fldChar w:fldCharType="begin">
          <w:fldData xml:space="preserve">PEVuZE5vdGU+PENpdGU+PEF1dGhvcj5XZWx0PC9BdXRob3I+PFllYXI+MjAwNDwvWWVhcj48UmVj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</w:fldData>
        </w:fldChar>
      </w:r>
      <w:r w:rsidR="0000415D">
        <w:rPr>
          <w:rFonts w:ascii="Arial" w:hAnsi="Arial" w:cs="Calibri"/>
          <w:bCs/>
          <w:color w:val="000000"/>
        </w:rPr>
        <w:instrText xml:space="preserve"> ADDIN EN.CITE </w:instrText>
      </w:r>
      <w:r w:rsidR="0000415D">
        <w:rPr>
          <w:rFonts w:ascii="Arial" w:hAnsi="Arial" w:cs="Calibri"/>
          <w:bCs/>
          <w:color w:val="000000"/>
        </w:rPr>
        <w:fldChar w:fldCharType="begin">
          <w:fldData xml:space="preserve">PEVuZE5vdGU+PENpdGU+PEF1dGhvcj5XZWx0PC9BdXRob3I+PFllYXI+MjAwNDwvWWVhcj48UmVj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</w:fldData>
        </w:fldChar>
      </w:r>
      <w:r w:rsidR="0000415D">
        <w:rPr>
          <w:rFonts w:ascii="Arial" w:hAnsi="Arial" w:cs="Calibri"/>
          <w:bCs/>
          <w:color w:val="000000"/>
        </w:rPr>
        <w:instrText xml:space="preserve"> ADDIN EN.CITE.DATA </w:instrText>
      </w:r>
      <w:r w:rsidR="0000415D">
        <w:rPr>
          <w:rFonts w:ascii="Arial" w:hAnsi="Arial" w:cs="Calibri"/>
          <w:bCs/>
          <w:color w:val="000000"/>
        </w:rPr>
      </w:r>
      <w:r w:rsidR="0000415D">
        <w:rPr>
          <w:rFonts w:ascii="Arial" w:hAnsi="Arial" w:cs="Calibri"/>
          <w:bCs/>
          <w:color w:val="000000"/>
        </w:rPr>
        <w:fldChar w:fldCharType="end"/>
      </w:r>
      <w:r w:rsidR="006D3A47">
        <w:rPr>
          <w:rFonts w:ascii="Arial" w:hAnsi="Arial" w:cs="Calibri"/>
          <w:bCs/>
          <w:color w:val="000000"/>
        </w:rPr>
      </w:r>
      <w:r w:rsidR="006D3A47">
        <w:rPr>
          <w:rFonts w:ascii="Arial" w:hAnsi="Arial" w:cs="Calibri"/>
          <w:bCs/>
          <w:color w:val="000000"/>
        </w:rPr>
        <w:fldChar w:fldCharType="separate"/>
      </w:r>
      <w:r w:rsidR="006D3A47">
        <w:rPr>
          <w:rFonts w:ascii="Arial" w:hAnsi="Arial" w:cs="Calibri"/>
          <w:bCs/>
          <w:noProof/>
          <w:color w:val="000000"/>
        </w:rPr>
        <w:t>(Welt et al., 2004, Hamrick et al., 2008b, Diéguez et al., 2011)</w:t>
      </w:r>
      <w:r w:rsidR="006D3A47">
        <w:rPr>
          <w:rFonts w:ascii="Arial" w:hAnsi="Arial" w:cs="Calibri"/>
          <w:bCs/>
          <w:color w:val="000000"/>
        </w:rPr>
        <w:fldChar w:fldCharType="end"/>
      </w:r>
      <w:r>
        <w:rPr>
          <w:rFonts w:ascii="Arial" w:hAnsi="Arial" w:cs="Calibri"/>
          <w:bCs/>
          <w:color w:val="000000"/>
        </w:rPr>
        <w:t xml:space="preserve">. </w:t>
      </w:r>
      <w:r w:rsidR="00650B48">
        <w:rPr>
          <w:rFonts w:ascii="Arial" w:hAnsi="Arial"/>
        </w:rPr>
        <w:t xml:space="preserve">Van der Velde et al. </w:t>
      </w:r>
      <w:r>
        <w:rPr>
          <w:rFonts w:ascii="Arial" w:hAnsi="Arial"/>
        </w:rPr>
        <w:t>showed that leptin deficiency decreased trabecular and cortical bone mass by reducing BV/TV, Tb.Th and Ct.Th in young mice independent of ghrelin signalling</w:t>
      </w:r>
      <w:r w:rsidR="00650B48">
        <w:rPr>
          <w:rFonts w:ascii="Arial" w:hAnsi="Arial"/>
        </w:rPr>
        <w:t xml:space="preserve"> </w:t>
      </w:r>
      <w:r w:rsidR="006D3A47">
        <w:rPr>
          <w:rFonts w:ascii="Arial" w:hAnsi="Arial"/>
        </w:rPr>
        <w:fldChar w:fldCharType="begin"/>
      </w:r>
      <w:r w:rsidR="0000415D">
        <w:rPr>
          <w:rFonts w:ascii="Arial" w:hAnsi="Arial"/>
        </w:rPr>
        <w:instrText xml:space="preserve"> ADDIN EN.CITE &lt;EndNote&gt;&lt;Cite&gt;&lt;Author&gt;van der Velde&lt;/Author&gt;&lt;Year&gt;2012&lt;/Year&gt;&lt;RecNum&gt;156&lt;/RecNum&gt;&lt;DisplayText&gt;(Van der Velde et al., 2012)&lt;/DisplayText&gt;&lt;record&gt;&lt;rec-number&gt;156&lt;/rec-number&gt;&lt;foreign-keys&gt;&lt;key app="EN" db-id="ae9rewfrpdttrheppfxxv0p4950wpd25r09x" timestamp="1520657961"&gt;156&lt;/key&gt;&lt;/foreign-keys&gt;&lt;ref-type name="Journal Article"&gt;17&lt;/ref-type&gt;&lt;contributors&gt;&lt;authors&gt;&lt;author&gt;Van der Velde, Martijn&lt;/author&gt;&lt;author&gt;Van der Eerden, Bram C. J.&lt;/author&gt;&lt;author&gt;Sun, Yuxiang&lt;/author&gt;&lt;author&gt;Almering, Julia M. M.&lt;/author&gt;&lt;author&gt;Van der Lely, Aart-Jan&lt;/author&gt;&lt;author&gt;Delhanty, Patric J. D.&lt;/author&gt;&lt;author&gt;Smith, Roy G.&lt;/author&gt;&lt;author&gt;Van Leeuwen, Johannes P. T. M.&lt;/author&gt;&lt;/authors&gt;&lt;/contributors&gt;&lt;titles&gt;&lt;title&gt;An Age-Dependent Interaction with Leptin Unmasks Ghrelin&amp;apos;s Bone-Protective Effects&lt;/title&gt;&lt;secondary-title&gt;Endocrinology&lt;/secondary-title&gt;&lt;/titles&gt;&lt;periodical&gt;&lt;full-title&gt;Endocrinology&lt;/full-title&gt;&lt;/periodical&gt;&lt;pages&gt;3593-3602&lt;/pages&gt;&lt;volume&gt;153&lt;/volume&gt;&lt;number&gt;8&lt;/number&gt;&lt;dates&gt;&lt;year&gt;2012&lt;/year&gt;&lt;pub-dates&gt;&lt;date&gt;Aug&lt;/date&gt;&lt;/pub-dates&gt;&lt;/dates&gt;&lt;isbn&gt;0013-7227&lt;/isbn&gt;&lt;accession-num&gt;WOS:000306652400008&lt;/accession-num&gt;&lt;urls&gt;&lt;related-urls&gt;&lt;url&gt;&amp;lt;Go to ISI&amp;gt;://WOS:000306652400008&lt;/url&gt;&lt;/related-urls&gt;&lt;/urls&gt;&lt;electronic-resource-num&gt;10.1210/en.2012-1277&lt;/electronic-resource-num&gt;&lt;/record&gt;&lt;/Cite&gt;&lt;/EndNote&gt;</w:instrText>
      </w:r>
      <w:r w:rsidR="006D3A47">
        <w:rPr>
          <w:rFonts w:ascii="Arial" w:hAnsi="Arial"/>
        </w:rPr>
        <w:fldChar w:fldCharType="separate"/>
      </w:r>
      <w:r w:rsidR="0000415D">
        <w:rPr>
          <w:rFonts w:ascii="Arial" w:hAnsi="Arial"/>
          <w:noProof/>
        </w:rPr>
        <w:t>(Van der Velde et al., 2012)</w:t>
      </w:r>
      <w:r w:rsidR="006D3A47">
        <w:rPr>
          <w:rFonts w:ascii="Arial" w:hAnsi="Arial"/>
        </w:rPr>
        <w:fldChar w:fldCharType="end"/>
      </w:r>
      <w:r>
        <w:rPr>
          <w:rFonts w:ascii="Arial" w:hAnsi="Arial"/>
        </w:rPr>
        <w:t xml:space="preserve">. </w:t>
      </w:r>
      <w:r>
        <w:rPr>
          <w:rFonts w:ascii="Arial" w:hAnsi="Arial" w:cs="Calibri"/>
          <w:bCs/>
          <w:color w:val="000000"/>
        </w:rPr>
        <w:t>Thus</w:t>
      </w:r>
      <w:r w:rsidR="00C668AA">
        <w:rPr>
          <w:rFonts w:ascii="Arial" w:hAnsi="Arial" w:cs="Calibri"/>
          <w:bCs/>
          <w:color w:val="000000"/>
        </w:rPr>
        <w:t>,</w:t>
      </w:r>
      <w:r>
        <w:rPr>
          <w:rFonts w:ascii="Arial" w:hAnsi="Arial" w:cs="Calibri"/>
          <w:bCs/>
          <w:color w:val="000000"/>
        </w:rPr>
        <w:t xml:space="preserve"> leptin may have played a role in </w:t>
      </w:r>
      <w:r>
        <w:rPr>
          <w:rFonts w:ascii="Arial" w:hAnsi="Arial"/>
        </w:rPr>
        <w:t>the potentiated response of cortical bone to osteogenic loading observed in fasted 2-hour fed young adult mice.</w:t>
      </w:r>
    </w:p>
    <w:p w14:paraId="623F16A7" w14:textId="77777777" w:rsidR="007B2A7F" w:rsidRDefault="007B2A7F" w:rsidP="00640F5E">
      <w:pPr>
        <w:spacing w:line="480" w:lineRule="auto"/>
        <w:jc w:val="both"/>
        <w:rPr>
          <w:rFonts w:ascii="Arial" w:hAnsi="Arial"/>
        </w:rPr>
      </w:pPr>
    </w:p>
    <w:p w14:paraId="2954EB52" w14:textId="77777777" w:rsidR="00640F5E" w:rsidRDefault="0015459C" w:rsidP="00640F5E">
      <w:pPr>
        <w:spacing w:line="480" w:lineRule="auto"/>
        <w:jc w:val="both"/>
        <w:rPr>
          <w:rFonts w:ascii="Arial" w:hAnsi="Arial"/>
        </w:rPr>
      </w:pPr>
      <w:r w:rsidRPr="00F508AF">
        <w:rPr>
          <w:rFonts w:ascii="Arial" w:hAnsi="Arial"/>
        </w:rPr>
        <w:t>Leptin</w:t>
      </w:r>
      <w:r>
        <w:rPr>
          <w:rFonts w:ascii="Arial" w:hAnsi="Arial"/>
        </w:rPr>
        <w:t xml:space="preserve"> mediated peripheral and central reg</w:t>
      </w:r>
      <w:r w:rsidR="005C6579">
        <w:rPr>
          <w:rFonts w:ascii="Arial" w:hAnsi="Arial"/>
        </w:rPr>
        <w:t>ulation of bone metabolism is</w:t>
      </w:r>
      <w:r>
        <w:rPr>
          <w:rFonts w:ascii="Arial" w:hAnsi="Arial"/>
        </w:rPr>
        <w:t xml:space="preserve"> age-dependent. The amount of </w:t>
      </w:r>
      <w:r w:rsidRPr="0044252D">
        <w:rPr>
          <w:rFonts w:ascii="Arial" w:hAnsi="Arial"/>
        </w:rPr>
        <w:t>leptin</w:t>
      </w:r>
      <w:r w:rsidRPr="009014EE">
        <w:rPr>
          <w:rFonts w:ascii="Arial" w:hAnsi="Arial"/>
          <w:b/>
        </w:rPr>
        <w:t xml:space="preserve"> </w:t>
      </w:r>
      <w:r w:rsidRPr="009014EE">
        <w:rPr>
          <w:rFonts w:ascii="Arial" w:hAnsi="Arial"/>
        </w:rPr>
        <w:t>secreted</w:t>
      </w:r>
      <w:r>
        <w:rPr>
          <w:rFonts w:ascii="Arial" w:hAnsi="Arial"/>
        </w:rPr>
        <w:t xml:space="preserve"> into the blood changes in correlation with weight changes sending altered adiposity signals to the brain </w:t>
      </w:r>
      <w:r w:rsidR="006D3A47">
        <w:rPr>
          <w:rFonts w:ascii="Arial" w:hAnsi="Arial"/>
        </w:rPr>
        <w:fldChar w:fldCharType="begin"/>
      </w:r>
      <w:r w:rsidR="0000415D">
        <w:rPr>
          <w:rFonts w:ascii="Arial" w:hAnsi="Arial"/>
        </w:rPr>
        <w:instrText xml:space="preserve"> ADDIN EN.CITE &lt;EndNote&gt;&lt;Cite&gt;&lt;Author&gt;Woods&lt;/Author&gt;&lt;Year&gt;2006&lt;/Year&gt;&lt;RecNum&gt;579&lt;/RecNum&gt;&lt;DisplayText&gt;(Woods et al., 2006)&lt;/DisplayText&gt;&lt;record&gt;&lt;rec-number&gt;579&lt;/rec-number&gt;&lt;foreign-keys&gt;&lt;key app="EN" db-id="ae9rewfrpdttrheppfxxv0p4950wpd25r09x" timestamp="1521081098"&gt;579&lt;/key&gt;&lt;/foreign-keys&gt;&lt;ref-type name="Journal Article"&gt;17&lt;/ref-type&gt;&lt;contributors&gt;&lt;authors&gt;&lt;author&gt;Woods, S. C.&lt;/author&gt;&lt;author&gt;Lutz, T. A.&lt;/author&gt;&lt;author&gt;Geary, N.&lt;/author&gt;&lt;author&gt;Langhans, W.&lt;/author&gt;&lt;/authors&gt;&lt;/contributors&gt;&lt;titles&gt;&lt;title&gt;Pancreatic signals controlling food intake; insulin, glucagon and amylin&lt;/title&gt;&lt;secondary-title&gt;Philosophical Transactions of the Royal Society B&lt;/secondary-title&gt;&lt;/titles&gt;&lt;periodical&gt;&lt;full-title&gt;Philosophical Transactions of the Royal Society B&lt;/full-title&gt;&lt;/periodical&gt;&lt;pages&gt;1219-1235&lt;/pages&gt;&lt;volume&gt;361&lt;/volume&gt;&lt;keywords&gt;&lt;keyword&gt;Medicine&lt;/keyword&gt;&lt;keyword&gt;Sciences (General)&lt;/keyword&gt;&lt;keyword&gt;Biology&lt;/keyword&gt;&lt;/keywords&gt;&lt;dates&gt;&lt;year&gt;2006&lt;/year&gt;&lt;/dates&gt;&lt;isbn&gt;0962-8436&lt;/isbn&gt;&lt;urls&gt;&lt;/urls&gt;&lt;electronic-resource-num&gt;10.1098/rstb.2006.1858&lt;/electronic-resource-num&gt;&lt;/record&gt;&lt;/Cite&gt;&lt;/EndNote&gt;</w:instrText>
      </w:r>
      <w:r w:rsidR="006D3A47">
        <w:rPr>
          <w:rFonts w:ascii="Arial" w:hAnsi="Arial"/>
        </w:rPr>
        <w:fldChar w:fldCharType="separate"/>
      </w:r>
      <w:r w:rsidR="006D3A47">
        <w:rPr>
          <w:rFonts w:ascii="Arial" w:hAnsi="Arial"/>
          <w:noProof/>
        </w:rPr>
        <w:t>(Woods et al., 2006)</w:t>
      </w:r>
      <w:r w:rsidR="006D3A47">
        <w:rPr>
          <w:rFonts w:ascii="Arial" w:hAnsi="Arial"/>
        </w:rPr>
        <w:fldChar w:fldCharType="end"/>
      </w:r>
      <w:r w:rsidR="00C7519A">
        <w:rPr>
          <w:rFonts w:ascii="Arial" w:hAnsi="Arial"/>
        </w:rPr>
        <w:t xml:space="preserve">. </w:t>
      </w:r>
      <w:r w:rsidR="004D07EC">
        <w:rPr>
          <w:rFonts w:ascii="Arial" w:hAnsi="Arial"/>
        </w:rPr>
        <w:t>The old mice in our studies were heavier than young adults (see Chapter 6). It is shown that a</w:t>
      </w:r>
      <w:r w:rsidRPr="00271876">
        <w:rPr>
          <w:rFonts w:ascii="Arial" w:hAnsi="Arial"/>
        </w:rPr>
        <w:t xml:space="preserve">s mice age, the circulating concentrations of leptin rise and exhibit age-related </w:t>
      </w:r>
      <w:r w:rsidR="005C6579">
        <w:rPr>
          <w:rFonts w:ascii="Arial" w:hAnsi="Arial"/>
        </w:rPr>
        <w:t xml:space="preserve">change in </w:t>
      </w:r>
      <w:r w:rsidRPr="00271876">
        <w:rPr>
          <w:rFonts w:ascii="Arial" w:hAnsi="Arial"/>
        </w:rPr>
        <w:t xml:space="preserve">dynamics </w:t>
      </w:r>
      <w:r w:rsidR="006D3A47">
        <w:rPr>
          <w:rFonts w:ascii="Arial" w:hAnsi="Arial"/>
        </w:rPr>
        <w:fldChar w:fldCharType="begin"/>
      </w:r>
      <w:r w:rsidR="0000415D">
        <w:rPr>
          <w:rFonts w:ascii="Arial" w:hAnsi="Arial"/>
        </w:rPr>
        <w:instrText xml:space="preserve"> ADDIN EN.CITE &lt;EndNote&gt;&lt;Cite&gt;&lt;Author&gt;Xie&lt;/Author&gt;&lt;Year&gt;2005&lt;/Year&gt;&lt;RecNum&gt;616&lt;/RecNum&gt;&lt;DisplayText&gt;(Xie et al., 2005b)&lt;/DisplayText&gt;&lt;record&gt;&lt;rec-number&gt;616&lt;/rec-number&gt;&lt;foreign-keys&gt;&lt;key app="EN" db-id="ae9rewfrpdttrheppfxxv0p4950wpd25r09x" timestamp="1521140145"&gt;616&lt;/key&gt;&lt;/foreign-keys&gt;&lt;ref-type name="Journal Article"&gt;17&lt;/ref-type&gt;&lt;contributors&gt;&lt;authors&gt;&lt;author&gt;Xie, Jt&lt;/author&gt;&lt;author&gt;Mehendale,, Sr.&lt;/author&gt;&lt;author&gt;Li, Xm&lt;/author&gt;&lt;author&gt;Quigg, R.&lt;/author&gt;&lt;author&gt;Wang, Xy&lt;/author&gt;&lt;author&gt;Wang, Cz&lt;/author&gt;&lt;author&gt;Wu, Ja&lt;/author&gt;&lt;author&gt;Aung, Hh&lt;/author&gt;&lt;author&gt;Rue, P. A.&lt;/author&gt;&lt;author&gt;Bell, G. I.&lt;/author&gt;&lt;author&gt;Yuan, C. S.&lt;/author&gt;&lt;/authors&gt;&lt;/contributors&gt;&lt;titles&gt;&lt;title&gt;Anti- diabetic effect of ginsenoside Re in ob/ ob mice&lt;/title&gt;&lt;secondary-title&gt;Biochimica et Biophysica Acta - Molecular Basis of Disease&lt;/secondary-title&gt;&lt;/titles&gt;&lt;periodical&gt;&lt;full-title&gt;Biochimica et Biophysica Acta - Molecular Basis of Disease&lt;/full-title&gt;&lt;/periodical&gt;&lt;pages&gt;319-325&lt;/pages&gt;&lt;volume&gt;1740&lt;/volume&gt;&lt;number&gt;3&lt;/number&gt;&lt;dates&gt;&lt;year&gt;2005&lt;/year&gt;&lt;/dates&gt;&lt;isbn&gt;0925-4439&lt;/isbn&gt;&lt;urls&gt;&lt;/urls&gt;&lt;electronic-resource-num&gt;10.1016/j.bbadis.2004.10.010&lt;/electronic-resource-num&gt;&lt;/record&gt;&lt;/Cite&gt;&lt;/EndNote&gt;</w:instrText>
      </w:r>
      <w:r w:rsidR="006D3A47">
        <w:rPr>
          <w:rFonts w:ascii="Arial" w:hAnsi="Arial"/>
        </w:rPr>
        <w:fldChar w:fldCharType="separate"/>
      </w:r>
      <w:r w:rsidR="006D3A47">
        <w:rPr>
          <w:rFonts w:ascii="Arial" w:hAnsi="Arial"/>
          <w:noProof/>
        </w:rPr>
        <w:t>(Xie et al., 2005b)</w:t>
      </w:r>
      <w:r w:rsidR="006D3A47">
        <w:rPr>
          <w:rFonts w:ascii="Arial" w:hAnsi="Arial"/>
        </w:rPr>
        <w:fldChar w:fldCharType="end"/>
      </w:r>
      <w:r w:rsidRPr="00271876">
        <w:rPr>
          <w:rFonts w:ascii="Arial" w:hAnsi="Arial"/>
        </w:rPr>
        <w:t xml:space="preserve">. </w:t>
      </w:r>
      <w:r>
        <w:rPr>
          <w:rFonts w:ascii="Arial" w:hAnsi="Arial"/>
        </w:rPr>
        <w:t>Karsenty and his group have shown that leptin affects osteoclastogenesis through two pathways</w:t>
      </w:r>
      <w:proofErr w:type="gramStart"/>
      <w:r>
        <w:rPr>
          <w:rFonts w:ascii="Arial" w:hAnsi="Arial"/>
        </w:rPr>
        <w:t>;</w:t>
      </w:r>
      <w:proofErr w:type="gramEnd"/>
      <w:r>
        <w:rPr>
          <w:rFonts w:ascii="Arial" w:hAnsi="Arial"/>
        </w:rPr>
        <w:t xml:space="preserve"> CART (negative) and SNS (positive) </w:t>
      </w:r>
      <w:r w:rsidR="006D3A47">
        <w:rPr>
          <w:rFonts w:ascii="Arial" w:hAnsi="Arial"/>
        </w:rPr>
        <w:fldChar w:fldCharType="begin">
          <w:fldData xml:space="preserve">PEVuZE5vdGU+PENpdGU+PEF1dGhvcj5UYWtlZGE8L0F1dGhvcj48WWVhcj4yMDAyPC9ZZWFyPjxS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</w:fldData>
        </w:fldChar>
      </w:r>
      <w:r w:rsidR="006D3A47">
        <w:rPr>
          <w:rFonts w:ascii="Arial" w:hAnsi="Arial"/>
        </w:rPr>
        <w:instrText xml:space="preserve"> ADDIN EN.CITE </w:instrText>
      </w:r>
      <w:r w:rsidR="006D3A47">
        <w:rPr>
          <w:rFonts w:ascii="Arial" w:hAnsi="Arial"/>
        </w:rPr>
        <w:fldChar w:fldCharType="begin">
          <w:fldData xml:space="preserve">PEVuZE5vdGU+PENpdGU+PEF1dGhvcj5UYWtlZGE8L0F1dGhvcj48WWVhcj4yMDAyPC9ZZWFyPjxS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</w:fldData>
        </w:fldChar>
      </w:r>
      <w:r w:rsidR="006D3A47">
        <w:rPr>
          <w:rFonts w:ascii="Arial" w:hAnsi="Arial"/>
        </w:rPr>
        <w:instrText xml:space="preserve"> ADDIN EN.CITE.DATA </w:instrText>
      </w:r>
      <w:r w:rsidR="006D3A47">
        <w:rPr>
          <w:rFonts w:ascii="Arial" w:hAnsi="Arial"/>
        </w:rPr>
      </w:r>
      <w:r w:rsidR="006D3A47">
        <w:rPr>
          <w:rFonts w:ascii="Arial" w:hAnsi="Arial"/>
        </w:rPr>
        <w:fldChar w:fldCharType="end"/>
      </w:r>
      <w:r w:rsidR="006D3A47">
        <w:rPr>
          <w:rFonts w:ascii="Arial" w:hAnsi="Arial"/>
        </w:rPr>
      </w:r>
      <w:r w:rsidR="006D3A47">
        <w:rPr>
          <w:rFonts w:ascii="Arial" w:hAnsi="Arial"/>
        </w:rPr>
        <w:fldChar w:fldCharType="separate"/>
      </w:r>
      <w:r w:rsidR="006D3A47">
        <w:rPr>
          <w:rFonts w:ascii="Arial" w:hAnsi="Arial"/>
          <w:noProof/>
        </w:rPr>
        <w:t>(Takeda et al., 2002, Elefteriou et al., 2005, Karsenty et al., 2009, Yadav et al., 2009)</w:t>
      </w:r>
      <w:r w:rsidR="006D3A47">
        <w:rPr>
          <w:rFonts w:ascii="Arial" w:hAnsi="Arial"/>
        </w:rPr>
        <w:fldChar w:fldCharType="end"/>
      </w:r>
      <w:r w:rsidR="00000861">
        <w:rPr>
          <w:rFonts w:ascii="Arial" w:hAnsi="Arial"/>
        </w:rPr>
        <w:t xml:space="preserve">. </w:t>
      </w:r>
      <w:r>
        <w:rPr>
          <w:rFonts w:ascii="Arial" w:hAnsi="Arial"/>
        </w:rPr>
        <w:t xml:space="preserve">Recent findings suggest that peripheral activity of leptin is more likely to have an impact on bone homeostasis than regulation through a central relay. However, in older </w:t>
      </w:r>
      <w:r w:rsidRPr="006105FC">
        <w:rPr>
          <w:rFonts w:ascii="Arial" w:hAnsi="Arial"/>
          <w:i/>
        </w:rPr>
        <w:t>Ghrs-/-</w:t>
      </w:r>
      <w:r>
        <w:rPr>
          <w:rFonts w:ascii="Arial" w:hAnsi="Arial"/>
        </w:rPr>
        <w:t xml:space="preserve"> mice in</w:t>
      </w:r>
      <w:r w:rsidR="00D56083">
        <w:rPr>
          <w:rFonts w:ascii="Arial" w:hAnsi="Arial"/>
        </w:rPr>
        <w:t>creased osteoclast number is</w:t>
      </w:r>
      <w:r>
        <w:rPr>
          <w:rFonts w:ascii="Arial" w:hAnsi="Arial"/>
        </w:rPr>
        <w:t xml:space="preserve"> due to more robust leptin signalling through SNS compared with CART pathway </w:t>
      </w:r>
      <w:r w:rsidR="00D56083">
        <w:rPr>
          <w:rFonts w:ascii="Arial" w:hAnsi="Arial"/>
        </w:rPr>
        <w:t>since</w:t>
      </w:r>
      <w:r>
        <w:rPr>
          <w:rFonts w:ascii="Arial" w:hAnsi="Arial"/>
        </w:rPr>
        <w:t xml:space="preserve"> evidently sympathetic tone increases with ageing </w:t>
      </w:r>
      <w:r w:rsidR="006D3A47">
        <w:rPr>
          <w:rFonts w:ascii="Arial" w:hAnsi="Arial"/>
        </w:rPr>
        <w:fldChar w:fldCharType="begin"/>
      </w:r>
      <w:r w:rsidR="0000415D">
        <w:rPr>
          <w:rFonts w:ascii="Arial" w:hAnsi="Arial"/>
        </w:rPr>
        <w:instrText xml:space="preserve"> ADDIN EN.CITE &lt;EndNote&gt;&lt;Cite&gt;&lt;Author&gt;Seals&lt;/Author&gt;&lt;Year&gt;2004&lt;/Year&gt;&lt;RecNum&gt;618&lt;/RecNum&gt;&lt;DisplayText&gt;(Seals and Dinenno, 2004)&lt;/DisplayText&gt;&lt;record&gt;&lt;rec-number&gt;618&lt;/rec-number&gt;&lt;foreign-keys&gt;&lt;key app="EN" db-id="ae9rewfrpdttrheppfxxv0p4950wpd25r09x" timestamp="1521141013"&gt;618&lt;/key&gt;&lt;/foreign-keys&gt;&lt;ref-type name="Journal Article"&gt;17&lt;/ref-type&gt;&lt;contributors&gt;&lt;authors&gt;&lt;author&gt;Seals, Dr&lt;/author&gt;&lt;author&gt;Dinenno, F. A.&lt;/author&gt;&lt;/authors&gt;&lt;/contributors&gt;&lt;titles&gt;&lt;title&gt;Collateral damage: cardiovascular consequences of chronic sympathetic activation with human aging&lt;/title&gt;&lt;secondary-title&gt;American Journal of Physiology-Heart and Circulatory Physiology&lt;/secondary-title&gt;&lt;/titles&gt;&lt;pages&gt;H1895-H1905&lt;/pages&gt;&lt;volume&gt;287&lt;/volume&gt;&lt;keywords&gt;&lt;keyword&gt;Aging -- Physiology&lt;/keyword&gt;&lt;keyword&gt;Cardiovascular Diseases -- Etiology&lt;/keyword&gt;&lt;keyword&gt;Sympathetic Nervous System -- Physiology&lt;/keyword&gt;&lt;/keywords&gt;&lt;dates&gt;&lt;year&gt;2004&lt;/year&gt;&lt;/dates&gt;&lt;isbn&gt;0363-6135&lt;/isbn&gt;&lt;urls&gt;&lt;/urls&gt;&lt;electronic-resource-num&gt;10.1152/ajpheart.00486.2004&lt;/electronic-resource-num&gt;&lt;/record&gt;&lt;/Cite&gt;&lt;/EndNote&gt;</w:instrText>
      </w:r>
      <w:r w:rsidR="006D3A47">
        <w:rPr>
          <w:rFonts w:ascii="Arial" w:hAnsi="Arial"/>
        </w:rPr>
        <w:fldChar w:fldCharType="separate"/>
      </w:r>
      <w:r w:rsidR="006D3A47">
        <w:rPr>
          <w:rFonts w:ascii="Arial" w:hAnsi="Arial"/>
          <w:noProof/>
        </w:rPr>
        <w:t>(Seals and Dinenno, 2004)</w:t>
      </w:r>
      <w:r w:rsidR="006D3A47">
        <w:rPr>
          <w:rFonts w:ascii="Arial" w:hAnsi="Arial"/>
        </w:rPr>
        <w:fldChar w:fldCharType="end"/>
      </w:r>
      <w:r>
        <w:rPr>
          <w:rFonts w:ascii="Arial" w:hAnsi="Arial"/>
        </w:rPr>
        <w:t xml:space="preserve">, whereas age-related changes </w:t>
      </w:r>
      <w:r w:rsidR="006807A3">
        <w:rPr>
          <w:rFonts w:ascii="Arial" w:hAnsi="Arial"/>
        </w:rPr>
        <w:t xml:space="preserve">in CART signalling are unclear </w:t>
      </w:r>
      <w:r w:rsidR="006D3A47">
        <w:rPr>
          <w:rFonts w:ascii="Arial" w:hAnsi="Arial"/>
        </w:rPr>
        <w:fldChar w:fldCharType="begin"/>
      </w:r>
      <w:r w:rsidR="0000415D">
        <w:rPr>
          <w:rFonts w:ascii="Arial" w:hAnsi="Arial"/>
        </w:rPr>
        <w:instrText xml:space="preserve"> ADDIN EN.CITE &lt;EndNote&gt;&lt;Cite&gt;&lt;Author&gt;Kmiec&lt;/Author&gt;&lt;Year&gt;2006&lt;/Year&gt;&lt;RecNum&gt;619&lt;/RecNum&gt;&lt;DisplayText&gt;(Kmiec, 2006)&lt;/DisplayText&gt;&lt;record&gt;&lt;rec-number&gt;619&lt;/rec-number&gt;&lt;foreign-keys&gt;&lt;key app="EN" db-id="ae9rewfrpdttrheppfxxv0p4950wpd25r09x" timestamp="1521141116"&gt;619&lt;/key&gt;&lt;/foreign-keys&gt;&lt;ref-type name="Journal Article"&gt;17&lt;/ref-type&gt;&lt;contributors&gt;&lt;authors&gt;&lt;author&gt;Kmiec, Z.&lt;/author&gt;&lt;/authors&gt;&lt;/contributors&gt;&lt;titles&gt;&lt;title&gt;Central Regulation Of Food Intake In Ageing&lt;/title&gt;&lt;secondary-title&gt;Journal of Physiology and Pharmacology&lt;/secondary-title&gt;&lt;/titles&gt;&lt;periodical&gt;&lt;full-title&gt;Journal of Physiology and Pharmacology&lt;/full-title&gt;&lt;/periodical&gt;&lt;pages&gt;7-16&lt;/pages&gt;&lt;volume&gt;57&lt;/volume&gt;&lt;dates&gt;&lt;year&gt;2006&lt;/year&gt;&lt;/dates&gt;&lt;isbn&gt;0867-5910&lt;/isbn&gt;&lt;urls&gt;&lt;/urls&gt;&lt;/record&gt;&lt;/Cite&gt;&lt;/EndNote&gt;</w:instrText>
      </w:r>
      <w:r w:rsidR="006D3A47">
        <w:rPr>
          <w:rFonts w:ascii="Arial" w:hAnsi="Arial"/>
        </w:rPr>
        <w:fldChar w:fldCharType="separate"/>
      </w:r>
      <w:r w:rsidR="006D3A47">
        <w:rPr>
          <w:rFonts w:ascii="Arial" w:hAnsi="Arial"/>
          <w:noProof/>
        </w:rPr>
        <w:t>(Kmiec, 2006)</w:t>
      </w:r>
      <w:r w:rsidR="006D3A47">
        <w:rPr>
          <w:rFonts w:ascii="Arial" w:hAnsi="Arial"/>
        </w:rPr>
        <w:fldChar w:fldCharType="end"/>
      </w:r>
      <w:r>
        <w:rPr>
          <w:rFonts w:ascii="Arial" w:hAnsi="Arial"/>
        </w:rPr>
        <w:t xml:space="preserve">. These changes in leptin concentrations and signalling pathways could partially account for attenuated bone’s response to osteogenic loading observed in our fasted 2-hour fed aged male mice. </w:t>
      </w:r>
    </w:p>
    <w:p w14:paraId="39D47CC9" w14:textId="77777777" w:rsidR="0015459C" w:rsidRPr="00640F5E" w:rsidRDefault="0015459C" w:rsidP="00640F5E">
      <w:pPr>
        <w:spacing w:line="480" w:lineRule="auto"/>
        <w:jc w:val="both"/>
        <w:rPr>
          <w:rFonts w:ascii="Arial" w:hAnsi="Arial"/>
        </w:rPr>
      </w:pPr>
      <w:r>
        <w:rPr>
          <w:rFonts w:ascii="Arial" w:hAnsi="Arial" w:cs="Calibri"/>
          <w:bCs/>
          <w:color w:val="000000"/>
        </w:rPr>
        <w:lastRenderedPageBreak/>
        <w:t>The feedback mechanism between</w:t>
      </w:r>
      <w:r>
        <w:rPr>
          <w:rFonts w:ascii="Arial" w:hAnsi="Arial" w:cs="Calibri"/>
          <w:b/>
          <w:bCs/>
          <w:color w:val="000000"/>
        </w:rPr>
        <w:t xml:space="preserve"> i</w:t>
      </w:r>
      <w:r w:rsidRPr="00762970">
        <w:rPr>
          <w:rFonts w:ascii="Arial" w:hAnsi="Arial" w:cs="Calibri"/>
          <w:b/>
          <w:bCs/>
          <w:color w:val="000000"/>
        </w:rPr>
        <w:t xml:space="preserve">nsulin </w:t>
      </w:r>
      <w:r w:rsidRPr="00CD14A9">
        <w:rPr>
          <w:rFonts w:ascii="Arial" w:hAnsi="Arial" w:cs="Calibri"/>
          <w:bCs/>
          <w:color w:val="000000"/>
        </w:rPr>
        <w:t xml:space="preserve">and </w:t>
      </w:r>
      <w:r>
        <w:rPr>
          <w:rFonts w:ascii="Arial" w:hAnsi="Arial" w:cs="Calibri"/>
          <w:bCs/>
          <w:color w:val="000000"/>
        </w:rPr>
        <w:t>bones</w:t>
      </w:r>
      <w:r w:rsidRPr="00CD14A9">
        <w:rPr>
          <w:rFonts w:ascii="Arial" w:hAnsi="Arial" w:cs="Calibri"/>
          <w:bCs/>
          <w:color w:val="000000"/>
        </w:rPr>
        <w:t xml:space="preserve"> </w:t>
      </w:r>
      <w:r>
        <w:rPr>
          <w:rFonts w:ascii="Arial" w:hAnsi="Arial" w:cs="Calibri"/>
          <w:bCs/>
          <w:color w:val="000000"/>
        </w:rPr>
        <w:t xml:space="preserve">enables interplay between regulation of the skeletal homeostasis and energy metabolism </w:t>
      </w:r>
      <w:r w:rsidR="006D3A47">
        <w:rPr>
          <w:rFonts w:ascii="Arial" w:hAnsi="Arial" w:cs="Calibri"/>
          <w:bCs/>
          <w:color w:val="000000"/>
        </w:rPr>
        <w:fldChar w:fldCharType="begin"/>
      </w:r>
      <w:r w:rsidR="006D3A47">
        <w:rPr>
          <w:rFonts w:ascii="Arial" w:hAnsi="Arial" w:cs="Calibri"/>
          <w:bCs/>
          <w:color w:val="000000"/>
        </w:rPr>
        <w:instrText xml:space="preserve"> ADDIN EN.CITE &lt;EndNote&gt;&lt;Cite&gt;&lt;Author&gt;Clemens&lt;/Author&gt;&lt;Year&gt;2011&lt;/Year&gt;&lt;RecNum&gt;620&lt;/RecNum&gt;&lt;DisplayText&gt;(Clemens and Karsenty, 2011)&lt;/DisplayText&gt;&lt;record&gt;&lt;rec-number&gt;620&lt;/rec-number&gt;&lt;foreign-keys&gt;&lt;key app="EN" db-id="ae9rewfrpdttrheppfxxv0p4950wpd25r09x" timestamp="1521141411"&gt;620&lt;/key&gt;&lt;/foreign-keys&gt;&lt;ref-type name="Journal Article"&gt;17&lt;/ref-type&gt;&lt;contributors&gt;&lt;authors&gt;&lt;author&gt;Clemens, Thomas L.&lt;/author&gt;&lt;author&gt;Karsenty, Gerard&lt;/author&gt;&lt;/authors&gt;&lt;/contributors&gt;&lt;titles&gt;&lt;title&gt;The osteoblast: An insulin target cell controlling glucose homeostasis&lt;/title&gt;&lt;secondary-title&gt;Journal of Bone and Mineral Research&lt;/secondary-title&gt;&lt;/titles&gt;&lt;periodical&gt;&lt;full-title&gt;Journal of Bone and Mineral Research&lt;/full-title&gt;&lt;/periodical&gt;&lt;pages&gt;677-680&lt;/pages&gt;&lt;volume&gt;26&lt;/volume&gt;&lt;number&gt;4&lt;/number&gt;&lt;keywords&gt;&lt;keyword&gt;Osteocalcin&lt;/keyword&gt;&lt;keyword&gt;Insulin&lt;/keyword&gt;&lt;keyword&gt;Osteoclast&lt;/keyword&gt;&lt;keyword&gt;Osteoblast&lt;/keyword&gt;&lt;keyword&gt;Bone Resorption&lt;/keyword&gt;&lt;/keywords&gt;&lt;dates&gt;&lt;year&gt;2011&lt;/year&gt;&lt;/dates&gt;&lt;pub-location&gt;Hoboken&lt;/pub-location&gt;&lt;isbn&gt;0884-0431&lt;/isbn&gt;&lt;urls&gt;&lt;/urls&gt;&lt;electronic-resource-num&gt;10.1002/jbmr.321&lt;/electronic-resource-num&gt;&lt;/record&gt;&lt;/Cite&gt;&lt;/EndNote&gt;</w:instrText>
      </w:r>
      <w:r w:rsidR="006D3A47">
        <w:rPr>
          <w:rFonts w:ascii="Arial" w:hAnsi="Arial" w:cs="Calibri"/>
          <w:bCs/>
          <w:color w:val="000000"/>
        </w:rPr>
        <w:fldChar w:fldCharType="separate"/>
      </w:r>
      <w:r w:rsidR="006D3A47">
        <w:rPr>
          <w:rFonts w:ascii="Arial" w:hAnsi="Arial" w:cs="Calibri"/>
          <w:bCs/>
          <w:noProof/>
          <w:color w:val="000000"/>
        </w:rPr>
        <w:t>(Clemens and Karsenty, 2011</w:t>
      </w:r>
      <w:r w:rsidR="00AB4F9E">
        <w:rPr>
          <w:rFonts w:ascii="Arial" w:hAnsi="Arial" w:cs="Calibri"/>
          <w:bCs/>
          <w:noProof/>
          <w:color w:val="000000"/>
        </w:rPr>
        <w:t>, Karsenty and Ferron, 2012</w:t>
      </w:r>
      <w:r w:rsidR="006D3A47">
        <w:rPr>
          <w:rFonts w:ascii="Arial" w:hAnsi="Arial" w:cs="Calibri"/>
          <w:bCs/>
          <w:noProof/>
          <w:color w:val="000000"/>
        </w:rPr>
        <w:t>)</w:t>
      </w:r>
      <w:r w:rsidR="006D3A47">
        <w:rPr>
          <w:rFonts w:ascii="Arial" w:hAnsi="Arial" w:cs="Calibri"/>
          <w:bCs/>
          <w:color w:val="000000"/>
        </w:rPr>
        <w:fldChar w:fldCharType="end"/>
      </w:r>
      <w:r w:rsidR="00BC1A89">
        <w:rPr>
          <w:rFonts w:ascii="Arial" w:hAnsi="Arial" w:cs="Calibri"/>
          <w:bCs/>
          <w:color w:val="000000"/>
        </w:rPr>
        <w:t xml:space="preserve">. </w:t>
      </w:r>
      <w:r>
        <w:rPr>
          <w:rFonts w:ascii="Arial" w:hAnsi="Arial" w:cs="Calibri"/>
          <w:bCs/>
          <w:color w:val="000000"/>
        </w:rPr>
        <w:t xml:space="preserve">As discussed in details within the previous chapters, insulin receptors are expressed on osteoblasts </w:t>
      </w:r>
      <w:r w:rsidR="006D3A47">
        <w:rPr>
          <w:rFonts w:ascii="Arial" w:hAnsi="Arial" w:cs="Calibri"/>
          <w:bCs/>
          <w:color w:val="000000"/>
        </w:rPr>
        <w:fldChar w:fldCharType="begin"/>
      </w:r>
      <w:r w:rsidR="006D3A47">
        <w:rPr>
          <w:rFonts w:ascii="Arial" w:hAnsi="Arial" w:cs="Calibri"/>
          <w:bCs/>
          <w:color w:val="000000"/>
        </w:rPr>
        <w:instrText xml:space="preserve"> ADDIN EN.CITE &lt;EndNote&gt;&lt;Cite&gt;&lt;Author&gt;Samvelyan&lt;/Author&gt;&lt;Year&gt;2014&lt;/Year&gt;&lt;RecNum&gt;552&lt;/RecNum&gt;&lt;DisplayText&gt;(Samvelyan et al., 2014)&lt;/DisplayText&gt;&lt;record&gt;&lt;rec-number&gt;552&lt;/rec-number&gt;&lt;foreign-keys&gt;&lt;key app="EN" db-id="ae9rewfrpdttrheppfxxv0p4950wpd25r09x" timestamp="1520986100"&gt;552&lt;/key&gt;&lt;/foreign-keys&gt;&lt;ref-type name="Thesis"&gt;32&lt;/ref-type&gt;&lt;contributors&gt;&lt;authors&gt;&lt;author&gt;Samvelyan, H. J.,&lt;/author&gt;&lt;author&gt;Mathers, J. C.,&lt;/author&gt;&lt;author&gt;Skerry, T. M.&lt;/author&gt;&lt;/authors&gt;&lt;/contributors&gt;&lt;titles&gt;&lt;title&gt;The role of gastrointestinal hormones and identification of GI hormone receptor expressions in bone cells&lt;/title&gt;&lt;secondary-title&gt;Human Metabolism&lt;/secondary-title&gt;&lt;/titles&gt;&lt;pages&gt;1-45&lt;/pages&gt;&lt;volume&gt;Master of Research&lt;/volume&gt;&lt;dates&gt;&lt;year&gt;2014&lt;/year&gt;&lt;/dates&gt;&lt;pub-location&gt;Sheffield, United Kingdom&lt;/pub-location&gt;&lt;publisher&gt;The University of Sheffield &lt;/publisher&gt;&lt;urls&gt;&lt;/urls&gt;&lt;/record&gt;&lt;/Cite&gt;&lt;/EndNote&gt;</w:instrText>
      </w:r>
      <w:r w:rsidR="006D3A47">
        <w:rPr>
          <w:rFonts w:ascii="Arial" w:hAnsi="Arial" w:cs="Calibri"/>
          <w:bCs/>
          <w:color w:val="000000"/>
        </w:rPr>
        <w:fldChar w:fldCharType="separate"/>
      </w:r>
      <w:r w:rsidR="006D3A47">
        <w:rPr>
          <w:rFonts w:ascii="Arial" w:hAnsi="Arial" w:cs="Calibri"/>
          <w:bCs/>
          <w:noProof/>
          <w:color w:val="000000"/>
        </w:rPr>
        <w:t>(Samvelyan et al., 2014)</w:t>
      </w:r>
      <w:r w:rsidR="006D3A47">
        <w:rPr>
          <w:rFonts w:ascii="Arial" w:hAnsi="Arial" w:cs="Calibri"/>
          <w:bCs/>
          <w:color w:val="000000"/>
        </w:rPr>
        <w:fldChar w:fldCharType="end"/>
      </w:r>
      <w:r w:rsidR="00BC1A89">
        <w:rPr>
          <w:rFonts w:ascii="Arial" w:hAnsi="Arial" w:cs="Calibri"/>
          <w:bCs/>
          <w:color w:val="000000"/>
        </w:rPr>
        <w:t xml:space="preserve"> </w:t>
      </w:r>
      <w:r>
        <w:rPr>
          <w:rFonts w:ascii="Arial" w:hAnsi="Arial" w:cs="Calibri"/>
          <w:bCs/>
          <w:color w:val="000000"/>
        </w:rPr>
        <w:t xml:space="preserve">and osteoclasts in humans and animals and insulin increases bone formation and decreases bone resorption both </w:t>
      </w:r>
      <w:r w:rsidRPr="00B2588A">
        <w:rPr>
          <w:rFonts w:ascii="Arial" w:hAnsi="Arial" w:cs="Calibri"/>
          <w:bCs/>
          <w:i/>
          <w:color w:val="000000"/>
        </w:rPr>
        <w:t>in vivo</w:t>
      </w:r>
      <w:r>
        <w:rPr>
          <w:rFonts w:ascii="Arial" w:hAnsi="Arial" w:cs="Calibri"/>
          <w:bCs/>
          <w:color w:val="000000"/>
        </w:rPr>
        <w:t xml:space="preserve"> and </w:t>
      </w:r>
      <w:r w:rsidRPr="00B2588A">
        <w:rPr>
          <w:rFonts w:ascii="Arial" w:hAnsi="Arial" w:cs="Calibri"/>
          <w:bCs/>
          <w:i/>
          <w:color w:val="000000"/>
        </w:rPr>
        <w:t>in vitro</w:t>
      </w:r>
      <w:r>
        <w:rPr>
          <w:rFonts w:ascii="Arial" w:hAnsi="Arial" w:cs="Calibri"/>
          <w:bCs/>
          <w:color w:val="000000"/>
        </w:rPr>
        <w:t xml:space="preserve"> </w:t>
      </w:r>
      <w:r w:rsidR="006D3A47">
        <w:rPr>
          <w:rFonts w:ascii="Arial" w:hAnsi="Arial" w:cs="Calibri"/>
          <w:bCs/>
          <w:noProof/>
          <w:color w:val="000000"/>
        </w:rPr>
        <w:fldChar w:fldCharType="begin">
          <w:fldData xml:space="preserve">PEVuZE5vdGU+PENpdGU+PEF1dGhvcj5QdW48L0F1dGhvcj48WWVhcj4xOTg5PC9ZZWFyPjxSZWNO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</w:fldData>
        </w:fldChar>
      </w:r>
      <w:r w:rsidR="0000415D">
        <w:rPr>
          <w:rFonts w:ascii="Arial" w:hAnsi="Arial" w:cs="Calibri"/>
          <w:bCs/>
          <w:noProof/>
          <w:color w:val="000000"/>
        </w:rPr>
        <w:instrText xml:space="preserve"> ADDIN EN.CITE </w:instrText>
      </w:r>
      <w:r w:rsidR="0000415D">
        <w:rPr>
          <w:rFonts w:ascii="Arial" w:hAnsi="Arial" w:cs="Calibri"/>
          <w:bCs/>
          <w:noProof/>
          <w:color w:val="000000"/>
        </w:rPr>
        <w:fldChar w:fldCharType="begin">
          <w:fldData xml:space="preserve">PEVuZE5vdGU+PENpdGU+PEF1dGhvcj5QdW48L0F1dGhvcj48WWVhcj4xOTg5PC9ZZWFyPjxSZWNO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</w:fldData>
        </w:fldChar>
      </w:r>
      <w:r w:rsidR="0000415D">
        <w:rPr>
          <w:rFonts w:ascii="Arial" w:hAnsi="Arial" w:cs="Calibri"/>
          <w:bCs/>
          <w:noProof/>
          <w:color w:val="000000"/>
        </w:rPr>
        <w:instrText xml:space="preserve"> ADDIN EN.CITE.DATA </w:instrText>
      </w:r>
      <w:r w:rsidR="0000415D">
        <w:rPr>
          <w:rFonts w:ascii="Arial" w:hAnsi="Arial" w:cs="Calibri"/>
          <w:bCs/>
          <w:noProof/>
          <w:color w:val="000000"/>
        </w:rPr>
      </w:r>
      <w:r w:rsidR="0000415D">
        <w:rPr>
          <w:rFonts w:ascii="Arial" w:hAnsi="Arial" w:cs="Calibri"/>
          <w:bCs/>
          <w:noProof/>
          <w:color w:val="000000"/>
        </w:rPr>
        <w:fldChar w:fldCharType="end"/>
      </w:r>
      <w:r w:rsidR="006D3A47">
        <w:rPr>
          <w:rFonts w:ascii="Arial" w:hAnsi="Arial" w:cs="Calibri"/>
          <w:bCs/>
          <w:noProof/>
          <w:color w:val="000000"/>
        </w:rPr>
      </w:r>
      <w:r w:rsidR="006D3A47">
        <w:rPr>
          <w:rFonts w:ascii="Arial" w:hAnsi="Arial" w:cs="Calibri"/>
          <w:bCs/>
          <w:noProof/>
          <w:color w:val="000000"/>
        </w:rPr>
        <w:fldChar w:fldCharType="separate"/>
      </w:r>
      <w:r w:rsidR="0000415D">
        <w:rPr>
          <w:rFonts w:ascii="Arial" w:hAnsi="Arial" w:cs="Calibri"/>
          <w:bCs/>
          <w:noProof/>
          <w:color w:val="000000"/>
        </w:rPr>
        <w:t>(Pun et al., 1989, Cornish et al., 1996, Thomas et al., 1998, Bjarnason et al., 2002)</w:t>
      </w:r>
      <w:r w:rsidR="006D3A47">
        <w:rPr>
          <w:rFonts w:ascii="Arial" w:hAnsi="Arial" w:cs="Calibri"/>
          <w:bCs/>
          <w:noProof/>
          <w:color w:val="000000"/>
        </w:rPr>
        <w:fldChar w:fldCharType="end"/>
      </w:r>
      <w:r w:rsidR="00CB3E5C">
        <w:rPr>
          <w:rFonts w:ascii="Arial" w:hAnsi="Arial" w:cs="Calibri"/>
          <w:bCs/>
          <w:noProof/>
          <w:color w:val="000000"/>
        </w:rPr>
        <w:t xml:space="preserve">. </w:t>
      </w:r>
      <w:r>
        <w:rPr>
          <w:rFonts w:ascii="Arial" w:hAnsi="Arial" w:cs="Calibri"/>
          <w:bCs/>
          <w:color w:val="000000"/>
        </w:rPr>
        <w:t xml:space="preserve">Therefore, our hypothesis that significantly increased circulating concentrations of insulin, regulated by timing of feeding, along with other osteogenic hormones could explain bone’s potentiated response to maximal mechanical </w:t>
      </w:r>
      <w:r w:rsidR="00CB3E5C">
        <w:rPr>
          <w:rFonts w:ascii="Arial" w:hAnsi="Arial" w:cs="Calibri"/>
          <w:bCs/>
          <w:color w:val="000000"/>
        </w:rPr>
        <w:t xml:space="preserve">loading in young </w:t>
      </w:r>
      <w:r>
        <w:rPr>
          <w:rFonts w:ascii="Arial" w:hAnsi="Arial" w:cs="Calibri"/>
          <w:bCs/>
          <w:color w:val="000000"/>
        </w:rPr>
        <w:t xml:space="preserve">mice appears to be correct. </w:t>
      </w:r>
      <w:r w:rsidR="0054341A">
        <w:rPr>
          <w:rFonts w:ascii="Arial" w:hAnsi="Arial" w:cs="Calibri"/>
          <w:bCs/>
          <w:color w:val="000000"/>
        </w:rPr>
        <w:t>Despite decreased bone strength, c</w:t>
      </w:r>
      <w:r>
        <w:rPr>
          <w:rFonts w:ascii="Arial" w:hAnsi="Arial" w:cs="Calibri"/>
          <w:bCs/>
          <w:color w:val="000000"/>
        </w:rPr>
        <w:t xml:space="preserve">hronic hyperinsulinaemia in type </w:t>
      </w:r>
      <w:proofErr w:type="gramStart"/>
      <w:r>
        <w:rPr>
          <w:rFonts w:ascii="Arial" w:hAnsi="Arial" w:cs="Calibri"/>
          <w:bCs/>
          <w:color w:val="000000"/>
        </w:rPr>
        <w:t>2 diabetes</w:t>
      </w:r>
      <w:proofErr w:type="gramEnd"/>
      <w:r>
        <w:rPr>
          <w:rFonts w:ascii="Arial" w:hAnsi="Arial" w:cs="Calibri"/>
          <w:bCs/>
          <w:color w:val="000000"/>
        </w:rPr>
        <w:t xml:space="preserve"> </w:t>
      </w:r>
      <w:r w:rsidR="0054341A">
        <w:rPr>
          <w:rFonts w:ascii="Arial" w:hAnsi="Arial" w:cs="Calibri"/>
          <w:bCs/>
          <w:color w:val="000000"/>
        </w:rPr>
        <w:t xml:space="preserve">was </w:t>
      </w:r>
      <w:r>
        <w:rPr>
          <w:rFonts w:ascii="Arial" w:hAnsi="Arial" w:cs="Calibri"/>
          <w:bCs/>
          <w:color w:val="000000"/>
        </w:rPr>
        <w:t>associated with increased bone mineral density both in men and women</w:t>
      </w:r>
      <w:r w:rsidR="004F43B2">
        <w:rPr>
          <w:rFonts w:ascii="Arial" w:hAnsi="Arial" w:cs="Calibri"/>
          <w:bCs/>
          <w:color w:val="000000"/>
        </w:rPr>
        <w:t xml:space="preserve"> </w:t>
      </w:r>
      <w:r w:rsidR="006D3A47">
        <w:rPr>
          <w:rFonts w:ascii="Arial" w:hAnsi="Arial" w:cs="Calibri"/>
          <w:bCs/>
          <w:color w:val="000000"/>
        </w:rPr>
        <w:fldChar w:fldCharType="begin">
          <w:fldData xml:space="preserve">PEVuZE5vdGU+PENpdGU+PEF1dGhvcj5QYXJraW5zb248L0F1dGhvcj48WWVhcj4yMDAzPC9ZZWFy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</w:fldData>
        </w:fldChar>
      </w:r>
      <w:r w:rsidR="006D3A47">
        <w:rPr>
          <w:rFonts w:ascii="Arial" w:hAnsi="Arial" w:cs="Calibri"/>
          <w:bCs/>
          <w:color w:val="000000"/>
        </w:rPr>
        <w:instrText xml:space="preserve"> ADDIN EN.CITE </w:instrText>
      </w:r>
      <w:r w:rsidR="006D3A47">
        <w:rPr>
          <w:rFonts w:ascii="Arial" w:hAnsi="Arial" w:cs="Calibri"/>
          <w:bCs/>
          <w:color w:val="000000"/>
        </w:rPr>
        <w:fldChar w:fldCharType="begin">
          <w:fldData xml:space="preserve">PEVuZE5vdGU+PENpdGU+PEF1dGhvcj5QYXJraW5zb248L0F1dGhvcj48WWVhcj4yMDAzPC9ZZWFy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</w:fldData>
        </w:fldChar>
      </w:r>
      <w:r w:rsidR="006D3A47">
        <w:rPr>
          <w:rFonts w:ascii="Arial" w:hAnsi="Arial" w:cs="Calibri"/>
          <w:bCs/>
          <w:color w:val="000000"/>
        </w:rPr>
        <w:instrText xml:space="preserve"> ADDIN EN.CITE.DATA </w:instrText>
      </w:r>
      <w:r w:rsidR="006D3A47">
        <w:rPr>
          <w:rFonts w:ascii="Arial" w:hAnsi="Arial" w:cs="Calibri"/>
          <w:bCs/>
          <w:color w:val="000000"/>
        </w:rPr>
      </w:r>
      <w:r w:rsidR="006D3A47">
        <w:rPr>
          <w:rFonts w:ascii="Arial" w:hAnsi="Arial" w:cs="Calibri"/>
          <w:bCs/>
          <w:color w:val="000000"/>
        </w:rPr>
        <w:fldChar w:fldCharType="end"/>
      </w:r>
      <w:r w:rsidR="006D3A47">
        <w:rPr>
          <w:rFonts w:ascii="Arial" w:hAnsi="Arial" w:cs="Calibri"/>
          <w:bCs/>
          <w:color w:val="000000"/>
        </w:rPr>
      </w:r>
      <w:r w:rsidR="006D3A47">
        <w:rPr>
          <w:rFonts w:ascii="Arial" w:hAnsi="Arial" w:cs="Calibri"/>
          <w:bCs/>
          <w:color w:val="000000"/>
        </w:rPr>
        <w:fldChar w:fldCharType="separate"/>
      </w:r>
      <w:r w:rsidR="006D3A47">
        <w:rPr>
          <w:rFonts w:ascii="Arial" w:hAnsi="Arial" w:cs="Calibri"/>
          <w:bCs/>
          <w:noProof/>
          <w:color w:val="000000"/>
        </w:rPr>
        <w:t>(Parkinson and Fazzalari, 2003, Strotmeyer et al., 2004, Thrailkill et al., 2005)</w:t>
      </w:r>
      <w:r w:rsidR="006D3A47">
        <w:rPr>
          <w:rFonts w:ascii="Arial" w:hAnsi="Arial" w:cs="Calibri"/>
          <w:bCs/>
          <w:color w:val="000000"/>
        </w:rPr>
        <w:fldChar w:fldCharType="end"/>
      </w:r>
      <w:r w:rsidR="004F43B2">
        <w:rPr>
          <w:rFonts w:ascii="Arial" w:hAnsi="Arial" w:cs="Calibri"/>
          <w:bCs/>
          <w:color w:val="000000"/>
        </w:rPr>
        <w:t xml:space="preserve">. </w:t>
      </w:r>
      <w:r>
        <w:rPr>
          <w:rFonts w:ascii="Arial" w:hAnsi="Arial" w:cs="Calibri"/>
          <w:bCs/>
          <w:color w:val="000000"/>
        </w:rPr>
        <w:t xml:space="preserve">Additionally, insulin can bind and activate IGF-1 receptors, which are also expressed on osteoblasts and have anabolic effects on bone </w:t>
      </w:r>
      <w:r w:rsidRPr="00C3259D">
        <w:rPr>
          <w:rFonts w:ascii="Arial" w:hAnsi="Arial" w:cs="Arial"/>
          <w:color w:val="000000"/>
          <w:lang w:val="en-US"/>
        </w:rPr>
        <w:fldChar w:fldCharType="begin"/>
      </w:r>
      <w:r w:rsidR="00651EFF">
        <w:rPr>
          <w:rFonts w:ascii="Arial" w:hAnsi="Arial" w:cs="Arial"/>
          <w:color w:val="000000"/>
          <w:lang w:val="en-US"/>
        </w:rPr>
        <w:instrText xml:space="preserve"> ADDIN EN.CITE &lt;EndNote&gt;&lt;Cite&gt;&lt;Author&gt;Fulzele&lt;/Author&gt;&lt;Year&gt;2007&lt;/Year&gt;&lt;RecNum&gt;168&lt;/RecNum&gt;&lt;DisplayText&gt;(Fulzele et al., 2007)&lt;/DisplayText&gt;&lt;record&gt;&lt;rec-number&gt;168&lt;/rec-number&gt;&lt;foreign-keys&gt;&lt;key app="EN" db-id="ae9rewfrpdttrheppfxxv0p4950wpd25r09x" timestamp="1520658007"&gt;168&lt;/key&gt;&lt;key app="ENWeb" db-id=""&gt;0&lt;/key&gt;&lt;/foreign-keys&gt;&lt;ref-type name="Journal Article"&gt;17&lt;/ref-type&gt;&lt;contributors&gt;&lt;authors&gt;&lt;author&gt;Fulzele, K.&lt;/author&gt;&lt;author&gt;Digirolamo, Dj&lt;/author&gt;&lt;author&gt;Liu, Z.&lt;/author&gt;&lt;author&gt;Xu, J.&lt;/author&gt;&lt;author&gt;Messina, Jl&lt;/author&gt;&lt;author&gt;Clemens, Tl&lt;/author&gt;&lt;/authors&gt;&lt;/contributors&gt;&lt;titles&gt;&lt;title&gt;Disruption of the insulin- like growth factor type 1 receptor in Osteoblasts enhances insulin signaling and action&lt;/title&gt;&lt;secondary-title&gt;The Journal of Biological Chemistry&lt;/secondary-title&gt;&lt;/titles&gt;&lt;periodical&gt;&lt;full-title&gt;The Journal of biological chemistry&lt;/full-title&gt;&lt;/periodical&gt;&lt;pages&gt;25649-25658&lt;/pages&gt;&lt;volume&gt;282&lt;/volume&gt;&lt;number&gt;35&lt;/number&gt;&lt;dates&gt;&lt;year&gt;2007&lt;/year&gt;&lt;/dates&gt;&lt;isbn&gt;0021-9258&lt;/isbn&gt;&lt;urls&gt;&lt;/urls&gt;&lt;electronic-resource-num&gt;10.1074/jbc.M700651200&lt;/electronic-resource-num&gt;&lt;/record&gt;&lt;/Cite&gt;&lt;/EndNote&gt;</w:instrText>
      </w:r>
      <w:r w:rsidRPr="00C3259D">
        <w:rPr>
          <w:rFonts w:ascii="Arial" w:hAnsi="Arial" w:cs="Arial"/>
          <w:color w:val="000000"/>
          <w:lang w:val="en-US"/>
        </w:rPr>
        <w:fldChar w:fldCharType="separate"/>
      </w:r>
      <w:r w:rsidRPr="00C3259D">
        <w:rPr>
          <w:rFonts w:ascii="Arial" w:hAnsi="Arial" w:cs="Arial"/>
          <w:noProof/>
          <w:color w:val="000000"/>
          <w:lang w:val="en-US"/>
        </w:rPr>
        <w:t>(Fulzele et al., 2007)</w:t>
      </w:r>
      <w:r w:rsidRPr="00C3259D">
        <w:rPr>
          <w:rFonts w:ascii="Arial" w:hAnsi="Arial" w:cs="Arial"/>
          <w:color w:val="000000"/>
          <w:lang w:val="en-US"/>
        </w:rPr>
        <w:fldChar w:fldCharType="end"/>
      </w:r>
      <w:r w:rsidRPr="00C3259D">
        <w:rPr>
          <w:rFonts w:ascii="Arial" w:hAnsi="Arial" w:cs="Arial"/>
          <w:color w:val="000000"/>
          <w:lang w:val="en-US"/>
        </w:rPr>
        <w:t>.</w:t>
      </w:r>
      <w:r>
        <w:rPr>
          <w:rFonts w:ascii="Arial" w:hAnsi="Arial" w:cs="Arial"/>
          <w:color w:val="000000"/>
          <w:lang w:val="en-US"/>
        </w:rPr>
        <w:t xml:space="preserve"> </w:t>
      </w:r>
    </w:p>
    <w:p w14:paraId="27C3F640" w14:textId="77777777" w:rsidR="0015459C" w:rsidRDefault="0015459C" w:rsidP="0015459C">
      <w:pPr>
        <w:tabs>
          <w:tab w:val="left" w:pos="1985"/>
          <w:tab w:val="left" w:pos="3119"/>
        </w:tabs>
        <w:autoSpaceDE w:val="0"/>
        <w:autoSpaceDN w:val="0"/>
        <w:adjustRightInd w:val="0"/>
        <w:spacing w:line="360" w:lineRule="auto"/>
        <w:jc w:val="both"/>
        <w:rPr>
          <w:rFonts w:ascii="Arial" w:hAnsi="Arial" w:cs="Calibri"/>
          <w:b/>
          <w:bCs/>
          <w:i/>
          <w:color w:val="000000"/>
        </w:rPr>
      </w:pPr>
    </w:p>
    <w:p w14:paraId="23CAB6D0" w14:textId="77777777" w:rsidR="0015459C" w:rsidRPr="00154F69" w:rsidRDefault="0015459C" w:rsidP="0015459C">
      <w:pPr>
        <w:spacing w:line="480" w:lineRule="auto"/>
        <w:jc w:val="both"/>
        <w:rPr>
          <w:rFonts w:ascii="Arial" w:hAnsi="Arial" w:cs="Arial"/>
          <w:color w:val="000000"/>
          <w:lang w:val="en-US"/>
        </w:rPr>
      </w:pPr>
      <w:r>
        <w:rPr>
          <w:rFonts w:ascii="Arial" w:hAnsi="Arial"/>
        </w:rPr>
        <w:t xml:space="preserve">Unlike the young mice, </w:t>
      </w:r>
      <w:r w:rsidR="004F43B2">
        <w:rPr>
          <w:rFonts w:ascii="Arial" w:hAnsi="Arial"/>
        </w:rPr>
        <w:t xml:space="preserve">after overnight (16-hour) fasting </w:t>
      </w:r>
      <w:r>
        <w:rPr>
          <w:rFonts w:ascii="Arial" w:hAnsi="Arial"/>
        </w:rPr>
        <w:t xml:space="preserve">there was no significant increase in </w:t>
      </w:r>
      <w:r w:rsidRPr="00F508AF">
        <w:rPr>
          <w:rFonts w:ascii="Arial" w:hAnsi="Arial"/>
        </w:rPr>
        <w:t>insulin</w:t>
      </w:r>
      <w:r>
        <w:rPr>
          <w:rFonts w:ascii="Arial" w:hAnsi="Arial"/>
        </w:rPr>
        <w:t xml:space="preserve"> concentration at 14:00 compared with that at 12:00</w:t>
      </w:r>
      <w:r w:rsidR="00285176">
        <w:rPr>
          <w:rFonts w:ascii="Arial" w:hAnsi="Arial"/>
        </w:rPr>
        <w:t xml:space="preserve"> in our fasted 2-hour fed aged male mice</w:t>
      </w:r>
      <w:r>
        <w:rPr>
          <w:rFonts w:ascii="Arial" w:hAnsi="Arial"/>
        </w:rPr>
        <w:t>. Insulinopenia and insulin resistance are associated with deterioration of skeletal health including inc</w:t>
      </w:r>
      <w:r w:rsidR="004F43B2">
        <w:rPr>
          <w:rFonts w:ascii="Arial" w:hAnsi="Arial"/>
        </w:rPr>
        <w:t xml:space="preserve">reased risk of fractures, </w:t>
      </w:r>
      <w:r>
        <w:rPr>
          <w:rFonts w:ascii="Arial" w:hAnsi="Arial"/>
        </w:rPr>
        <w:t xml:space="preserve">osteoporosis, osteopenia and decreased bone strength and healing characteristics </w:t>
      </w:r>
      <w:r w:rsidR="004F43B2">
        <w:rPr>
          <w:rFonts w:ascii="Arial" w:hAnsi="Arial"/>
        </w:rPr>
        <w:t xml:space="preserve">in elderly adults </w:t>
      </w:r>
      <w:r w:rsidR="006D3A47">
        <w:rPr>
          <w:rFonts w:ascii="Arial" w:hAnsi="Arial"/>
        </w:rPr>
        <w:fldChar w:fldCharType="begin"/>
      </w:r>
      <w:r w:rsidR="006D3A47">
        <w:rPr>
          <w:rFonts w:ascii="Arial" w:hAnsi="Arial"/>
        </w:rPr>
        <w:instrText xml:space="preserve"> ADDIN EN.CITE &lt;EndNote&gt;&lt;Cite&gt;&lt;Author&gt;Thrailkill&lt;/Author&gt;&lt;Year&gt;2005&lt;/Year&gt;&lt;RecNum&gt;624&lt;/RecNum&gt;&lt;DisplayText&gt;(Thrailkill et al., 2005)&lt;/DisplayText&gt;&lt;record&gt;&lt;rec-number&gt;624&lt;/rec-number&gt;&lt;foreign-keys&gt;&lt;key app="EN" db-id="ae9rewfrpdttrheppfxxv0p4950wpd25r09x" timestamp="1521142375"&gt;624&lt;/key&gt;&lt;/foreign-keys&gt;&lt;ref-type name="Journal Article"&gt;17&lt;/ref-type&gt;&lt;contributors&gt;&lt;authors&gt;&lt;author&gt;Thrailkill, K. M.&lt;/author&gt;&lt;author&gt;Lumpkin Jr, C. K.&lt;/author&gt;&lt;author&gt;Bunn, R. C.&lt;/author&gt;&lt;author&gt;Kemp, S. F.&lt;/author&gt;&lt;author&gt;Fowlkes, J. L.&lt;/author&gt;&lt;/authors&gt;&lt;/contributors&gt;&lt;titles&gt;&lt;title&gt;Is insulin an anabolic agent in bone? Dissecting the diabetic bone for clues&lt;/title&gt;&lt;secondary-title&gt;American Journal of Physiology - Endocrinology and Metabolism&lt;/secondary-title&gt;&lt;/titles&gt;&lt;periodical&gt;&lt;full-title&gt;American Journal of Physiology - Endocrinology and Metabolism&lt;/full-title&gt;&lt;/periodical&gt;&lt;pages&gt;E735-E745&lt;/pages&gt;&lt;volume&gt;289&lt;/volume&gt;&lt;number&gt;5&lt;/number&gt;&lt;keywords&gt;&lt;keyword&gt;Hyperinsulinism&lt;/keyword&gt;&lt;keyword&gt;Insulin Receptors&lt;/keyword&gt;&lt;keyword&gt;Osteoblasts&lt;/keyword&gt;&lt;keyword&gt;Osteoporosis&lt;/keyword&gt;&lt;keyword&gt;Type 1 Diabetes Mellitus&lt;/keyword&gt;&lt;keyword&gt;Type 2 Diabetes Mellitus&lt;/keyword&gt;&lt;/keywords&gt;&lt;dates&gt;&lt;year&gt;2005&lt;/year&gt;&lt;/dates&gt;&lt;isbn&gt;01931849&lt;/isbn&gt;&lt;urls&gt;&lt;/urls&gt;&lt;electronic-resource-num&gt;10.1152/ajpendo.00159.2005&lt;/electronic-resource-num&gt;&lt;/record&gt;&lt;/Cite&gt;&lt;/EndNote&gt;</w:instrText>
      </w:r>
      <w:r w:rsidR="006D3A47">
        <w:rPr>
          <w:rFonts w:ascii="Arial" w:hAnsi="Arial"/>
        </w:rPr>
        <w:fldChar w:fldCharType="separate"/>
      </w:r>
      <w:r w:rsidR="006D3A47">
        <w:rPr>
          <w:rFonts w:ascii="Arial" w:hAnsi="Arial"/>
          <w:noProof/>
        </w:rPr>
        <w:t>(Thrailkill et al., 2005)</w:t>
      </w:r>
      <w:r w:rsidR="006D3A47">
        <w:rPr>
          <w:rFonts w:ascii="Arial" w:hAnsi="Arial"/>
        </w:rPr>
        <w:fldChar w:fldCharType="end"/>
      </w:r>
      <w:r w:rsidR="00285176">
        <w:rPr>
          <w:rFonts w:ascii="Arial" w:hAnsi="Arial"/>
        </w:rPr>
        <w:t xml:space="preserve">. Additionally, insulin may </w:t>
      </w:r>
      <w:r>
        <w:rPr>
          <w:rFonts w:ascii="Arial" w:hAnsi="Arial"/>
        </w:rPr>
        <w:t xml:space="preserve">exert synergistic effects </w:t>
      </w:r>
      <w:r w:rsidR="00285176">
        <w:rPr>
          <w:rFonts w:ascii="Arial" w:hAnsi="Arial"/>
        </w:rPr>
        <w:t xml:space="preserve">on bone </w:t>
      </w:r>
      <w:r>
        <w:rPr>
          <w:rFonts w:ascii="Arial" w:hAnsi="Arial"/>
        </w:rPr>
        <w:t xml:space="preserve">with other anabolic agents including IGF-1 and PTH. </w:t>
      </w:r>
      <w:r w:rsidR="00285176">
        <w:rPr>
          <w:rFonts w:ascii="Arial" w:hAnsi="Arial" w:cs="Arial"/>
          <w:color w:val="000000"/>
          <w:lang w:val="en-US"/>
        </w:rPr>
        <w:t xml:space="preserve">In young mice, </w:t>
      </w:r>
      <w:r>
        <w:rPr>
          <w:rFonts w:ascii="Arial" w:hAnsi="Arial" w:cs="Arial"/>
          <w:color w:val="000000"/>
          <w:lang w:val="en-US"/>
        </w:rPr>
        <w:t>IGF-1 is primarily released from muscle into serum during exercise and exerts paracrine effects to increase muscle and bone mass including periosteal bone formation</w:t>
      </w:r>
      <w:r w:rsidRPr="00753745">
        <w:rPr>
          <w:rFonts w:ascii="Arial" w:hAnsi="Arial" w:cs="Arial"/>
          <w:color w:val="000000"/>
          <w:lang w:val="en-US"/>
        </w:rPr>
        <w:t xml:space="preserve"> </w:t>
      </w:r>
      <w:r w:rsidR="006D3A47">
        <w:rPr>
          <w:rFonts w:ascii="Arial" w:hAnsi="Arial" w:cs="Arial"/>
          <w:color w:val="000000"/>
          <w:lang w:val="en-US"/>
        </w:rPr>
        <w:fldChar w:fldCharType="begin"/>
      </w:r>
      <w:r w:rsidR="0000415D">
        <w:rPr>
          <w:rFonts w:ascii="Arial" w:hAnsi="Arial" w:cs="Arial"/>
          <w:color w:val="000000"/>
          <w:lang w:val="en-US"/>
        </w:rPr>
        <w:instrText xml:space="preserve"> ADDIN EN.CITE &lt;EndNote&gt;&lt;Cite&gt;&lt;Author&gt;Yeh&lt;/Author&gt;&lt;Year&gt;1994&lt;/Year&gt;&lt;RecNum&gt;625&lt;/RecNum&gt;&lt;DisplayText&gt;(Yeh et al., 1994, Niu and Rosen, 2005)&lt;/DisplayText&gt;&lt;record&gt;&lt;rec-number&gt;625&lt;/rec-number&gt;&lt;foreign-keys&gt;&lt;key app="EN" db-id="ae9rewfrpdttrheppfxxv0p4950wpd25r09x" timestamp="1521143094"&gt;625&lt;/key&gt;&lt;/foreign-keys&gt;&lt;ref-type name="Journal Article"&gt;17&lt;/ref-type&gt;&lt;contributors&gt;&lt;authors&gt;&lt;author&gt;Yeh, J.&lt;/author&gt;&lt;author&gt;Aloia, J.&lt;/author&gt;&lt;author&gt;Chen, M.&lt;/author&gt;&lt;/authors&gt;&lt;/contributors&gt;&lt;titles&gt;&lt;title&gt;Growth hormone administration potentiates the effect of treadmill exercise on long bone formation but not on the vertebrae in middle- aged rats&lt;/title&gt;&lt;secondary-title&gt;Calcified Tissue International&lt;/secondary-title&gt;&lt;/titles&gt;&lt;periodical&gt;&lt;full-title&gt;Calcified Tissue International&lt;/full-title&gt;&lt;/periodical&gt;&lt;pages&gt;38-43&lt;/pages&gt;&lt;volume&gt;54&lt;/volume&gt;&lt;number&gt;1&lt;/number&gt;&lt;keywords&gt;&lt;keyword&gt;Osteoporosis&lt;/keyword&gt;&lt;keyword&gt;Bone remodeling&lt;/keyword&gt;&lt;keyword&gt;Physical activity&lt;/keyword&gt;&lt;keyword&gt;Aging&lt;/keyword&gt;&lt;keyword&gt;Calcium&lt;/keyword&gt;&lt;/keywords&gt;&lt;dates&gt;&lt;year&gt;1994&lt;/year&gt;&lt;/dates&gt;&lt;pub-location&gt;New York&lt;/pub-location&gt;&lt;isbn&gt;0171-967X&lt;/isbn&gt;&lt;urls&gt;&lt;/urls&gt;&lt;electronic-resource-num&gt;10.1007/BF00316288&lt;/electronic-resource-num&gt;&lt;/record&gt;&lt;/Cite&gt;&lt;Cite&gt;&lt;Author&gt;Niu&lt;/Author&gt;&lt;Year&gt;2005&lt;/Year&gt;&lt;RecNum&gt;626&lt;/RecNum&gt;&lt;record&gt;&lt;rec-number&gt;626&lt;/rec-number&gt;&lt;foreign-keys&gt;&lt;key app="EN" db-id="ae9rewfrpdttrheppfxxv0p4950wpd25r09x" timestamp="1521143258"&gt;626&lt;/key&gt;&lt;/foreign-keys&gt;&lt;ref-type name="Journal Article"&gt;17&lt;/ref-type&gt;&lt;contributors&gt;&lt;authors&gt;&lt;author&gt;Niu, Tianhua&lt;/author&gt;&lt;author&gt;Rosen, Clifford J.&lt;/author&gt;&lt;/authors&gt;&lt;/contributors&gt;&lt;titles&gt;&lt;title&gt;The insulin- like growth factor- I gene and osteoporosis: a critical appraisal&lt;/title&gt;&lt;secondary-title&gt;Gene&lt;/secondary-title&gt;&lt;/titles&gt;&lt;periodical&gt;&lt;full-title&gt;Gene&lt;/full-title&gt;&lt;/periodical&gt;&lt;pages&gt;38-56&lt;/pages&gt;&lt;volume&gt;361&lt;/volume&gt;&lt;keywords&gt;&lt;keyword&gt;Insulin- Like Growth Factor I -- Physiology&lt;/keyword&gt;&lt;keyword&gt;Osteoporosis -- Physiopathology&lt;/keyword&gt;&lt;/keywords&gt;&lt;dates&gt;&lt;year&gt;2005&lt;/year&gt;&lt;/dates&gt;&lt;isbn&gt;0378-1119&lt;/isbn&gt;&lt;urls&gt;&lt;/urls&gt;&lt;/record&gt;&lt;/Cite&gt;&lt;/EndNote&gt;</w:instrText>
      </w:r>
      <w:r w:rsidR="006D3A47">
        <w:rPr>
          <w:rFonts w:ascii="Arial" w:hAnsi="Arial" w:cs="Arial"/>
          <w:color w:val="000000"/>
          <w:lang w:val="en-US"/>
        </w:rPr>
        <w:fldChar w:fldCharType="separate"/>
      </w:r>
      <w:r w:rsidR="006D3A47">
        <w:rPr>
          <w:rFonts w:ascii="Arial" w:hAnsi="Arial" w:cs="Arial"/>
          <w:noProof/>
          <w:color w:val="000000"/>
          <w:lang w:val="en-US"/>
        </w:rPr>
        <w:t>(Yeh et al., 1994, Niu and Rosen, 2005)</w:t>
      </w:r>
      <w:r w:rsidR="006D3A47">
        <w:rPr>
          <w:rFonts w:ascii="Arial" w:hAnsi="Arial" w:cs="Arial"/>
          <w:color w:val="000000"/>
          <w:lang w:val="en-US"/>
        </w:rPr>
        <w:fldChar w:fldCharType="end"/>
      </w:r>
      <w:r w:rsidR="005A01D9">
        <w:rPr>
          <w:rFonts w:ascii="Arial" w:hAnsi="Arial" w:cs="Arial"/>
          <w:color w:val="000000"/>
          <w:lang w:val="en-US"/>
        </w:rPr>
        <w:t xml:space="preserve">. </w:t>
      </w:r>
      <w:r>
        <w:rPr>
          <w:rFonts w:ascii="Arial" w:hAnsi="Arial" w:cs="Arial"/>
          <w:color w:val="000000"/>
          <w:lang w:val="en-US"/>
        </w:rPr>
        <w:t xml:space="preserve">In aged mice, IGF-1 release following exercise </w:t>
      </w:r>
      <w:r w:rsidR="00FB3CB2">
        <w:rPr>
          <w:rFonts w:ascii="Arial" w:hAnsi="Arial" w:cs="Arial"/>
          <w:color w:val="000000"/>
          <w:lang w:val="en-US"/>
        </w:rPr>
        <w:t>is</w:t>
      </w:r>
      <w:r>
        <w:rPr>
          <w:rFonts w:ascii="Arial" w:hAnsi="Arial" w:cs="Arial"/>
          <w:color w:val="000000"/>
          <w:lang w:val="en-US"/>
        </w:rPr>
        <w:t xml:space="preserve"> impaired </w:t>
      </w:r>
      <w:r w:rsidR="006D3A47">
        <w:rPr>
          <w:rFonts w:ascii="Arial" w:hAnsi="Arial" w:cs="Arial"/>
          <w:color w:val="000000"/>
          <w:lang w:val="en-US"/>
        </w:rPr>
        <w:fldChar w:fldCharType="begin">
          <w:fldData xml:space="preserve">PEVuZE5vdGU+PENpdGU+PEF1dGhvcj5IYW1lZWQ8L0F1dGhvcj48WWVhcj4yMDAzPC9ZZWFyPjxS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</w:fldData>
        </w:fldChar>
      </w:r>
      <w:r w:rsidR="00651EFF">
        <w:rPr>
          <w:rFonts w:ascii="Arial" w:hAnsi="Arial" w:cs="Arial"/>
          <w:color w:val="000000"/>
          <w:lang w:val="en-US"/>
        </w:rPr>
        <w:instrText xml:space="preserve"> ADDIN EN.CITE </w:instrText>
      </w:r>
      <w:r w:rsidR="00651EFF">
        <w:rPr>
          <w:rFonts w:ascii="Arial" w:hAnsi="Arial" w:cs="Arial"/>
          <w:color w:val="000000"/>
          <w:lang w:val="en-US"/>
        </w:rPr>
        <w:fldChar w:fldCharType="begin">
          <w:fldData xml:space="preserve">PEVuZE5vdGU+PENpdGU+PEF1dGhvcj5IYW1lZWQ8L0F1dGhvcj48WWVhcj4yMDAzPC9ZZWFyPjxS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</w:fldData>
        </w:fldChar>
      </w:r>
      <w:r w:rsidR="00651EFF">
        <w:rPr>
          <w:rFonts w:ascii="Arial" w:hAnsi="Arial" w:cs="Arial"/>
          <w:color w:val="000000"/>
          <w:lang w:val="en-US"/>
        </w:rPr>
        <w:instrText xml:space="preserve"> ADDIN EN.CITE.DATA </w:instrText>
      </w:r>
      <w:r w:rsidR="00651EFF">
        <w:rPr>
          <w:rFonts w:ascii="Arial" w:hAnsi="Arial" w:cs="Arial"/>
          <w:color w:val="000000"/>
          <w:lang w:val="en-US"/>
        </w:rPr>
      </w:r>
      <w:r w:rsidR="00651EFF">
        <w:rPr>
          <w:rFonts w:ascii="Arial" w:hAnsi="Arial" w:cs="Arial"/>
          <w:color w:val="000000"/>
          <w:lang w:val="en-US"/>
        </w:rPr>
        <w:fldChar w:fldCharType="end"/>
      </w:r>
      <w:r w:rsidR="006D3A47">
        <w:rPr>
          <w:rFonts w:ascii="Arial" w:hAnsi="Arial" w:cs="Arial"/>
          <w:color w:val="000000"/>
          <w:lang w:val="en-US"/>
        </w:rPr>
      </w:r>
      <w:r w:rsidR="006D3A47">
        <w:rPr>
          <w:rFonts w:ascii="Arial" w:hAnsi="Arial" w:cs="Arial"/>
          <w:color w:val="000000"/>
          <w:lang w:val="en-US"/>
        </w:rPr>
        <w:fldChar w:fldCharType="separate"/>
      </w:r>
      <w:r w:rsidR="006D3A47">
        <w:rPr>
          <w:rFonts w:ascii="Arial" w:hAnsi="Arial" w:cs="Arial"/>
          <w:noProof/>
          <w:color w:val="000000"/>
          <w:lang w:val="en-US"/>
        </w:rPr>
        <w:t>(Hameed et al., 2003, Hameed et al., 2008)</w:t>
      </w:r>
      <w:r w:rsidR="006D3A47">
        <w:rPr>
          <w:rFonts w:ascii="Arial" w:hAnsi="Arial" w:cs="Arial"/>
          <w:color w:val="000000"/>
          <w:lang w:val="en-US"/>
        </w:rPr>
        <w:fldChar w:fldCharType="end"/>
      </w:r>
      <w:r w:rsidR="00E60598">
        <w:rPr>
          <w:rFonts w:ascii="Arial" w:hAnsi="Arial" w:cs="Arial"/>
          <w:color w:val="000000"/>
          <w:lang w:val="en-US"/>
        </w:rPr>
        <w:t>. The growth hormone</w:t>
      </w:r>
      <w:r w:rsidR="00685F8C">
        <w:rPr>
          <w:rFonts w:ascii="Arial" w:hAnsi="Arial" w:cs="Arial"/>
          <w:color w:val="000000"/>
          <w:lang w:val="en-US"/>
        </w:rPr>
        <w:t xml:space="preserve"> (GH)</w:t>
      </w:r>
      <w:r>
        <w:rPr>
          <w:rFonts w:ascii="Arial" w:hAnsi="Arial" w:cs="Arial"/>
          <w:color w:val="000000"/>
          <w:lang w:val="en-US"/>
        </w:rPr>
        <w:t xml:space="preserve">, produced by anterior pituitary gland, is downstream regulator of IGF-1. Circulating GH concentrations peak during puberty and decline with ageing, </w:t>
      </w:r>
      <w:r>
        <w:rPr>
          <w:rFonts w:ascii="Arial" w:hAnsi="Arial" w:cs="Arial"/>
          <w:color w:val="000000"/>
          <w:lang w:val="en-US"/>
        </w:rPr>
        <w:lastRenderedPageBreak/>
        <w:t xml:space="preserve">therefore, IGF-1 production also declines with ageing </w:t>
      </w:r>
      <w:r w:rsidR="006D3A47">
        <w:rPr>
          <w:rFonts w:ascii="Arial" w:hAnsi="Arial" w:cs="Arial"/>
          <w:color w:val="000000"/>
          <w:lang w:val="en-US"/>
        </w:rPr>
        <w:fldChar w:fldCharType="begin">
          <w:fldData xml:space="preserve">PEVuZE5vdGU+PENpdGU+PEF1dGhvcj5MYW5kaW4tV2lsaGVsbXNlbjwvQXV0aG9yPjxZZWFyPjE5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</w:fldData>
        </w:fldChar>
      </w:r>
      <w:r w:rsidR="0000415D">
        <w:rPr>
          <w:rFonts w:ascii="Arial" w:hAnsi="Arial" w:cs="Arial"/>
          <w:color w:val="000000"/>
          <w:lang w:val="en-US"/>
        </w:rPr>
        <w:instrText xml:space="preserve"> ADDIN EN.CITE </w:instrText>
      </w:r>
      <w:r w:rsidR="0000415D">
        <w:rPr>
          <w:rFonts w:ascii="Arial" w:hAnsi="Arial" w:cs="Arial"/>
          <w:color w:val="000000"/>
          <w:lang w:val="en-US"/>
        </w:rPr>
        <w:fldChar w:fldCharType="begin">
          <w:fldData xml:space="preserve">PEVuZE5vdGU+PENpdGU+PEF1dGhvcj5MYW5kaW4tV2lsaGVsbXNlbjwvQXV0aG9yPjxZZWFyPjE5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</w:fldData>
        </w:fldChar>
      </w:r>
      <w:r w:rsidR="0000415D">
        <w:rPr>
          <w:rFonts w:ascii="Arial" w:hAnsi="Arial" w:cs="Arial"/>
          <w:color w:val="000000"/>
          <w:lang w:val="en-US"/>
        </w:rPr>
        <w:instrText xml:space="preserve"> ADDIN EN.CITE.DATA </w:instrText>
      </w:r>
      <w:r w:rsidR="0000415D">
        <w:rPr>
          <w:rFonts w:ascii="Arial" w:hAnsi="Arial" w:cs="Arial"/>
          <w:color w:val="000000"/>
          <w:lang w:val="en-US"/>
        </w:rPr>
      </w:r>
      <w:r w:rsidR="0000415D">
        <w:rPr>
          <w:rFonts w:ascii="Arial" w:hAnsi="Arial" w:cs="Arial"/>
          <w:color w:val="000000"/>
          <w:lang w:val="en-US"/>
        </w:rPr>
        <w:fldChar w:fldCharType="end"/>
      </w:r>
      <w:r w:rsidR="006D3A47">
        <w:rPr>
          <w:rFonts w:ascii="Arial" w:hAnsi="Arial" w:cs="Arial"/>
          <w:color w:val="000000"/>
          <w:lang w:val="en-US"/>
        </w:rPr>
      </w:r>
      <w:r w:rsidR="006D3A47">
        <w:rPr>
          <w:rFonts w:ascii="Arial" w:hAnsi="Arial" w:cs="Arial"/>
          <w:color w:val="000000"/>
          <w:lang w:val="en-US"/>
        </w:rPr>
        <w:fldChar w:fldCharType="separate"/>
      </w:r>
      <w:r w:rsidR="006D3A47">
        <w:rPr>
          <w:rFonts w:ascii="Arial" w:hAnsi="Arial" w:cs="Arial"/>
          <w:noProof/>
          <w:color w:val="000000"/>
          <w:lang w:val="en-US"/>
        </w:rPr>
        <w:t>(Landin-Wilhelmsen et al., 1994, Riggs et al., 2002)</w:t>
      </w:r>
      <w:r w:rsidR="006D3A47">
        <w:rPr>
          <w:rFonts w:ascii="Arial" w:hAnsi="Arial" w:cs="Arial"/>
          <w:color w:val="000000"/>
          <w:lang w:val="en-US"/>
        </w:rPr>
        <w:fldChar w:fldCharType="end"/>
      </w:r>
      <w:r w:rsidR="00C11128">
        <w:rPr>
          <w:rFonts w:ascii="Arial" w:hAnsi="Arial" w:cs="Arial"/>
          <w:color w:val="000000"/>
          <w:lang w:val="en-US"/>
        </w:rPr>
        <w:t xml:space="preserve">. </w:t>
      </w:r>
      <w:r>
        <w:rPr>
          <w:rFonts w:ascii="Arial" w:hAnsi="Arial"/>
        </w:rPr>
        <w:t xml:space="preserve">Decline in circulating concentrations of osteogenic hormones including </w:t>
      </w:r>
      <w:r w:rsidRPr="00DA1296">
        <w:rPr>
          <w:rFonts w:ascii="Arial" w:hAnsi="Arial"/>
        </w:rPr>
        <w:t>insulin</w:t>
      </w:r>
      <w:r>
        <w:rPr>
          <w:rFonts w:ascii="Arial" w:hAnsi="Arial"/>
        </w:rPr>
        <w:t xml:space="preserve">, GH and IGF-1 is thought to underlie the age-related reduction in bone formation. In addition to decline in circulating levels of these hormones, bone’s responsiveness to these hormones also seems to be demolished with ageing </w:t>
      </w:r>
      <w:r w:rsidR="006D3A47">
        <w:rPr>
          <w:rFonts w:ascii="Arial" w:hAnsi="Arial"/>
        </w:rPr>
        <w:fldChar w:fldCharType="begin"/>
      </w:r>
      <w:r w:rsidR="006D3A47">
        <w:rPr>
          <w:rFonts w:ascii="Arial" w:hAnsi="Arial"/>
        </w:rPr>
        <w:instrText xml:space="preserve"> ADDIN EN.CITE &lt;EndNote&gt;&lt;Cite&gt;&lt;Author&gt;Thrailkill&lt;/Author&gt;&lt;Year&gt;2005&lt;/Year&gt;&lt;RecNum&gt;624&lt;/RecNum&gt;&lt;DisplayText&gt;(Thrailkill et al., 2005)&lt;/DisplayText&gt;&lt;record&gt;&lt;rec-number&gt;624&lt;/rec-number&gt;&lt;foreign-keys&gt;&lt;key app="EN" db-id="ae9rewfrpdttrheppfxxv0p4950wpd25r09x" timestamp="1521142375"&gt;624&lt;/key&gt;&lt;/foreign-keys&gt;&lt;ref-type name="Journal Article"&gt;17&lt;/ref-type&gt;&lt;contributors&gt;&lt;authors&gt;&lt;author&gt;Thrailkill, K. M.&lt;/author&gt;&lt;author&gt;Lumpkin Jr, C. K.&lt;/author&gt;&lt;author&gt;Bunn, R. C.&lt;/author&gt;&lt;author&gt;Kemp, S. F.&lt;/author&gt;&lt;author&gt;Fowlkes, J. L.&lt;/author&gt;&lt;/authors&gt;&lt;/contributors&gt;&lt;titles&gt;&lt;title&gt;Is insulin an anabolic agent in bone? Dissecting the diabetic bone for clues&lt;/title&gt;&lt;secondary-title&gt;American Journal of Physiology - Endocrinology and Metabolism&lt;/secondary-title&gt;&lt;/titles&gt;&lt;periodical&gt;&lt;full-title&gt;American Journal of Physiology - Endocrinology and Metabolism&lt;/full-title&gt;&lt;/periodical&gt;&lt;pages&gt;E735-E745&lt;/pages&gt;&lt;volume&gt;289&lt;/volume&gt;&lt;number&gt;5&lt;/number&gt;&lt;keywords&gt;&lt;keyword&gt;Hyperinsulinism&lt;/keyword&gt;&lt;keyword&gt;Insulin Receptors&lt;/keyword&gt;&lt;keyword&gt;Osteoblasts&lt;/keyword&gt;&lt;keyword&gt;Osteoporosis&lt;/keyword&gt;&lt;keyword&gt;Type 1 Diabetes Mellitus&lt;/keyword&gt;&lt;keyword&gt;Type 2 Diabetes Mellitus&lt;/keyword&gt;&lt;/keywords&gt;&lt;dates&gt;&lt;year&gt;2005&lt;/year&gt;&lt;/dates&gt;&lt;isbn&gt;01931849&lt;/isbn&gt;&lt;urls&gt;&lt;/urls&gt;&lt;electronic-resource-num&gt;10.1152/ajpendo.00159.2005&lt;/electronic-resource-num&gt;&lt;/record&gt;&lt;/Cite&gt;&lt;/EndNote&gt;</w:instrText>
      </w:r>
      <w:r w:rsidR="006D3A47">
        <w:rPr>
          <w:rFonts w:ascii="Arial" w:hAnsi="Arial"/>
        </w:rPr>
        <w:fldChar w:fldCharType="separate"/>
      </w:r>
      <w:r w:rsidR="006D3A47">
        <w:rPr>
          <w:rFonts w:ascii="Arial" w:hAnsi="Arial"/>
          <w:noProof/>
        </w:rPr>
        <w:t>(Thrailkill et al., 2005)</w:t>
      </w:r>
      <w:r w:rsidR="006D3A47">
        <w:rPr>
          <w:rFonts w:ascii="Arial" w:hAnsi="Arial"/>
        </w:rPr>
        <w:fldChar w:fldCharType="end"/>
      </w:r>
      <w:r>
        <w:rPr>
          <w:rFonts w:ascii="Arial" w:hAnsi="Arial"/>
        </w:rPr>
        <w:t xml:space="preserve">. Taken together, reduced insulin secretion as an anabolic agent could explain the attenuated bone response to osteogenic mechanical loading observed in fasted 2-hour fed aged male mice. </w:t>
      </w:r>
      <w:r w:rsidRPr="002728A7">
        <w:rPr>
          <w:rFonts w:ascii="Arial" w:hAnsi="Arial" w:cs="Arial"/>
        </w:rPr>
        <w:t xml:space="preserve">Further experiments need to be conducted </w:t>
      </w:r>
      <w:r>
        <w:rPr>
          <w:rFonts w:ascii="Arial" w:hAnsi="Arial" w:cs="Arial"/>
        </w:rPr>
        <w:t xml:space="preserve">to determine whether age-related changes in insulin secretion and sensitivity are gender dependant. </w:t>
      </w:r>
      <w:r w:rsidRPr="00264C10">
        <w:rPr>
          <w:rFonts w:ascii="Arial" w:hAnsi="Arial" w:cs="Arial"/>
        </w:rPr>
        <w:t xml:space="preserve">Additionally, </w:t>
      </w:r>
      <w:r>
        <w:rPr>
          <w:rFonts w:ascii="Arial" w:hAnsi="Arial" w:cs="Arial"/>
        </w:rPr>
        <w:t>future studies of exercise invoked changes in local muscle contraction, blood flow and tissue oxygenation will allow to determine</w:t>
      </w:r>
      <w:r w:rsidRPr="00264C10">
        <w:rPr>
          <w:rFonts w:ascii="Arial" w:hAnsi="Arial" w:cs="Arial"/>
        </w:rPr>
        <w:t xml:space="preserve"> </w:t>
      </w:r>
      <w:r>
        <w:rPr>
          <w:rFonts w:ascii="Arial" w:hAnsi="Arial" w:cs="Arial"/>
        </w:rPr>
        <w:t xml:space="preserve">the </w:t>
      </w:r>
      <w:r w:rsidRPr="00264C10">
        <w:rPr>
          <w:rFonts w:ascii="Arial" w:hAnsi="Arial" w:cs="Arial"/>
        </w:rPr>
        <w:t xml:space="preserve">effect of mechanical loading/exercise </w:t>
      </w:r>
      <w:r>
        <w:rPr>
          <w:rFonts w:ascii="Arial" w:hAnsi="Arial" w:cs="Arial"/>
        </w:rPr>
        <w:t xml:space="preserve">on systemic regulation of hormone secretion in fasted/fed animals.  </w:t>
      </w:r>
      <w:r>
        <w:rPr>
          <w:rFonts w:ascii="Arial" w:hAnsi="Arial" w:cs="Arial"/>
          <w:color w:val="000000"/>
          <w:lang w:val="en-US"/>
        </w:rPr>
        <w:t>As di</w:t>
      </w:r>
      <w:r w:rsidR="00154F69">
        <w:rPr>
          <w:rFonts w:ascii="Arial" w:hAnsi="Arial" w:cs="Arial"/>
          <w:color w:val="000000"/>
          <w:lang w:val="en-US"/>
        </w:rPr>
        <w:t>scussed in general introduction</w:t>
      </w:r>
      <w:r>
        <w:rPr>
          <w:rFonts w:ascii="Arial" w:hAnsi="Arial" w:cs="Arial"/>
          <w:color w:val="000000"/>
          <w:lang w:val="en-US"/>
        </w:rPr>
        <w:t xml:space="preserve"> </w:t>
      </w:r>
      <w:r w:rsidR="00154F69">
        <w:rPr>
          <w:rFonts w:ascii="Arial" w:hAnsi="Arial" w:cs="Arial"/>
          <w:color w:val="000000"/>
          <w:lang w:val="en-US"/>
        </w:rPr>
        <w:t xml:space="preserve">(Chapter 1) </w:t>
      </w:r>
      <w:r>
        <w:rPr>
          <w:rFonts w:ascii="Arial" w:hAnsi="Arial" w:cs="Arial"/>
          <w:color w:val="000000"/>
          <w:lang w:val="en-US"/>
        </w:rPr>
        <w:t>a</w:t>
      </w:r>
      <w:r w:rsidRPr="00553B32">
        <w:rPr>
          <w:rFonts w:ascii="Arial" w:hAnsi="Arial" w:cs="Arial"/>
          <w:color w:val="000000"/>
          <w:lang w:val="en-US"/>
        </w:rPr>
        <w:t>mylin</w:t>
      </w:r>
      <w:r w:rsidR="00154F69">
        <w:rPr>
          <w:rFonts w:ascii="Arial" w:hAnsi="Arial" w:cs="Arial"/>
          <w:color w:val="000000"/>
          <w:lang w:val="en-US"/>
        </w:rPr>
        <w:t>,</w:t>
      </w:r>
      <w:r>
        <w:rPr>
          <w:rFonts w:ascii="Arial" w:hAnsi="Arial" w:cs="Arial"/>
          <w:color w:val="000000"/>
          <w:lang w:val="en-US"/>
        </w:rPr>
        <w:t xml:space="preserve"> </w:t>
      </w:r>
      <w:r w:rsidRPr="00553B32">
        <w:rPr>
          <w:rFonts w:ascii="Arial" w:hAnsi="Arial" w:cs="Arial"/>
          <w:color w:val="000000"/>
          <w:lang w:val="en-US"/>
        </w:rPr>
        <w:t>co-secreted with insulin, also exerts anabolic effects on bone</w:t>
      </w:r>
      <w:r>
        <w:rPr>
          <w:rFonts w:ascii="Arial" w:hAnsi="Arial" w:cs="Arial"/>
          <w:color w:val="000000"/>
          <w:lang w:val="en-US"/>
        </w:rPr>
        <w:t xml:space="preserve"> </w:t>
      </w:r>
      <w:r w:rsidR="006D3A47">
        <w:rPr>
          <w:rFonts w:ascii="Arial" w:hAnsi="Arial" w:cs="Arial"/>
          <w:color w:val="000000"/>
          <w:lang w:val="en-US"/>
        </w:rPr>
        <w:fldChar w:fldCharType="begin">
          <w:fldData xml:space="preserve">PEVuZE5vdGU+PENpdGU+PEF1dGhvcj5Db3JuaXNoPC9BdXRob3I+PFllYXI+MTk5ODwvWWVhcj48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</w:fldData>
        </w:fldChar>
      </w:r>
      <w:r w:rsidR="00B97465">
        <w:rPr>
          <w:rFonts w:ascii="Arial" w:hAnsi="Arial" w:cs="Arial"/>
          <w:color w:val="000000"/>
          <w:lang w:val="en-US"/>
        </w:rPr>
        <w:instrText xml:space="preserve"> ADDIN EN.CITE </w:instrText>
      </w:r>
      <w:r w:rsidR="00B97465">
        <w:rPr>
          <w:rFonts w:ascii="Arial" w:hAnsi="Arial" w:cs="Arial"/>
          <w:color w:val="000000"/>
          <w:lang w:val="en-US"/>
        </w:rPr>
        <w:fldChar w:fldCharType="begin">
          <w:fldData xml:space="preserve">PEVuZE5vdGU+PENpdGU+PEF1dGhvcj5Db3JuaXNoPC9BdXRob3I+PFllYXI+MTk5ODwvWWVhcj48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</w:fldData>
        </w:fldChar>
      </w:r>
      <w:r w:rsidR="00B97465">
        <w:rPr>
          <w:rFonts w:ascii="Arial" w:hAnsi="Arial" w:cs="Arial"/>
          <w:color w:val="000000"/>
          <w:lang w:val="en-US"/>
        </w:rPr>
        <w:instrText xml:space="preserve"> ADDIN EN.CITE.DATA </w:instrText>
      </w:r>
      <w:r w:rsidR="00B97465">
        <w:rPr>
          <w:rFonts w:ascii="Arial" w:hAnsi="Arial" w:cs="Arial"/>
          <w:color w:val="000000"/>
          <w:lang w:val="en-US"/>
        </w:rPr>
      </w:r>
      <w:r w:rsidR="00B97465">
        <w:rPr>
          <w:rFonts w:ascii="Arial" w:hAnsi="Arial" w:cs="Arial"/>
          <w:color w:val="000000"/>
          <w:lang w:val="en-US"/>
        </w:rPr>
        <w:fldChar w:fldCharType="end"/>
      </w:r>
      <w:r w:rsidR="006D3A47">
        <w:rPr>
          <w:rFonts w:ascii="Arial" w:hAnsi="Arial" w:cs="Arial"/>
          <w:color w:val="000000"/>
          <w:lang w:val="en-US"/>
        </w:rPr>
      </w:r>
      <w:r w:rsidR="006D3A47">
        <w:rPr>
          <w:rFonts w:ascii="Arial" w:hAnsi="Arial" w:cs="Arial"/>
          <w:color w:val="000000"/>
          <w:lang w:val="en-US"/>
        </w:rPr>
        <w:fldChar w:fldCharType="separate"/>
      </w:r>
      <w:r w:rsidR="006D3A47">
        <w:rPr>
          <w:rFonts w:ascii="Arial" w:hAnsi="Arial" w:cs="Arial"/>
          <w:noProof/>
          <w:color w:val="000000"/>
          <w:lang w:val="en-US"/>
        </w:rPr>
        <w:t>(Cornish et al., 1998, Cornish et al., 1999, Bronsky and Prusa, 2004, Bronský et al., 2006, Naot and Cornish, 2008)</w:t>
      </w:r>
      <w:r w:rsidR="006D3A47">
        <w:rPr>
          <w:rFonts w:ascii="Arial" w:hAnsi="Arial" w:cs="Arial"/>
          <w:color w:val="000000"/>
          <w:lang w:val="en-US"/>
        </w:rPr>
        <w:fldChar w:fldCharType="end"/>
      </w:r>
      <w:r w:rsidR="002A6BA4">
        <w:rPr>
          <w:rFonts w:ascii="Arial" w:hAnsi="Arial" w:cs="Arial"/>
          <w:color w:val="000000"/>
          <w:lang w:val="en-US"/>
        </w:rPr>
        <w:t xml:space="preserve">. </w:t>
      </w:r>
      <w:r w:rsidR="002A6BA4">
        <w:rPr>
          <w:rFonts w:ascii="Arial" w:hAnsi="Arial" w:cs="Arial"/>
        </w:rPr>
        <w:t>F</w:t>
      </w:r>
      <w:r w:rsidRPr="00553B32">
        <w:rPr>
          <w:rFonts w:ascii="Arial" w:hAnsi="Arial" w:cs="Arial"/>
        </w:rPr>
        <w:t xml:space="preserve">uture studies </w:t>
      </w:r>
      <w:r w:rsidR="00154F69">
        <w:rPr>
          <w:rFonts w:ascii="Arial" w:hAnsi="Arial" w:cs="Arial"/>
        </w:rPr>
        <w:t xml:space="preserve">will </w:t>
      </w:r>
      <w:r w:rsidR="002A6BA4">
        <w:rPr>
          <w:rFonts w:ascii="Arial" w:hAnsi="Arial" w:cs="Arial"/>
        </w:rPr>
        <w:t>allow</w:t>
      </w:r>
      <w:r w:rsidR="00154F69">
        <w:rPr>
          <w:rFonts w:ascii="Arial" w:hAnsi="Arial" w:cs="Arial"/>
        </w:rPr>
        <w:t xml:space="preserve"> </w:t>
      </w:r>
      <w:proofErr w:type="gramStart"/>
      <w:r w:rsidR="00154F69">
        <w:rPr>
          <w:rFonts w:ascii="Arial" w:hAnsi="Arial" w:cs="Arial"/>
        </w:rPr>
        <w:t xml:space="preserve">to </w:t>
      </w:r>
      <w:r w:rsidRPr="00553B32">
        <w:rPr>
          <w:rFonts w:ascii="Arial" w:hAnsi="Arial" w:cs="Arial"/>
        </w:rPr>
        <w:t>determine</w:t>
      </w:r>
      <w:proofErr w:type="gramEnd"/>
      <w:r w:rsidRPr="00553B32">
        <w:rPr>
          <w:rFonts w:ascii="Arial" w:hAnsi="Arial" w:cs="Arial"/>
        </w:rPr>
        <w:t xml:space="preserve"> the role of amylin during fasting and fe</w:t>
      </w:r>
      <w:r>
        <w:rPr>
          <w:rFonts w:ascii="Arial" w:hAnsi="Arial" w:cs="Arial"/>
        </w:rPr>
        <w:t>eding</w:t>
      </w:r>
      <w:r w:rsidR="00154F69">
        <w:rPr>
          <w:rFonts w:ascii="Arial" w:hAnsi="Arial" w:cs="Arial"/>
        </w:rPr>
        <w:t xml:space="preserve"> </w:t>
      </w:r>
      <w:r>
        <w:rPr>
          <w:rFonts w:ascii="Arial" w:hAnsi="Arial" w:cs="Arial"/>
        </w:rPr>
        <w:t xml:space="preserve">in mediating bone’s response to loading in mice. </w:t>
      </w:r>
    </w:p>
    <w:p w14:paraId="32D420EE" w14:textId="77777777" w:rsidR="0015459C" w:rsidRDefault="0015459C" w:rsidP="0015459C">
      <w:pPr>
        <w:spacing w:line="480" w:lineRule="auto"/>
        <w:jc w:val="both"/>
        <w:rPr>
          <w:rFonts w:ascii="Arial" w:hAnsi="Arial" w:cs="Arial"/>
        </w:rPr>
      </w:pPr>
    </w:p>
    <w:p w14:paraId="0F001C5C" w14:textId="77777777" w:rsidR="00915A34" w:rsidRDefault="002A6BA4" w:rsidP="0015459C">
      <w:pPr>
        <w:spacing w:line="480" w:lineRule="auto"/>
        <w:jc w:val="both"/>
        <w:rPr>
          <w:rFonts w:ascii="Arial" w:hAnsi="Arial" w:cs="Arial"/>
        </w:rPr>
      </w:pPr>
      <w:r>
        <w:rPr>
          <w:rFonts w:ascii="Arial" w:hAnsi="Arial" w:cs="Arial"/>
        </w:rPr>
        <w:t xml:space="preserve">Increased concentrations of circulating </w:t>
      </w:r>
      <w:r w:rsidRPr="002A6BA4">
        <w:rPr>
          <w:rFonts w:ascii="Arial" w:hAnsi="Arial" w:cs="Arial"/>
          <w:b/>
        </w:rPr>
        <w:t>GIP</w:t>
      </w:r>
      <w:r>
        <w:rPr>
          <w:rFonts w:ascii="Arial" w:hAnsi="Arial" w:cs="Arial"/>
        </w:rPr>
        <w:t xml:space="preserve"> and </w:t>
      </w:r>
      <w:r w:rsidRPr="002A6BA4">
        <w:rPr>
          <w:rFonts w:ascii="Arial" w:hAnsi="Arial" w:cs="Arial"/>
          <w:b/>
        </w:rPr>
        <w:t>GLP1</w:t>
      </w:r>
      <w:r>
        <w:rPr>
          <w:rFonts w:ascii="Arial" w:hAnsi="Arial" w:cs="Arial"/>
        </w:rPr>
        <w:t xml:space="preserve"> after 2-hour feeding following overnight (16-hour) fast along with other osteogenic factors could underlie the cortical bone potentiated response to maximal mechanical loading in young adult mice. As</w:t>
      </w:r>
      <w:r w:rsidRPr="003D1A7C">
        <w:rPr>
          <w:rFonts w:ascii="Arial" w:hAnsi="Arial" w:cs="Arial"/>
        </w:rPr>
        <w:t xml:space="preserve"> discussed </w:t>
      </w:r>
      <w:r>
        <w:rPr>
          <w:rFonts w:ascii="Arial" w:hAnsi="Arial" w:cs="Arial"/>
        </w:rPr>
        <w:t xml:space="preserve">in the general introduction (Chapter 1), </w:t>
      </w:r>
      <w:r>
        <w:rPr>
          <w:rFonts w:ascii="Arial" w:hAnsi="Arial" w:cs="Arial"/>
          <w:i/>
        </w:rPr>
        <w:t>i</w:t>
      </w:r>
      <w:r w:rsidR="0015459C" w:rsidRPr="00E67C64">
        <w:rPr>
          <w:rFonts w:ascii="Arial" w:hAnsi="Arial" w:cs="Arial"/>
          <w:i/>
        </w:rPr>
        <w:t xml:space="preserve">n vitro </w:t>
      </w:r>
      <w:r>
        <w:rPr>
          <w:rFonts w:ascii="Arial" w:hAnsi="Arial" w:cs="Arial"/>
        </w:rPr>
        <w:t>studies showed</w:t>
      </w:r>
      <w:r w:rsidR="0015459C">
        <w:rPr>
          <w:rFonts w:ascii="Arial" w:hAnsi="Arial" w:cs="Arial"/>
        </w:rPr>
        <w:t xml:space="preserve"> that GIP receptors are expressed on osteoblastic cell lines </w:t>
      </w:r>
      <w:r w:rsidR="006D3A47">
        <w:rPr>
          <w:rFonts w:ascii="Arial" w:hAnsi="Arial" w:cs="Arial"/>
        </w:rPr>
        <w:fldChar w:fldCharType="begin">
          <w:fldData xml:space="preserve">PEVuZE5vdGU+PENpdGU+PEF1dGhvcj5Cb2xsYWc8L0F1dGhvcj48WWVhcj4yMDAwPC9ZZWFyPjxS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</w:fldData>
        </w:fldChar>
      </w:r>
      <w:r w:rsidR="006D3A47">
        <w:rPr>
          <w:rFonts w:ascii="Arial" w:hAnsi="Arial" w:cs="Arial"/>
        </w:rPr>
        <w:instrText xml:space="preserve"> ADDIN EN.CITE </w:instrText>
      </w:r>
      <w:r w:rsidR="006D3A47">
        <w:rPr>
          <w:rFonts w:ascii="Arial" w:hAnsi="Arial" w:cs="Arial"/>
        </w:rPr>
        <w:fldChar w:fldCharType="begin">
          <w:fldData xml:space="preserve">PEVuZE5vdGU+PENpdGU+PEF1dGhvcj5Cb2xsYWc8L0F1dGhvcj48WWVhcj4yMDAwPC9ZZWFyPjxS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</w:fldData>
        </w:fldChar>
      </w:r>
      <w:r w:rsidR="006D3A47">
        <w:rPr>
          <w:rFonts w:ascii="Arial" w:hAnsi="Arial" w:cs="Arial"/>
        </w:rPr>
        <w:instrText xml:space="preserve"> ADDIN EN.CITE.DATA </w:instrText>
      </w:r>
      <w:r w:rsidR="006D3A47">
        <w:rPr>
          <w:rFonts w:ascii="Arial" w:hAnsi="Arial" w:cs="Arial"/>
        </w:rPr>
      </w:r>
      <w:r w:rsidR="006D3A47">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(Bollag et al., 2000, Samvelyan et al., 2014)</w:t>
      </w:r>
      <w:r w:rsidR="006D3A47">
        <w:rPr>
          <w:rFonts w:ascii="Arial" w:hAnsi="Arial" w:cs="Arial"/>
        </w:rPr>
        <w:fldChar w:fldCharType="end"/>
      </w:r>
      <w:r w:rsidR="0015459C">
        <w:rPr>
          <w:rFonts w:ascii="Arial" w:hAnsi="Arial" w:cs="Arial"/>
        </w:rPr>
        <w:t xml:space="preserve"> and bone marrow stromal cells </w:t>
      </w:r>
      <w:r w:rsidR="006D3A47">
        <w:rPr>
          <w:rFonts w:ascii="Arial" w:hAnsi="Arial" w:cs="Arial"/>
        </w:rPr>
        <w:fldChar w:fldCharType="begin"/>
      </w:r>
      <w:r w:rsidR="006D3A47">
        <w:rPr>
          <w:rFonts w:ascii="Arial" w:hAnsi="Arial" w:cs="Arial"/>
        </w:rPr>
        <w:instrText xml:space="preserve"> ADDIN EN.CITE &lt;EndNote&gt;&lt;Cite&gt;&lt;Author&gt;Ding&lt;/Author&gt;&lt;Year&gt;2008&lt;/Year&gt;&lt;RecNum&gt;177&lt;/RecNum&gt;&lt;DisplayText&gt;(Ding et al., 2008)&lt;/DisplayText&gt;&lt;record&gt;&lt;rec-number&gt;177&lt;/rec-number&gt;&lt;foreign-keys&gt;&lt;key app="EN" db-id="ae9rewfrpdttrheppfxxv0p4950wpd25r09x" timestamp="1520658026"&gt;177&lt;/key&gt;&lt;key app="ENWeb" db-id=""&gt;0&lt;/key&gt;&lt;/foreign-keys&gt;&lt;ref-type name="Journal Article"&gt;17&lt;/ref-type&gt;&lt;contributors&gt;&lt;authors&gt;&lt;author&gt;Ding, Ke-Hong&lt;/author&gt;&lt;author&gt;Shi, Xing-Ming&lt;/author&gt;&lt;author&gt;Zhong, Qing&lt;/author&gt;&lt;author&gt;Kang, Baolin&lt;/author&gt;&lt;author&gt;Xie, Ding&lt;/author&gt;&lt;author&gt;Bollag, Wendy B.&lt;/author&gt;&lt;author&gt;Chutkan, Norman&lt;/author&gt;&lt;author&gt;Hamrick, Mark&lt;/author&gt;&lt;author&gt;Isales, Carlos M.&lt;/author&gt;&lt;author&gt;Bollag, Roni J.&lt;/author&gt;&lt;author&gt;Mi, Qing-Sheng&lt;/author&gt;&lt;author&gt;Hill, William&lt;/author&gt;&lt;author&gt;Washington, Walter&lt;/author&gt;&lt;author&gt;Insogna, Karl&lt;/author&gt;&lt;/authors&gt;&lt;/contributors&gt;&lt;titles&gt;&lt;title&gt;Impact of glucose- dependent insulinotropic peptide on age- induced bone loss&lt;/title&gt;&lt;secondary-title&gt;Journal of Bone and Mineral Research&lt;/secondary-title&gt;&lt;/titles&gt;&lt;periodical&gt;&lt;full-title&gt;Journal of Bone and Mineral Research&lt;/full-title&gt;&lt;/periodical&gt;&lt;pages&gt;536-543&lt;/pages&gt;&lt;volume&gt;23&lt;/volume&gt;&lt;number&gt;4&lt;/number&gt;&lt;keywords&gt;&lt;keyword&gt;Aging&lt;/keyword&gt;&lt;keyword&gt;Bone&lt;/keyword&gt;&lt;keyword&gt;Bone Marrow Stromal Cells&lt;/keyword&gt;&lt;keyword&gt;Glucose- Dependent Insulinotropic Peptide&lt;/keyword&gt;&lt;keyword&gt;Transgenic Mice&lt;/keyword&gt;&lt;/keywords&gt;&lt;dates&gt;&lt;year&gt;2008&lt;/year&gt;&lt;/dates&gt;&lt;isbn&gt;08840431&lt;/isbn&gt;&lt;urls&gt;&lt;/urls&gt;&lt;electronic-resource-num&gt;10.1359/jbmr.071202&lt;/electronic-resource-num&gt;&lt;/record&gt;&lt;/Cite&gt;&lt;/EndNote&gt;</w:instrText>
      </w:r>
      <w:r w:rsidR="006D3A47">
        <w:rPr>
          <w:rFonts w:ascii="Arial" w:hAnsi="Arial" w:cs="Arial"/>
        </w:rPr>
        <w:fldChar w:fldCharType="separate"/>
      </w:r>
      <w:r w:rsidR="006D3A47">
        <w:rPr>
          <w:rFonts w:ascii="Arial" w:hAnsi="Arial" w:cs="Arial"/>
          <w:noProof/>
        </w:rPr>
        <w:t>(Ding et al., 2008)</w:t>
      </w:r>
      <w:r w:rsidR="006D3A47">
        <w:rPr>
          <w:rFonts w:ascii="Arial" w:hAnsi="Arial" w:cs="Arial"/>
        </w:rPr>
        <w:fldChar w:fldCharType="end"/>
      </w:r>
      <w:r w:rsidR="0015459C">
        <w:rPr>
          <w:rFonts w:ascii="Arial" w:hAnsi="Arial" w:cs="Arial"/>
        </w:rPr>
        <w:t>. GIP increased number and activity o</w:t>
      </w:r>
      <w:r w:rsidR="00FB0FB4">
        <w:rPr>
          <w:rFonts w:ascii="Arial" w:hAnsi="Arial" w:cs="Arial"/>
        </w:rPr>
        <w:t>f osteoblasts and prevented PTH-</w:t>
      </w:r>
      <w:r w:rsidR="0015459C">
        <w:rPr>
          <w:rFonts w:ascii="Arial" w:hAnsi="Arial" w:cs="Arial"/>
        </w:rPr>
        <w:t xml:space="preserve">induced osteoclast activation </w:t>
      </w:r>
      <w:r w:rsidR="006D3A47">
        <w:rPr>
          <w:rFonts w:ascii="Arial" w:hAnsi="Arial" w:cs="Arial"/>
        </w:rPr>
        <w:fldChar w:fldCharType="begin"/>
      </w:r>
      <w:r w:rsidR="0000415D">
        <w:rPr>
          <w:rFonts w:ascii="Arial" w:hAnsi="Arial" w:cs="Arial"/>
        </w:rPr>
        <w:instrText xml:space="preserve"> ADDIN EN.CITE &lt;EndNote&gt;&lt;Cite&gt;&lt;Author&gt;Zhong&lt;/Author&gt;&lt;Year&gt;2007&lt;/Year&gt;&lt;RecNum&gt;176&lt;/RecNum&gt;&lt;DisplayText&gt;(Zhong et al., 2007)&lt;/DisplayText&gt;&lt;record&gt;&lt;rec-number&gt;176&lt;/rec-number&gt;&lt;foreign-keys&gt;&lt;key app="EN" db-id="ae9rewfrpdttrheppfxxv0p4950wpd25r09x" timestamp="1520658024"&gt;176&lt;/key&gt;&lt;key app="ENWeb" db-id=""&gt;0&lt;/key&gt;&lt;/foreign-keys&gt;&lt;ref-type name="Journal Article"&gt;17&lt;/ref-type&gt;&lt;contributors&gt;&lt;authors&gt;&lt;author&gt;Zhong, Q.&lt;/author&gt;&lt;author&gt;Itokawa, T.&lt;/author&gt;&lt;author&gt;Sridhar, S.&lt;/author&gt;&lt;author&gt;Ding, Kh&lt;/author&gt;&lt;author&gt;Xie, D.&lt;/author&gt;&lt;author&gt;Kang, Bl&lt;/author&gt;&lt;author&gt;Bollag, Wb&lt;/author&gt;&lt;author&gt;Bollag, Rj&lt;/author&gt;&lt;author&gt;Hamrick, M.&lt;/author&gt;&lt;author&gt;Insogna, K.&lt;/author&gt;&lt;author&gt;Isales, C. M.&lt;/author&gt;&lt;/authors&gt;&lt;/contributors&gt;&lt;titles&gt;&lt;title&gt;Effects of glucose- dependent insulinotropic peptide on osteoclast function&lt;/title&gt;&lt;secondary-title&gt;American Journal of Physiology-Endocrinology and Metabolism&lt;/secondary-title&gt;&lt;/titles&gt;&lt;periodical&gt;&lt;full-title&gt;American Journal of Physiology-Endocrinology and Metabolism&lt;/full-title&gt;&lt;/periodical&gt;&lt;pages&gt;E543-E548&lt;/pages&gt;&lt;volume&gt;292&lt;/volume&gt;&lt;number&gt;2&lt;/number&gt;&lt;dates&gt;&lt;year&gt;2007&lt;/year&gt;&lt;/dates&gt;&lt;isbn&gt;0193-1849&lt;/isbn&gt;&lt;urls&gt;&lt;/urls&gt;&lt;electronic-resource-num&gt;10.1152/ajpendo.00364.2006&lt;/electronic-resource-num&gt;&lt;/record&gt;&lt;/Cite&gt;&lt;/EndNote&gt;</w:instrText>
      </w:r>
      <w:r w:rsidR="006D3A47">
        <w:rPr>
          <w:rFonts w:ascii="Arial" w:hAnsi="Arial" w:cs="Arial"/>
        </w:rPr>
        <w:fldChar w:fldCharType="separate"/>
      </w:r>
      <w:r w:rsidR="006D3A47">
        <w:rPr>
          <w:rFonts w:ascii="Arial" w:hAnsi="Arial" w:cs="Arial"/>
          <w:noProof/>
        </w:rPr>
        <w:t>(Zhong et al., 2007)</w:t>
      </w:r>
      <w:r w:rsidR="006D3A47">
        <w:rPr>
          <w:rFonts w:ascii="Arial" w:hAnsi="Arial" w:cs="Arial"/>
        </w:rPr>
        <w:fldChar w:fldCharType="end"/>
      </w:r>
      <w:r w:rsidR="0015459C" w:rsidRPr="001D484B">
        <w:rPr>
          <w:rFonts w:ascii="Arial" w:hAnsi="Arial" w:cs="Arial"/>
        </w:rPr>
        <w:t>.</w:t>
      </w:r>
      <w:r w:rsidR="0015459C">
        <w:rPr>
          <w:rFonts w:ascii="Arial" w:hAnsi="Arial" w:cs="Arial"/>
        </w:rPr>
        <w:t xml:space="preserve"> Studies using GIP receptor knockout </w:t>
      </w:r>
      <w:r w:rsidR="00CD11B3">
        <w:rPr>
          <w:rFonts w:ascii="Arial" w:hAnsi="Arial" w:cs="Arial"/>
        </w:rPr>
        <w:t xml:space="preserve">mouse models </w:t>
      </w:r>
      <w:r w:rsidR="006D3A47">
        <w:rPr>
          <w:rFonts w:ascii="Arial" w:hAnsi="Arial" w:cs="Arial"/>
        </w:rPr>
        <w:fldChar w:fldCharType="begin">
          <w:fldData xml:space="preserve">PEVuZE5vdGU+PENpdGU+PEF1dGhvcj5NaXlhd2FraTwvQXV0aG9yPjxZZWFyPjE5OTk8L1llYXI+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</w:fldData>
        </w:fldChar>
      </w:r>
      <w:r w:rsidR="00B32AAB">
        <w:rPr>
          <w:rFonts w:ascii="Arial" w:hAnsi="Arial" w:cs="Arial"/>
        </w:rPr>
        <w:instrText xml:space="preserve"> ADDIN EN.CITE </w:instrText>
      </w:r>
      <w:r w:rsidR="00B32AAB">
        <w:rPr>
          <w:rFonts w:ascii="Arial" w:hAnsi="Arial" w:cs="Arial"/>
        </w:rPr>
        <w:fldChar w:fldCharType="begin">
          <w:fldData xml:space="preserve">PEVuZE5vdGU+PENpdGU+PEF1dGhvcj5NaXlhd2FraTwvQXV0aG9yPjxZZWFyPjE5OTk8L1llYXI+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</w:fldData>
        </w:fldChar>
      </w:r>
      <w:r w:rsidR="00B32AAB">
        <w:rPr>
          <w:rFonts w:ascii="Arial" w:hAnsi="Arial" w:cs="Arial"/>
        </w:rPr>
        <w:instrText xml:space="preserve"> ADDIN EN.CITE.DATA </w:instrText>
      </w:r>
      <w:r w:rsidR="00B32AAB">
        <w:rPr>
          <w:rFonts w:ascii="Arial" w:hAnsi="Arial" w:cs="Arial"/>
        </w:rPr>
      </w:r>
      <w:r w:rsidR="00B32AAB">
        <w:rPr>
          <w:rFonts w:ascii="Arial" w:hAnsi="Arial" w:cs="Arial"/>
        </w:rPr>
        <w:fldChar w:fldCharType="end"/>
      </w:r>
      <w:r w:rsidR="006D3A47">
        <w:rPr>
          <w:rFonts w:ascii="Arial" w:hAnsi="Arial" w:cs="Arial"/>
        </w:rPr>
      </w:r>
      <w:r w:rsidR="006D3A47">
        <w:rPr>
          <w:rFonts w:ascii="Arial" w:hAnsi="Arial" w:cs="Arial"/>
        </w:rPr>
        <w:fldChar w:fldCharType="separate"/>
      </w:r>
      <w:r w:rsidR="00B32AAB">
        <w:rPr>
          <w:rFonts w:ascii="Arial" w:hAnsi="Arial" w:cs="Arial"/>
          <w:noProof/>
        </w:rPr>
        <w:t>(Miyawaki et al</w:t>
      </w:r>
      <w:r w:rsidR="002B68B3">
        <w:rPr>
          <w:rFonts w:ascii="Arial" w:hAnsi="Arial" w:cs="Arial"/>
          <w:noProof/>
        </w:rPr>
        <w:t xml:space="preserve">., 1999, </w:t>
      </w:r>
      <w:r w:rsidR="002B68B3">
        <w:rPr>
          <w:rFonts w:ascii="Arial" w:hAnsi="Arial" w:cs="Arial"/>
          <w:noProof/>
        </w:rPr>
        <w:lastRenderedPageBreak/>
        <w:t>Tsukiyama et al., 2006</w:t>
      </w:r>
      <w:r w:rsidR="00B32AAB">
        <w:rPr>
          <w:rFonts w:ascii="Arial" w:hAnsi="Arial" w:cs="Arial"/>
          <w:noProof/>
        </w:rPr>
        <w:t>)</w:t>
      </w:r>
      <w:r w:rsidR="006D3A47">
        <w:rPr>
          <w:rFonts w:ascii="Arial" w:hAnsi="Arial" w:cs="Arial"/>
        </w:rPr>
        <w:fldChar w:fldCharType="end"/>
      </w:r>
      <w:r w:rsidR="0015459C">
        <w:rPr>
          <w:rFonts w:ascii="Arial" w:hAnsi="Arial" w:cs="Arial"/>
        </w:rPr>
        <w:t xml:space="preserve"> and GIP overexpressing genetically modified mouse models </w:t>
      </w:r>
      <w:r w:rsidR="006D3A47">
        <w:rPr>
          <w:rFonts w:ascii="Arial" w:hAnsi="Arial" w:cs="Arial"/>
        </w:rPr>
        <w:fldChar w:fldCharType="begin">
          <w:fldData xml:space="preserve">PEVuZE5vdGU+PENpdGU+PEF1dGhvcj5YaWU8L0F1dGhvcj48WWVhcj4yMDA3PC9ZZWFyPjxSZWNO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</w:fldData>
        </w:fldChar>
      </w:r>
      <w:r w:rsidR="006D3A47">
        <w:rPr>
          <w:rFonts w:ascii="Arial" w:hAnsi="Arial" w:cs="Arial"/>
        </w:rPr>
        <w:instrText xml:space="preserve"> ADDIN EN.CITE </w:instrText>
      </w:r>
      <w:r w:rsidR="006D3A47">
        <w:rPr>
          <w:rFonts w:ascii="Arial" w:hAnsi="Arial" w:cs="Arial"/>
        </w:rPr>
        <w:fldChar w:fldCharType="begin">
          <w:fldData xml:space="preserve">PEVuZE5vdGU+PENpdGU+PEF1dGhvcj5YaWU8L0F1dGhvcj48WWVhcj4yMDA3PC9ZZWFyPjxSZWNO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</w:fldData>
        </w:fldChar>
      </w:r>
      <w:r w:rsidR="006D3A47">
        <w:rPr>
          <w:rFonts w:ascii="Arial" w:hAnsi="Arial" w:cs="Arial"/>
        </w:rPr>
        <w:instrText xml:space="preserve"> ADDIN EN.CITE.DATA </w:instrText>
      </w:r>
      <w:r w:rsidR="006D3A47">
        <w:rPr>
          <w:rFonts w:ascii="Arial" w:hAnsi="Arial" w:cs="Arial"/>
        </w:rPr>
      </w:r>
      <w:r w:rsidR="006D3A47">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(Xie et al., 2007, Ding et al., 2008)</w:t>
      </w:r>
      <w:r w:rsidR="006D3A47">
        <w:rPr>
          <w:rFonts w:ascii="Arial" w:hAnsi="Arial" w:cs="Arial"/>
        </w:rPr>
        <w:fldChar w:fldCharType="end"/>
      </w:r>
      <w:r w:rsidR="0015459C">
        <w:rPr>
          <w:rFonts w:ascii="Arial" w:hAnsi="Arial" w:cs="Arial"/>
        </w:rPr>
        <w:t xml:space="preserve"> revealed anabolic osteogenic effects of GIP on bone. </w:t>
      </w:r>
    </w:p>
    <w:p w14:paraId="124CBD5B" w14:textId="77777777" w:rsidR="00915A34" w:rsidRDefault="00915A34" w:rsidP="0015459C">
      <w:pPr>
        <w:spacing w:line="480" w:lineRule="auto"/>
        <w:jc w:val="both"/>
        <w:rPr>
          <w:rFonts w:ascii="Arial" w:hAnsi="Arial" w:cs="Arial"/>
        </w:rPr>
      </w:pPr>
    </w:p>
    <w:p w14:paraId="25090DEC" w14:textId="77777777" w:rsidR="0015459C" w:rsidRDefault="0015459C" w:rsidP="0015459C">
      <w:pPr>
        <w:spacing w:line="480" w:lineRule="auto"/>
        <w:jc w:val="both"/>
        <w:rPr>
          <w:rFonts w:ascii="Arial" w:hAnsi="Arial" w:cs="Arial"/>
        </w:rPr>
      </w:pPr>
      <w:r w:rsidRPr="00915A34">
        <w:rPr>
          <w:rFonts w:ascii="Arial" w:hAnsi="Arial" w:cs="Arial"/>
        </w:rPr>
        <w:t>GLP1</w:t>
      </w:r>
      <w:r w:rsidRPr="001433F5">
        <w:rPr>
          <w:rFonts w:ascii="Arial" w:hAnsi="Arial" w:cs="Arial"/>
          <w:b/>
        </w:rPr>
        <w:t xml:space="preserve"> </w:t>
      </w:r>
      <w:r>
        <w:rPr>
          <w:rFonts w:ascii="Arial" w:hAnsi="Arial" w:cs="Arial"/>
        </w:rPr>
        <w:t xml:space="preserve">receptors were identified on </w:t>
      </w:r>
      <w:r w:rsidR="00915A34">
        <w:rPr>
          <w:rFonts w:ascii="Arial" w:hAnsi="Arial" w:cs="Arial"/>
        </w:rPr>
        <w:t xml:space="preserve">both </w:t>
      </w:r>
      <w:r>
        <w:rPr>
          <w:rFonts w:ascii="Arial" w:hAnsi="Arial" w:cs="Arial"/>
        </w:rPr>
        <w:t xml:space="preserve">human and murine osteoblastic cells </w:t>
      </w:r>
      <w:r w:rsidR="006D3A47">
        <w:rPr>
          <w:rFonts w:ascii="Arial" w:hAnsi="Arial" w:cs="Arial"/>
        </w:rPr>
        <w:fldChar w:fldCharType="begin"/>
      </w:r>
      <w:r w:rsidR="0000415D">
        <w:rPr>
          <w:rFonts w:ascii="Arial" w:hAnsi="Arial" w:cs="Arial"/>
        </w:rPr>
        <w:instrText xml:space="preserve"> ADDIN EN.CITE &lt;EndNote&gt;&lt;Cite&gt;&lt;Author&gt;Pacheco- Pantoja&lt;/Author&gt;&lt;Year&gt;2011&lt;/Year&gt;&lt;RecNum&gt;215&lt;/RecNum&gt;&lt;DisplayText&gt;(Pacheco- Pantoja et al., 2011, Samvelyan et al., 2014)&lt;/DisplayText&gt;&lt;record&gt;&lt;rec-number&gt;215&lt;/rec-number&gt;&lt;foreign-keys&gt;&lt;key app="EN" db-id="ae9rewfrpdttrheppfxxv0p4950wpd25r09x" timestamp="1520658195"&gt;215&lt;/key&gt;&lt;key app="ENWeb" db-id=""&gt;0&lt;/key&gt;&lt;/foreign-keys&gt;&lt;ref-type name="Journal Article"&gt;17&lt;/ref-type&gt;&lt;contributors&gt;&lt;authors&gt;&lt;author&gt;Pacheco- Pantoja, Elda&lt;/author&gt;&lt;author&gt;Ranganath, Lakshminarayan&lt;/author&gt;&lt;author&gt;Gallagher, James&lt;/author&gt;&lt;author&gt;Wilson, Peter&lt;/author&gt;&lt;author&gt;Fraser, William&lt;/author&gt;&lt;author&gt;Pacheco-Pantoja, Elda&lt;/author&gt;&lt;/authors&gt;&lt;/contributors&gt;&lt;titles&gt;&lt;title&gt;Receptors and effects of gut hormones in three osteoblastic cell lines&lt;/title&gt;&lt;secondary-title&gt;BMC Physiology&lt;/secondary-title&gt;&lt;/titles&gt;&lt;periodical&gt;&lt;full-title&gt;BMC Physiology&lt;/full-title&gt;&lt;/periodical&gt;&lt;pages&gt;1-14&lt;/pages&gt;&lt;volume&gt;11&lt;/volume&gt;&lt;number&gt;1&lt;/number&gt;&lt;dates&gt;&lt;year&gt;2011&lt;/year&gt;&lt;/dates&gt;&lt;isbn&gt;1472-6793&lt;/isbn&gt;&lt;urls&gt;&lt;/urls&gt;&lt;electronic-resource-num&gt;10.1186/1472-6793-11-12&lt;/electronic-resource-num&gt;&lt;/record&gt;&lt;/Cite&gt;&lt;Cite&gt;&lt;Author&gt;Samvelyan&lt;/Author&gt;&lt;Year&gt;2014&lt;/Year&gt;&lt;RecNum&gt;552&lt;/RecNum&gt;&lt;record&gt;&lt;rec-number&gt;552&lt;/rec-number&gt;&lt;foreign-keys&gt;&lt;key app="EN" db-id="ae9rewfrpdttrheppfxxv0p4950wpd25r09x" timestamp="1520986100"&gt;552&lt;/key&gt;&lt;/foreign-keys&gt;&lt;ref-type name="Thesis"&gt;32&lt;/ref-type&gt;&lt;contributors&gt;&lt;authors&gt;&lt;author&gt;Samvelyan, H. J.,&lt;/author&gt;&lt;author&gt;Mathers, J. C.,&lt;/author&gt;&lt;author&gt;Skerry, T. M.&lt;/author&gt;&lt;/authors&gt;&lt;/contributors&gt;&lt;titles&gt;&lt;title&gt;The role of gastrointestinal hormones and identification of GI hormone receptor expressions in bone cells&lt;/title&gt;&lt;secondary-title&gt;Human Metabolism&lt;/secondary-title&gt;&lt;/titles&gt;&lt;pages&gt;1-45&lt;/pages&gt;&lt;volume&gt;Master of Research&lt;/volume&gt;&lt;dates&gt;&lt;year&gt;2014&lt;/year&gt;&lt;/dates&gt;&lt;pub-location&gt;Sheffield, United Kingdom&lt;/pub-location&gt;&lt;publisher&gt;The University of Sheffield &lt;/publisher&gt;&lt;urls&gt;&lt;/urls&gt;&lt;/record&gt;&lt;/Cite&gt;&lt;/EndNote&gt;</w:instrText>
      </w:r>
      <w:r w:rsidR="006D3A47">
        <w:rPr>
          <w:rFonts w:ascii="Arial" w:hAnsi="Arial" w:cs="Arial"/>
        </w:rPr>
        <w:fldChar w:fldCharType="separate"/>
      </w:r>
      <w:r w:rsidR="006D3A47">
        <w:rPr>
          <w:rFonts w:ascii="Arial" w:hAnsi="Arial" w:cs="Arial"/>
          <w:noProof/>
        </w:rPr>
        <w:t>(Pacheco- Pantoja et al., 2011, Samvelyan et al., 2014)</w:t>
      </w:r>
      <w:r w:rsidR="006D3A47">
        <w:rPr>
          <w:rFonts w:ascii="Arial" w:hAnsi="Arial" w:cs="Arial"/>
        </w:rPr>
        <w:fldChar w:fldCharType="end"/>
      </w:r>
      <w:r w:rsidR="00915A34">
        <w:rPr>
          <w:rFonts w:ascii="Arial" w:hAnsi="Arial" w:cs="Arial"/>
        </w:rPr>
        <w:t xml:space="preserve"> </w:t>
      </w:r>
      <w:r>
        <w:rPr>
          <w:rFonts w:ascii="Arial" w:hAnsi="Arial" w:cs="Arial"/>
        </w:rPr>
        <w:t xml:space="preserve">and bone marrow stromal cells </w:t>
      </w:r>
      <w:r w:rsidR="006D3A47">
        <w:rPr>
          <w:rFonts w:ascii="Arial" w:hAnsi="Arial" w:cs="Arial"/>
        </w:rPr>
        <w:fldChar w:fldCharType="begin"/>
      </w:r>
      <w:r w:rsidR="006D3A47">
        <w:rPr>
          <w:rFonts w:ascii="Arial" w:hAnsi="Arial" w:cs="Arial"/>
        </w:rPr>
        <w:instrText xml:space="preserve"> ADDIN EN.CITE &lt;EndNote&gt;&lt;Cite&gt;&lt;Author&gt;Sanz&lt;/Author&gt;&lt;Year&gt;2010&lt;/Year&gt;&lt;RecNum&gt;632&lt;/RecNum&gt;&lt;DisplayText&gt;(Sanz et al., 2010)&lt;/DisplayText&gt;&lt;record&gt;&lt;rec-number&gt;632&lt;/rec-number&gt;&lt;foreign-keys&gt;&lt;key app="EN" db-id="ae9rewfrpdttrheppfxxv0p4950wpd25r09x" timestamp="1521146649"&gt;632&lt;/key&gt;&lt;/foreign-keys&gt;&lt;ref-type name="Journal Article"&gt;17&lt;/ref-type&gt;&lt;contributors&gt;&lt;authors&gt;&lt;author&gt;Sanz, C.&lt;/author&gt;&lt;author&gt;Vázquez, P.&lt;/author&gt;&lt;author&gt;Blázquez, C.&lt;/author&gt;&lt;author&gt;Barrio, P. A.&lt;/author&gt;&lt;author&gt;Alvarez, M. D. M.&lt;/author&gt;&lt;author&gt;Blázquez, E.&lt;/author&gt;&lt;/authors&gt;&lt;/contributors&gt;&lt;titles&gt;&lt;title&gt;Signaling and biological effects of glucagon- like peptide 1 on the differentiation of mesenchymal stem cells from human bone marrow&lt;/title&gt;&lt;secondary-title&gt;American Journal of Physiology - Endocrinology and Metabolism&lt;/secondary-title&gt;&lt;/titles&gt;&lt;periodical&gt;&lt;full-title&gt;American Journal of Physiology - Endocrinology and Metabolism&lt;/full-title&gt;&lt;/periodical&gt;&lt;pages&gt;E634-E643&lt;/pages&gt;&lt;volume&gt;298&lt;/volume&gt;&lt;number&gt;3&lt;/number&gt;&lt;keywords&gt;&lt;keyword&gt;Adipogenesis&lt;/keyword&gt;&lt;keyword&gt;Cytoprotection&lt;/keyword&gt;&lt;keyword&gt;Human Mesenchymal Stem Cell&lt;/keyword&gt;&lt;keyword&gt;Proliferation&lt;/keyword&gt;&lt;/keywords&gt;&lt;dates&gt;&lt;year&gt;2010&lt;/year&gt;&lt;/dates&gt;&lt;isbn&gt;01931849&lt;/isbn&gt;&lt;urls&gt;&lt;/urls&gt;&lt;electronic-resource-num&gt;10.1152/ajpendo.00460.2009&lt;/electronic-resource-num&gt;&lt;/record&gt;&lt;/Cite&gt;&lt;/EndNote&gt;</w:instrText>
      </w:r>
      <w:r w:rsidR="006D3A47">
        <w:rPr>
          <w:rFonts w:ascii="Arial" w:hAnsi="Arial" w:cs="Arial"/>
        </w:rPr>
        <w:fldChar w:fldCharType="separate"/>
      </w:r>
      <w:r w:rsidR="006D3A47">
        <w:rPr>
          <w:rFonts w:ascii="Arial" w:hAnsi="Arial" w:cs="Arial"/>
          <w:noProof/>
        </w:rPr>
        <w:t>(Sanz et al., 2010)</w:t>
      </w:r>
      <w:r w:rsidR="006D3A47">
        <w:rPr>
          <w:rFonts w:ascii="Arial" w:hAnsi="Arial" w:cs="Arial"/>
        </w:rPr>
        <w:fldChar w:fldCharType="end"/>
      </w:r>
      <w:r>
        <w:rPr>
          <w:rFonts w:ascii="Arial" w:hAnsi="Arial" w:cs="Arial"/>
        </w:rPr>
        <w:t>. Since GLP1 receptors are expressed on thyroid C cell</w:t>
      </w:r>
      <w:r w:rsidR="00915A34">
        <w:rPr>
          <w:rFonts w:ascii="Arial" w:hAnsi="Arial" w:cs="Arial"/>
        </w:rPr>
        <w:t>s</w:t>
      </w:r>
      <w:r>
        <w:rPr>
          <w:rFonts w:ascii="Arial" w:hAnsi="Arial" w:cs="Arial"/>
        </w:rPr>
        <w:t xml:space="preserve">, </w:t>
      </w:r>
      <w:r w:rsidR="00915A34">
        <w:rPr>
          <w:rFonts w:ascii="Arial" w:hAnsi="Arial" w:cs="Arial"/>
        </w:rPr>
        <w:t xml:space="preserve">in murine models </w:t>
      </w:r>
      <w:r>
        <w:rPr>
          <w:rFonts w:ascii="Arial" w:hAnsi="Arial" w:cs="Arial"/>
        </w:rPr>
        <w:t>endogenous GLP1 stimulate</w:t>
      </w:r>
      <w:r w:rsidR="00915A34">
        <w:rPr>
          <w:rFonts w:ascii="Arial" w:hAnsi="Arial" w:cs="Arial"/>
        </w:rPr>
        <w:t>s</w:t>
      </w:r>
      <w:r>
        <w:rPr>
          <w:rFonts w:ascii="Arial" w:hAnsi="Arial" w:cs="Arial"/>
        </w:rPr>
        <w:t xml:space="preserve"> secretion of calcitonin from thyroid </w:t>
      </w:r>
      <w:r w:rsidR="00915A34">
        <w:rPr>
          <w:rFonts w:ascii="Arial" w:hAnsi="Arial" w:cs="Arial"/>
        </w:rPr>
        <w:t>C cells and contribut</w:t>
      </w:r>
      <w:r w:rsidR="00D25765">
        <w:rPr>
          <w:rFonts w:ascii="Arial" w:hAnsi="Arial" w:cs="Arial"/>
        </w:rPr>
        <w:t>e</w:t>
      </w:r>
      <w:r w:rsidR="00915A34">
        <w:rPr>
          <w:rFonts w:ascii="Arial" w:hAnsi="Arial" w:cs="Arial"/>
        </w:rPr>
        <w:t>s</w:t>
      </w:r>
      <w:r w:rsidR="00EC32D2">
        <w:rPr>
          <w:rFonts w:ascii="Arial" w:hAnsi="Arial" w:cs="Arial"/>
        </w:rPr>
        <w:t xml:space="preserve"> to </w:t>
      </w:r>
      <w:proofErr w:type="gramStart"/>
      <w:r>
        <w:rPr>
          <w:rFonts w:ascii="Arial" w:hAnsi="Arial" w:cs="Arial"/>
        </w:rPr>
        <w:t>decreased</w:t>
      </w:r>
      <w:proofErr w:type="gramEnd"/>
      <w:r>
        <w:rPr>
          <w:rFonts w:ascii="Arial" w:hAnsi="Arial" w:cs="Arial"/>
        </w:rPr>
        <w:t xml:space="preserve"> postprandial bone resorption through calcitonin-dependent pathway </w:t>
      </w:r>
      <w:r w:rsidR="006D3A47">
        <w:rPr>
          <w:rFonts w:ascii="Arial" w:hAnsi="Arial" w:cs="Arial"/>
        </w:rPr>
        <w:fldChar w:fldCharType="begin">
          <w:fldData xml:space="preserve">PEVuZE5vdGU+PENpdGU+PEF1dGhvcj5ZYW1hZGE8L0F1dGhvcj48WWVhcj4yMDA4PC9ZZWFyPjxS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PEVuZE5vdGU+PENpdGU+PEF1dGhvcj5ZYW1hZGE8L0F1dGhvcj48WWVhcj4yMDA4PC9ZZWFyPjxS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(Yamada et al., 2008, Nuche-Berenguer et al., 2009)</w:t>
      </w:r>
      <w:r w:rsidR="006D3A47">
        <w:rPr>
          <w:rFonts w:ascii="Arial" w:hAnsi="Arial" w:cs="Arial"/>
        </w:rPr>
        <w:fldChar w:fldCharType="end"/>
      </w:r>
      <w:r w:rsidR="00462E90">
        <w:rPr>
          <w:rFonts w:ascii="Arial" w:hAnsi="Arial" w:cs="Arial"/>
        </w:rPr>
        <w:t xml:space="preserve">. </w:t>
      </w:r>
      <w:r>
        <w:rPr>
          <w:rFonts w:ascii="Arial" w:hAnsi="Arial" w:cs="Arial"/>
        </w:rPr>
        <w:t xml:space="preserve">GLP1 receptor knockout mice exhibit decreased cortical bone mass due to decreased calcitonin secretion and increased osteoclast number and function </w:t>
      </w:r>
      <w:r w:rsidR="006D3A47">
        <w:rPr>
          <w:rFonts w:ascii="Arial" w:hAnsi="Arial" w:cs="Arial"/>
        </w:rPr>
        <w:fldChar w:fldCharType="begin"/>
      </w:r>
      <w:r w:rsidR="006D3A47">
        <w:rPr>
          <w:rFonts w:ascii="Arial" w:hAnsi="Arial" w:cs="Arial"/>
        </w:rPr>
        <w:instrText xml:space="preserve"> ADDIN EN.CITE &lt;EndNote&gt;&lt;Cite&gt;&lt;Author&gt;Yamada&lt;/Author&gt;&lt;Year&gt;2008&lt;/Year&gt;&lt;RecNum&gt;178&lt;/RecNum&gt;&lt;DisplayText&gt;(Yamada et al., 2008)&lt;/DisplayText&gt;&lt;record&gt;&lt;rec-number&gt;178&lt;/rec-number&gt;&lt;foreign-keys&gt;&lt;key app="EN" db-id="ae9rewfrpdttrheppfxxv0p4950wpd25r09x" timestamp="1520658033"&gt;178&lt;/key&gt;&lt;/foreign-keys&gt;&lt;ref-type name="Journal Article"&gt;17&lt;/ref-type&gt;&lt;contributors&gt;&lt;authors&gt;&lt;author&gt;Yamada, Chizumi&lt;/author&gt;&lt;author&gt;Yamada, Yuichiro&lt;/author&gt;&lt;author&gt;Tsukiyama, Katsushi&lt;/author&gt;&lt;author&gt;Yamada, Kotaro&lt;/author&gt;&lt;author&gt;Udagawa, Nobuyuki&lt;/author&gt;&lt;author&gt;Takahashi, Naoyuki&lt;/author&gt;&lt;author&gt;Tanaka, Kiyoshi&lt;/author&gt;&lt;author&gt;Drucker, Daniel J.&lt;/author&gt;&lt;author&gt;Seino, Yutaka&lt;/author&gt;&lt;author&gt;Inagaki, Nobuya&lt;/author&gt;&lt;/authors&gt;&lt;/contributors&gt;&lt;titles&gt;&lt;title&gt;The murine glucagon-like peptide-1 receptor is essential for control of bone resorption&lt;/title&gt;&lt;secondary-title&gt;Endocrinology&lt;/secondary-title&gt;&lt;/titles&gt;&lt;periodical&gt;&lt;full-title&gt;Endocrinology&lt;/full-title&gt;&lt;/periodical&gt;&lt;pages&gt;574-579&lt;/pages&gt;&lt;volume&gt;149&lt;/volume&gt;&lt;number&gt;2&lt;/number&gt;&lt;dates&gt;&lt;year&gt;2008&lt;/year&gt;&lt;pub-dates&gt;&lt;date&gt;Feb&lt;/date&gt;&lt;/pub-dates&gt;&lt;/dates&gt;&lt;isbn&gt;0013-7227&lt;/isbn&gt;&lt;accession-num&gt;WOS:000252506800019&lt;/accession-num&gt;&lt;urls&gt;&lt;related-urls&gt;&lt;url&gt;&amp;lt;Go to ISI&amp;gt;://WOS:000252506800019&lt;/url&gt;&lt;/related-urls&gt;&lt;/urls&gt;&lt;electronic-resource-num&gt;10.1210/en.2007-1292&lt;/electronic-resource-num&gt;&lt;/record&gt;&lt;/Cite&gt;&lt;/EndNote&gt;</w:instrText>
      </w:r>
      <w:r w:rsidR="006D3A47">
        <w:rPr>
          <w:rFonts w:ascii="Arial" w:hAnsi="Arial" w:cs="Arial"/>
        </w:rPr>
        <w:fldChar w:fldCharType="separate"/>
      </w:r>
      <w:r w:rsidR="006D3A47">
        <w:rPr>
          <w:rFonts w:ascii="Arial" w:hAnsi="Arial" w:cs="Arial"/>
          <w:noProof/>
        </w:rPr>
        <w:t>(Yamada et al., 2008)</w:t>
      </w:r>
      <w:r w:rsidR="006D3A47">
        <w:rPr>
          <w:rFonts w:ascii="Arial" w:hAnsi="Arial" w:cs="Arial"/>
        </w:rPr>
        <w:fldChar w:fldCharType="end"/>
      </w:r>
      <w:r w:rsidR="00462E90">
        <w:rPr>
          <w:rFonts w:ascii="Arial" w:hAnsi="Arial" w:cs="Arial"/>
        </w:rPr>
        <w:t>.</w:t>
      </w:r>
      <w:r>
        <w:rPr>
          <w:rFonts w:ascii="Arial" w:hAnsi="Arial" w:cs="Arial"/>
        </w:rPr>
        <w:t xml:space="preserve"> </w:t>
      </w:r>
    </w:p>
    <w:p w14:paraId="6767E39C" w14:textId="77777777" w:rsidR="0015459C" w:rsidRPr="003772E4" w:rsidRDefault="0015459C" w:rsidP="0015459C">
      <w:pPr>
        <w:spacing w:line="480" w:lineRule="auto"/>
        <w:jc w:val="both"/>
        <w:rPr>
          <w:rFonts w:ascii="Arial" w:hAnsi="Arial" w:cs="Arial"/>
        </w:rPr>
      </w:pPr>
    </w:p>
    <w:p w14:paraId="1793BF73" w14:textId="77777777" w:rsidR="0015459C" w:rsidRDefault="0015459C" w:rsidP="0015459C">
      <w:pPr>
        <w:spacing w:line="480" w:lineRule="auto"/>
        <w:jc w:val="both"/>
        <w:rPr>
          <w:rFonts w:ascii="Arial" w:hAnsi="Arial" w:cs="Arial"/>
        </w:rPr>
      </w:pPr>
      <w:r>
        <w:rPr>
          <w:rFonts w:ascii="Arial" w:hAnsi="Arial" w:cs="Arial"/>
        </w:rPr>
        <w:t xml:space="preserve">Reduction in </w:t>
      </w:r>
      <w:r w:rsidRPr="00F508AF">
        <w:rPr>
          <w:rFonts w:ascii="Arial" w:hAnsi="Arial" w:cs="Arial"/>
        </w:rPr>
        <w:t>GIP receptors and ultimate impairment of GIP and GLP1 signalling in</w:t>
      </w:r>
      <w:r>
        <w:rPr>
          <w:rFonts w:ascii="Arial" w:hAnsi="Arial" w:cs="Arial"/>
        </w:rPr>
        <w:t xml:space="preserve"> bone cells may play a role in age-related bone loss and attenuated bone response to osteogenic stimuli as observed in our studies of aged mice. Studies using transgenic mice </w:t>
      </w:r>
      <w:r w:rsidRPr="00E85533">
        <w:rPr>
          <w:rFonts w:ascii="Arial" w:hAnsi="Arial" w:cs="Calibri"/>
          <w:bCs/>
          <w:color w:val="000000"/>
        </w:rPr>
        <w:t>overexpressing GIP</w:t>
      </w:r>
      <w:r w:rsidRPr="00E464F3">
        <w:rPr>
          <w:rFonts w:ascii="Arial" w:hAnsi="Arial" w:cs="Calibri"/>
          <w:bCs/>
          <w:i/>
          <w:color w:val="000000"/>
        </w:rPr>
        <w:t xml:space="preserve"> </w:t>
      </w:r>
      <w:r>
        <w:rPr>
          <w:rFonts w:ascii="Arial" w:hAnsi="Arial" w:cs="Arial"/>
        </w:rPr>
        <w:t>revealed that mice had increased bone formation and reduced bone resorption and, most importantly, reduced bone loss with ageing</w:t>
      </w:r>
      <w:r w:rsidR="00CA2C23">
        <w:rPr>
          <w:rFonts w:ascii="Arial" w:hAnsi="Arial" w:cs="Arial"/>
        </w:rPr>
        <w:t xml:space="preserve"> </w:t>
      </w:r>
      <w:r w:rsidR="006D3A47">
        <w:rPr>
          <w:rFonts w:ascii="Arial" w:hAnsi="Arial" w:cs="Arial"/>
        </w:rPr>
        <w:fldChar w:fldCharType="begin">
          <w:fldData xml:space="preserve">PEVuZE5vdGU+PENpdGU+PEF1dGhvcj5YaWU8L0F1dGhvcj48WWVhcj4yMDA3PC9ZZWFyPjxSZWNO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</w:fldData>
        </w:fldChar>
      </w:r>
      <w:r w:rsidR="006D3A47">
        <w:rPr>
          <w:rFonts w:ascii="Arial" w:hAnsi="Arial" w:cs="Arial"/>
        </w:rPr>
        <w:instrText xml:space="preserve"> ADDIN EN.CITE </w:instrText>
      </w:r>
      <w:r w:rsidR="006D3A47">
        <w:rPr>
          <w:rFonts w:ascii="Arial" w:hAnsi="Arial" w:cs="Arial"/>
        </w:rPr>
        <w:fldChar w:fldCharType="begin">
          <w:fldData xml:space="preserve">PEVuZE5vdGU+PENpdGU+PEF1dGhvcj5YaWU8L0F1dGhvcj48WWVhcj4yMDA3PC9ZZWFyPjxSZWNO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</w:fldData>
        </w:fldChar>
      </w:r>
      <w:r w:rsidR="006D3A47">
        <w:rPr>
          <w:rFonts w:ascii="Arial" w:hAnsi="Arial" w:cs="Arial"/>
        </w:rPr>
        <w:instrText xml:space="preserve"> ADDIN EN.CITE.DATA </w:instrText>
      </w:r>
      <w:r w:rsidR="006D3A47">
        <w:rPr>
          <w:rFonts w:ascii="Arial" w:hAnsi="Arial" w:cs="Arial"/>
        </w:rPr>
      </w:r>
      <w:r w:rsidR="006D3A47">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(Xie et al., 2007, Ding et al., 2008)</w:t>
      </w:r>
      <w:r w:rsidR="006D3A47">
        <w:rPr>
          <w:rFonts w:ascii="Arial" w:hAnsi="Arial" w:cs="Arial"/>
        </w:rPr>
        <w:fldChar w:fldCharType="end"/>
      </w:r>
      <w:r w:rsidR="00CA2C23">
        <w:rPr>
          <w:rFonts w:ascii="Arial" w:hAnsi="Arial" w:cs="Arial"/>
        </w:rPr>
        <w:t xml:space="preserve">. </w:t>
      </w:r>
      <w:r>
        <w:rPr>
          <w:rFonts w:ascii="Arial" w:hAnsi="Arial" w:cs="Arial"/>
        </w:rPr>
        <w:t xml:space="preserve">Administration of </w:t>
      </w:r>
      <w:r w:rsidRPr="009509B7">
        <w:rPr>
          <w:rFonts w:ascii="Arial" w:hAnsi="Arial" w:cs="Arial"/>
        </w:rPr>
        <w:t xml:space="preserve">GLP1 </w:t>
      </w:r>
      <w:r w:rsidRPr="007A52BC">
        <w:rPr>
          <w:rFonts w:ascii="Arial" w:hAnsi="Arial" w:cs="Arial"/>
        </w:rPr>
        <w:t xml:space="preserve">in </w:t>
      </w:r>
      <w:r>
        <w:rPr>
          <w:rFonts w:ascii="Arial" w:hAnsi="Arial" w:cs="Arial"/>
        </w:rPr>
        <w:t xml:space="preserve">normal, diabetic and insulin-resistant </w:t>
      </w:r>
      <w:r w:rsidRPr="007A52BC">
        <w:rPr>
          <w:rFonts w:ascii="Arial" w:hAnsi="Arial" w:cs="Arial"/>
        </w:rPr>
        <w:t xml:space="preserve">rats </w:t>
      </w:r>
      <w:r>
        <w:rPr>
          <w:rFonts w:ascii="Arial" w:hAnsi="Arial" w:cs="Arial"/>
        </w:rPr>
        <w:t xml:space="preserve">improved trabecular bone mass and microarchitecture and </w:t>
      </w:r>
      <w:r w:rsidRPr="007A52BC">
        <w:rPr>
          <w:rFonts w:ascii="Arial" w:hAnsi="Arial" w:cs="Arial"/>
        </w:rPr>
        <w:t>increased bone formation</w:t>
      </w:r>
      <w:r>
        <w:rPr>
          <w:rFonts w:ascii="Arial" w:hAnsi="Arial" w:cs="Arial"/>
        </w:rPr>
        <w:t xml:space="preserve"> suggesting insulin independent anabolic effects of GLP1 on bone </w:t>
      </w:r>
      <w:r w:rsidR="006D3A47">
        <w:rPr>
          <w:rFonts w:ascii="Arial" w:hAnsi="Arial" w:cs="Arial"/>
        </w:rPr>
        <w:fldChar w:fldCharType="begin"/>
      </w:r>
      <w:r w:rsidR="0000415D">
        <w:rPr>
          <w:rFonts w:ascii="Arial" w:hAnsi="Arial" w:cs="Arial"/>
        </w:rPr>
        <w:instrText xml:space="preserve"> ADDIN EN.CITE &lt;EndNote&gt;&lt;Cite&gt;&lt;Author&gt;Nuche-Berenguer&lt;/Author&gt;&lt;Year&gt;2009&lt;/Year&gt;&lt;RecNum&gt;257&lt;/RecNum&gt;&lt;DisplayText&gt;(Nuche-Berenguer et al., 2009)&lt;/DisplayText&gt;&lt;record&gt;&lt;rec-number&gt;257&lt;/rec-number&gt;&lt;foreign-keys&gt;&lt;key app="EN" db-id="ae9rewfrpdttrheppfxxv0p4950wpd25r09x" timestamp="1520658209"&gt;257&lt;/key&gt;&lt;/foreign-keys&gt;&lt;ref-type name="Journal Article"&gt;17&lt;/ref-type&gt;&lt;contributors&gt;&lt;authors&gt;&lt;author&gt;Nuche-Berenguer, B.&lt;/author&gt;&lt;author&gt;Moreno, P.&lt;/author&gt;&lt;author&gt;Esbrit, P.&lt;/author&gt;&lt;author&gt;Dapia, S.&lt;/author&gt;&lt;author&gt;Caeiro,, Jr.&lt;/author&gt;&lt;author&gt;Cancelas, J.&lt;/author&gt;&lt;author&gt;Haro-Mora, Jj&lt;/author&gt;&lt;author&gt;Villanueva-Penacarrillo, Ml&lt;/author&gt;&lt;/authors&gt;&lt;/contributors&gt;&lt;titles&gt;&lt;title&gt;Effect of GLP- 1 Treatment on Bone Turnover in Normal, Type 2 Diabetic, and Insulin- Resistant States&lt;/title&gt;&lt;secondary-title&gt;Calcified Tissue International&lt;/secondary-title&gt;&lt;/titles&gt;&lt;periodical&gt;&lt;full-title&gt;Calcified Tissue International&lt;/full-title&gt;&lt;/periodical&gt;&lt;pages&gt;453-461&lt;/pages&gt;&lt;volume&gt;84&lt;/volume&gt;&lt;number&gt;6&lt;/number&gt;&lt;dates&gt;&lt;year&gt;2009&lt;/year&gt;&lt;/dates&gt;&lt;isbn&gt;0171-967X&lt;/isbn&gt;&lt;urls&gt;&lt;/urls&gt;&lt;electronic-resource-num&gt;10.1007/s00223-009-9220-3&lt;/electronic-resource-num&gt;&lt;/record&gt;&lt;/Cite&gt;&lt;/EndNote&gt;</w:instrText>
      </w:r>
      <w:r w:rsidR="006D3A47">
        <w:rPr>
          <w:rFonts w:ascii="Arial" w:hAnsi="Arial" w:cs="Arial"/>
        </w:rPr>
        <w:fldChar w:fldCharType="separate"/>
      </w:r>
      <w:r w:rsidR="006D3A47">
        <w:rPr>
          <w:rFonts w:ascii="Arial" w:hAnsi="Arial" w:cs="Arial"/>
          <w:noProof/>
        </w:rPr>
        <w:t>(Nuche-Berenguer et al., 2009)</w:t>
      </w:r>
      <w:r w:rsidR="006D3A47">
        <w:rPr>
          <w:rFonts w:ascii="Arial" w:hAnsi="Arial" w:cs="Arial"/>
        </w:rPr>
        <w:fldChar w:fldCharType="end"/>
      </w:r>
      <w:r w:rsidR="00CA2C23">
        <w:rPr>
          <w:rFonts w:ascii="Arial" w:hAnsi="Arial" w:cs="Arial"/>
        </w:rPr>
        <w:t>.</w:t>
      </w:r>
    </w:p>
    <w:p w14:paraId="1A246836" w14:textId="77777777" w:rsidR="0015459C" w:rsidRPr="007B2A7F" w:rsidRDefault="00104933" w:rsidP="007B2A7F">
      <w:pPr>
        <w:pStyle w:val="Heading3"/>
        <w:spacing w:line="480" w:lineRule="auto"/>
        <w:jc w:val="both"/>
        <w:rPr>
          <w:rFonts w:ascii="Arial" w:hAnsi="Arial"/>
          <w:color w:val="auto"/>
        </w:rPr>
      </w:pPr>
      <w:bookmarkStart w:id="181" w:name="_Toc383723937"/>
      <w:r>
        <w:rPr>
          <w:rFonts w:ascii="Arial" w:hAnsi="Arial"/>
          <w:color w:val="auto"/>
        </w:rPr>
        <w:t>7</w:t>
      </w:r>
      <w:r w:rsidR="0015459C" w:rsidRPr="007B2A7F">
        <w:rPr>
          <w:rFonts w:ascii="Arial" w:hAnsi="Arial"/>
          <w:color w:val="auto"/>
        </w:rPr>
        <w:t xml:space="preserve">.3.3 </w:t>
      </w:r>
      <w:proofErr w:type="gramStart"/>
      <w:r w:rsidR="0015459C" w:rsidRPr="007B2A7F">
        <w:rPr>
          <w:rFonts w:ascii="Arial" w:hAnsi="Arial"/>
          <w:color w:val="auto"/>
        </w:rPr>
        <w:t>The</w:t>
      </w:r>
      <w:proofErr w:type="gramEnd"/>
      <w:r w:rsidR="0015459C" w:rsidRPr="007B2A7F">
        <w:rPr>
          <w:rFonts w:ascii="Arial" w:hAnsi="Arial"/>
          <w:color w:val="auto"/>
        </w:rPr>
        <w:t xml:space="preserve"> effect of repeated blood sampling on the systemic cortisol conce</w:t>
      </w:r>
      <w:r w:rsidR="00324DED">
        <w:rPr>
          <w:rFonts w:ascii="Arial" w:hAnsi="Arial"/>
          <w:color w:val="auto"/>
        </w:rPr>
        <w:t>ntratio</w:t>
      </w:r>
      <w:r w:rsidR="00CB2AA1">
        <w:rPr>
          <w:rFonts w:ascii="Arial" w:hAnsi="Arial"/>
          <w:color w:val="auto"/>
        </w:rPr>
        <w:t>n</w:t>
      </w:r>
      <w:r w:rsidR="00324DED">
        <w:rPr>
          <w:rFonts w:ascii="Arial" w:hAnsi="Arial"/>
          <w:color w:val="auto"/>
        </w:rPr>
        <w:t xml:space="preserve">s in young and aged </w:t>
      </w:r>
      <w:r w:rsidR="0015459C" w:rsidRPr="007B2A7F">
        <w:rPr>
          <w:rFonts w:ascii="Arial" w:hAnsi="Arial"/>
          <w:color w:val="auto"/>
        </w:rPr>
        <w:t>mice</w:t>
      </w:r>
      <w:bookmarkEnd w:id="181"/>
    </w:p>
    <w:p w14:paraId="01BE9366" w14:textId="77777777" w:rsidR="0015459C" w:rsidRDefault="00D53F04" w:rsidP="0015459C">
      <w:pPr>
        <w:spacing w:line="480" w:lineRule="auto"/>
        <w:jc w:val="both"/>
        <w:rPr>
          <w:rFonts w:ascii="Arial" w:hAnsi="Arial"/>
          <w:bCs/>
        </w:rPr>
      </w:pPr>
      <w:r>
        <w:rPr>
          <w:rFonts w:ascii="Arial" w:hAnsi="Arial" w:cs="Arial"/>
        </w:rPr>
        <w:t>We previously</w:t>
      </w:r>
      <w:r w:rsidR="0015459C">
        <w:rPr>
          <w:rFonts w:ascii="Arial" w:hAnsi="Arial" w:cs="Arial"/>
        </w:rPr>
        <w:t xml:space="preserve"> assessed whether repeated blood sampling by tail incision had any effect on stress hormone cortisol concentrations in young and aged male mice. Low concentrations of cortisol in both young and aged mice indicated that repeated nature of blood sampling by tail incision method was not a stressful procedure </w:t>
      </w:r>
      <w:r w:rsidR="006D3A47">
        <w:rPr>
          <w:rFonts w:ascii="Arial" w:hAnsi="Arial" w:cs="Arial"/>
        </w:rPr>
        <w:fldChar w:fldCharType="begin">
          <w:fldData xml:space="preserve">PEVuZE5vdGU+PENpdGU+PEF1dGhvcj5MaXU8L0F1dGhvcj48WWVhcj4yMDEyPC9ZZWFyPjxSZWNO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PEVuZE5vdGU+PENpdGU+PEF1dGhvcj5MaXU8L0F1dGhvcj48WWVhcj4yMDEyPC9ZZWFyPjxSZWNO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 xml:space="preserve">(Liu et al., 2012, </w:t>
      </w:r>
      <w:r w:rsidR="006D3A47">
        <w:rPr>
          <w:rFonts w:ascii="Arial" w:hAnsi="Arial" w:cs="Arial"/>
          <w:noProof/>
        </w:rPr>
        <w:lastRenderedPageBreak/>
        <w:t>Gong et al., 2015)</w:t>
      </w:r>
      <w:r w:rsidR="006D3A47">
        <w:rPr>
          <w:rFonts w:ascii="Arial" w:hAnsi="Arial" w:cs="Arial"/>
        </w:rPr>
        <w:fldChar w:fldCharType="end"/>
      </w:r>
      <w:r w:rsidR="00560C95">
        <w:rPr>
          <w:rFonts w:ascii="Arial" w:hAnsi="Arial" w:cs="Arial"/>
        </w:rPr>
        <w:t xml:space="preserve"> </w:t>
      </w:r>
      <w:r w:rsidR="0015459C">
        <w:rPr>
          <w:rFonts w:ascii="Arial" w:hAnsi="Arial" w:cs="Arial"/>
        </w:rPr>
        <w:t xml:space="preserve">and, therefore, should not have interfered with the interpretation of our results of hormone concentration measurements.  The ability to take repeated small volume of blood samples from the same animals at three time points reduced the number of the experimental animals required for our experiment and was thus in keeping with the 3R principle. </w:t>
      </w:r>
      <w:r w:rsidR="0015459C">
        <w:rPr>
          <w:rFonts w:ascii="Arial" w:hAnsi="Arial"/>
          <w:bCs/>
        </w:rPr>
        <w:t xml:space="preserve">In addition, </w:t>
      </w:r>
      <w:r w:rsidR="00503D11">
        <w:rPr>
          <w:rFonts w:ascii="Arial" w:hAnsi="Arial"/>
          <w:bCs/>
        </w:rPr>
        <w:t xml:space="preserve">since it has been shown warming the mice in </w:t>
      </w:r>
      <w:r w:rsidR="0015459C">
        <w:rPr>
          <w:rFonts w:ascii="Arial" w:hAnsi="Arial"/>
          <w:bCs/>
        </w:rPr>
        <w:t>a thermostatically controlled warming chamber</w:t>
      </w:r>
      <w:r w:rsidR="00503D11">
        <w:rPr>
          <w:rFonts w:ascii="Arial" w:hAnsi="Arial"/>
          <w:bCs/>
        </w:rPr>
        <w:t xml:space="preserve"> prior to the blood collection is </w:t>
      </w:r>
      <w:r w:rsidR="0015459C">
        <w:rPr>
          <w:rFonts w:ascii="Arial" w:hAnsi="Arial"/>
          <w:bCs/>
        </w:rPr>
        <w:t xml:space="preserve">stressful for mice </w:t>
      </w:r>
      <w:r w:rsidR="006D3A47">
        <w:rPr>
          <w:rFonts w:ascii="Arial" w:hAnsi="Arial"/>
          <w:bCs/>
        </w:rPr>
        <w:fldChar w:fldCharType="begin"/>
      </w:r>
      <w:r w:rsidR="006D3A47">
        <w:rPr>
          <w:rFonts w:ascii="Arial" w:hAnsi="Arial"/>
          <w:bCs/>
        </w:rPr>
        <w:instrText xml:space="preserve"> ADDIN EN.CITE &lt;EndNote&gt;&lt;Cite&gt;&lt;Author&gt;Sadler&lt;/Author&gt;&lt;Year&gt;2013&lt;/Year&gt;&lt;RecNum&gt;414&lt;/RecNum&gt;&lt;DisplayText&gt;(Sadler and Bailey, 2013)&lt;/DisplayText&gt;&lt;record&gt;&lt;rec-number&gt;414&lt;/rec-number&gt;&lt;foreign-keys&gt;&lt;key app="EN" db-id="ae9rewfrpdttrheppfxxv0p4950wpd25r09x" timestamp="1520658304"&gt;414&lt;/key&gt;&lt;/foreign-keys&gt;&lt;ref-type name="Journal Article"&gt;17&lt;/ref-type&gt;&lt;contributors&gt;&lt;authors&gt;&lt;author&gt;Sadler, Annelisa M.&lt;/author&gt;&lt;author&gt;Bailey, Sarah J.&lt;/author&gt;&lt;/authors&gt;&lt;/contributors&gt;&lt;titles&gt;&lt;title&gt;Validation of a refined technique for taking repeated blood samples from juvenile and adult mice&lt;/title&gt;&lt;secondary-title&gt;Laboratory Animals&lt;/secondary-title&gt;&lt;/titles&gt;&lt;periodical&gt;&lt;full-title&gt;Laboratory Animals&lt;/full-title&gt;&lt;/periodical&gt;&lt;pages&gt;316-319&lt;/pages&gt;&lt;volume&gt;47&lt;/volume&gt;&lt;number&gt;4&lt;/number&gt;&lt;keywords&gt;&lt;keyword&gt;Rodents&lt;/keyword&gt;&lt;keyword&gt;Stress&lt;/keyword&gt;&lt;keyword&gt;Bleeding Techniques&lt;/keyword&gt;&lt;keyword&gt;Corticosterone&lt;/keyword&gt;&lt;keyword&gt;Tail Vein&lt;/keyword&gt;&lt;/keywords&gt;&lt;dates&gt;&lt;year&gt;2013&lt;/year&gt;&lt;/dates&gt;&lt;isbn&gt;0023-6772&lt;/isbn&gt;&lt;urls&gt;&lt;/urls&gt;&lt;electronic-resource-num&gt;10.1177/0023677213494366&lt;/electronic-resource-num&gt;&lt;/record&gt;&lt;/Cite&gt;&lt;/EndNote&gt;</w:instrText>
      </w:r>
      <w:r w:rsidR="006D3A47">
        <w:rPr>
          <w:rFonts w:ascii="Arial" w:hAnsi="Arial"/>
          <w:bCs/>
        </w:rPr>
        <w:fldChar w:fldCharType="separate"/>
      </w:r>
      <w:r w:rsidR="006D3A47">
        <w:rPr>
          <w:rFonts w:ascii="Arial" w:hAnsi="Arial"/>
          <w:bCs/>
          <w:noProof/>
        </w:rPr>
        <w:t>(Sadler and Bailey, 2013)</w:t>
      </w:r>
      <w:r w:rsidR="006D3A47">
        <w:rPr>
          <w:rFonts w:ascii="Arial" w:hAnsi="Arial"/>
          <w:bCs/>
        </w:rPr>
        <w:fldChar w:fldCharType="end"/>
      </w:r>
      <w:r w:rsidR="00503D11">
        <w:rPr>
          <w:rFonts w:ascii="Arial" w:hAnsi="Arial"/>
          <w:bCs/>
        </w:rPr>
        <w:t xml:space="preserve">, we did not warm the mice </w:t>
      </w:r>
      <w:r w:rsidR="0015459C">
        <w:rPr>
          <w:rFonts w:ascii="Arial" w:hAnsi="Arial"/>
          <w:bCs/>
        </w:rPr>
        <w:t xml:space="preserve">and </w:t>
      </w:r>
      <w:r w:rsidR="00503D11">
        <w:rPr>
          <w:rFonts w:ascii="Arial" w:hAnsi="Arial"/>
          <w:bCs/>
        </w:rPr>
        <w:t xml:space="preserve">this aspect of the experimental protocol </w:t>
      </w:r>
      <w:r w:rsidR="0015459C">
        <w:rPr>
          <w:rFonts w:ascii="Arial" w:hAnsi="Arial"/>
          <w:bCs/>
        </w:rPr>
        <w:t xml:space="preserve">would have therefore contributed to the low serum cortisol concentrations.  </w:t>
      </w:r>
    </w:p>
    <w:p w14:paraId="072950E1" w14:textId="77777777" w:rsidR="002563CF" w:rsidRDefault="002563CF" w:rsidP="003E63A2">
      <w:pPr>
        <w:spacing w:line="480" w:lineRule="auto"/>
        <w:jc w:val="both"/>
        <w:rPr>
          <w:rFonts w:ascii="Arial" w:hAnsi="Arial" w:cs="Arial"/>
        </w:rPr>
      </w:pPr>
    </w:p>
    <w:p w14:paraId="57106A48" w14:textId="77777777" w:rsidR="00603A53" w:rsidRDefault="003E63A2" w:rsidP="003E63A2">
      <w:pPr>
        <w:spacing w:line="480" w:lineRule="auto"/>
        <w:jc w:val="both"/>
        <w:rPr>
          <w:rFonts w:ascii="Arial" w:hAnsi="Arial" w:cs="Arial"/>
        </w:rPr>
      </w:pPr>
      <w:r>
        <w:rPr>
          <w:rFonts w:ascii="Arial" w:hAnsi="Arial" w:cs="Arial"/>
        </w:rPr>
        <w:t xml:space="preserve">Consistent with previous studies </w:t>
      </w:r>
      <w:r w:rsidR="006D3A47">
        <w:rPr>
          <w:rFonts w:ascii="Arial" w:hAnsi="Arial" w:cs="Arial"/>
        </w:rPr>
        <w:fldChar w:fldCharType="begin">
          <w:fldData xml:space="preserve">PEVuZE5vdGU+PENpdGU+PEF1dGhvcj5MaXU8L0F1dGhvcj48WWVhcj4yMDEyPC9ZZWFyPjxSZWNO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PEVuZE5vdGU+PENpdGU+PEF1dGhvcj5MaXU8L0F1dGhvcj48WWVhcj4yMDEyPC9ZZWFyPjxSZWNO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(Liu et al., 2012, Gong et al., 2015)</w:t>
      </w:r>
      <w:r w:rsidR="006D3A47">
        <w:rPr>
          <w:rFonts w:ascii="Arial" w:hAnsi="Arial" w:cs="Arial"/>
        </w:rPr>
        <w:fldChar w:fldCharType="end"/>
      </w:r>
      <w:r>
        <w:rPr>
          <w:rFonts w:ascii="Arial" w:hAnsi="Arial" w:cs="Arial"/>
        </w:rPr>
        <w:t xml:space="preserve"> concentrations of cortisol in young mice remained relatively unchanged from 12:00 in the early afternoon to 15:00 late afternoon. There was no age-related </w:t>
      </w:r>
      <w:r w:rsidR="00A765F2">
        <w:rPr>
          <w:rFonts w:ascii="Arial" w:hAnsi="Arial" w:cs="Arial"/>
        </w:rPr>
        <w:t xml:space="preserve">significant </w:t>
      </w:r>
      <w:r>
        <w:rPr>
          <w:rFonts w:ascii="Arial" w:hAnsi="Arial" w:cs="Arial"/>
        </w:rPr>
        <w:t xml:space="preserve">increase in cortisol concentrations in our mice despite being previously reported that endogenous </w:t>
      </w:r>
      <w:r>
        <w:rPr>
          <w:rFonts w:ascii="Arial" w:hAnsi="Arial"/>
          <w:bCs/>
        </w:rPr>
        <w:t xml:space="preserve">serum glucocorticoids were elevated in aged animals and excess was associated with impaired bone formation and enhanced bone resorption </w:t>
      </w:r>
      <w:r w:rsidR="006D3A47">
        <w:rPr>
          <w:rFonts w:ascii="Arial" w:hAnsi="Arial"/>
          <w:bCs/>
        </w:rPr>
        <w:fldChar w:fldCharType="begin">
          <w:fldData xml:space="preserve">PEVuZE5vdGU+PENpdGU+PEF1dGhvcj5EaW5nPC9BdXRob3I+PFllYXI+MjAxMDwvWWVhcj48UmVj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</w:fldData>
        </w:fldChar>
      </w:r>
      <w:r w:rsidR="00B97465">
        <w:rPr>
          <w:rFonts w:ascii="Arial" w:hAnsi="Arial"/>
          <w:bCs/>
        </w:rPr>
        <w:instrText xml:space="preserve"> ADDIN EN.CITE </w:instrText>
      </w:r>
      <w:r w:rsidR="00B97465">
        <w:rPr>
          <w:rFonts w:ascii="Arial" w:hAnsi="Arial"/>
          <w:bCs/>
        </w:rPr>
        <w:fldChar w:fldCharType="begin">
          <w:fldData xml:space="preserve">PEVuZE5vdGU+PENpdGU+PEF1dGhvcj5EaW5nPC9BdXRob3I+PFllYXI+MjAxMDwvWWVhcj48UmVj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</w:fldData>
        </w:fldChar>
      </w:r>
      <w:r w:rsidR="00B97465">
        <w:rPr>
          <w:rFonts w:ascii="Arial" w:hAnsi="Arial"/>
          <w:bCs/>
        </w:rPr>
        <w:instrText xml:space="preserve"> ADDIN EN.CITE.DATA </w:instrText>
      </w:r>
      <w:r w:rsidR="00B97465">
        <w:rPr>
          <w:rFonts w:ascii="Arial" w:hAnsi="Arial"/>
          <w:bCs/>
        </w:rPr>
      </w:r>
      <w:r w:rsidR="00B97465">
        <w:rPr>
          <w:rFonts w:ascii="Arial" w:hAnsi="Arial"/>
          <w:bCs/>
        </w:rPr>
        <w:fldChar w:fldCharType="end"/>
      </w:r>
      <w:r w:rsidR="006D3A47">
        <w:rPr>
          <w:rFonts w:ascii="Arial" w:hAnsi="Arial"/>
          <w:bCs/>
        </w:rPr>
      </w:r>
      <w:r w:rsidR="006D3A47">
        <w:rPr>
          <w:rFonts w:ascii="Arial" w:hAnsi="Arial"/>
          <w:bCs/>
        </w:rPr>
        <w:fldChar w:fldCharType="separate"/>
      </w:r>
      <w:r w:rsidR="006D3A47">
        <w:rPr>
          <w:rFonts w:ascii="Arial" w:hAnsi="Arial"/>
          <w:bCs/>
          <w:noProof/>
        </w:rPr>
        <w:t>(Ding et al., 2010, Weinstein et al., 2010, Almeida and O’Brien, 2013, Komori, 2016)</w:t>
      </w:r>
      <w:r w:rsidR="006D3A47">
        <w:rPr>
          <w:rFonts w:ascii="Arial" w:hAnsi="Arial"/>
          <w:bCs/>
        </w:rPr>
        <w:fldChar w:fldCharType="end"/>
      </w:r>
      <w:r w:rsidR="00C54C7F">
        <w:rPr>
          <w:rFonts w:ascii="Arial" w:hAnsi="Arial"/>
          <w:bCs/>
        </w:rPr>
        <w:t xml:space="preserve">. </w:t>
      </w:r>
      <w:r w:rsidR="007C3A73">
        <w:rPr>
          <w:rFonts w:ascii="Arial" w:hAnsi="Arial" w:cs="Arial"/>
        </w:rPr>
        <w:t xml:space="preserve">Stress is characterised by activation of the ANS and various neuroendocrine systems including the hypothalamic-pituitary-adrenal axis and results in increased circulating concentrations of glucocorticoids </w:t>
      </w:r>
      <w:r w:rsidR="006D3A47">
        <w:rPr>
          <w:rFonts w:ascii="Arial" w:hAnsi="Arial" w:cs="Arial"/>
        </w:rPr>
        <w:fldChar w:fldCharType="begin">
          <w:fldData xml:space="preserve">PEVuZE5vdGU+PENpdGU+PEF1dGhvcj5CYXJyaWdhPC9BdXRob3I+PFllYXI+MjAwMTwvWWVhcj48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</w:fldData>
        </w:fldChar>
      </w:r>
      <w:r w:rsidR="006D3A47">
        <w:rPr>
          <w:rFonts w:ascii="Arial" w:hAnsi="Arial" w:cs="Arial"/>
        </w:rPr>
        <w:instrText xml:space="preserve"> ADDIN EN.CITE </w:instrText>
      </w:r>
      <w:r w:rsidR="006D3A47">
        <w:rPr>
          <w:rFonts w:ascii="Arial" w:hAnsi="Arial" w:cs="Arial"/>
        </w:rPr>
        <w:fldChar w:fldCharType="begin">
          <w:fldData xml:space="preserve">PEVuZE5vdGU+PENpdGU+PEF1dGhvcj5CYXJyaWdhPC9BdXRob3I+PFllYXI+MjAwMTwvWWVhcj48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</w:fldData>
        </w:fldChar>
      </w:r>
      <w:r w:rsidR="006D3A47">
        <w:rPr>
          <w:rFonts w:ascii="Arial" w:hAnsi="Arial" w:cs="Arial"/>
        </w:rPr>
        <w:instrText xml:space="preserve"> ADDIN EN.CITE.DATA </w:instrText>
      </w:r>
      <w:r w:rsidR="006D3A47">
        <w:rPr>
          <w:rFonts w:ascii="Arial" w:hAnsi="Arial" w:cs="Arial"/>
        </w:rPr>
      </w:r>
      <w:r w:rsidR="006D3A47">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(Barriga et al., 2001, Amaral, 2010)</w:t>
      </w:r>
      <w:r w:rsidR="006D3A47">
        <w:rPr>
          <w:rFonts w:ascii="Arial" w:hAnsi="Arial" w:cs="Arial"/>
        </w:rPr>
        <w:fldChar w:fldCharType="end"/>
      </w:r>
      <w:r w:rsidR="007C3A73">
        <w:rPr>
          <w:rFonts w:ascii="Arial" w:hAnsi="Arial" w:cs="Arial"/>
        </w:rPr>
        <w:t xml:space="preserve">. The secretion of glucocorticoids, including corticosterone and cortisol, follows circadian rhythms but is also influenced by behaviour, physiology and metabolism of mice </w:t>
      </w:r>
      <w:r w:rsidR="006D3A47">
        <w:rPr>
          <w:rFonts w:ascii="Arial" w:hAnsi="Arial" w:cs="Arial"/>
        </w:rPr>
        <w:fldChar w:fldCharType="begin">
          <w:fldData xml:space="preserve">PEVuZE5vdGU+PENpdGU+PEF1dGhvcj5IYXJyaXM8L0F1dGhvcj48WWVhcj4xOTk0PC9ZZWFyPjxS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</w:fldData>
        </w:fldChar>
      </w:r>
      <w:r w:rsidR="0000415D">
        <w:rPr>
          <w:rFonts w:ascii="Arial" w:hAnsi="Arial" w:cs="Arial"/>
        </w:rPr>
        <w:instrText xml:space="preserve"> ADDIN EN.CITE </w:instrText>
      </w:r>
      <w:r w:rsidR="0000415D">
        <w:rPr>
          <w:rFonts w:ascii="Arial" w:hAnsi="Arial" w:cs="Arial"/>
        </w:rPr>
        <w:fldChar w:fldCharType="begin">
          <w:fldData xml:space="preserve">PEVuZE5vdGU+PENpdGU+PEF1dGhvcj5IYXJyaXM8L0F1dGhvcj48WWVhcj4xOTk0PC9ZZWFyPjxS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</w:fldData>
        </w:fldChar>
      </w:r>
      <w:r w:rsidR="0000415D">
        <w:rPr>
          <w:rFonts w:ascii="Arial" w:hAnsi="Arial" w:cs="Arial"/>
        </w:rPr>
        <w:instrText xml:space="preserve"> ADDIN EN.CITE.DATA </w:instrText>
      </w:r>
      <w:r w:rsidR="0000415D">
        <w:rPr>
          <w:rFonts w:ascii="Arial" w:hAnsi="Arial" w:cs="Arial"/>
        </w:rPr>
      </w:r>
      <w:r w:rsidR="0000415D">
        <w:rPr>
          <w:rFonts w:ascii="Arial" w:hAnsi="Arial" w:cs="Arial"/>
        </w:rPr>
        <w:fldChar w:fldCharType="end"/>
      </w:r>
      <w:r w:rsidR="006D3A47">
        <w:rPr>
          <w:rFonts w:ascii="Arial" w:hAnsi="Arial" w:cs="Arial"/>
        </w:rPr>
      </w:r>
      <w:r w:rsidR="006D3A47">
        <w:rPr>
          <w:rFonts w:ascii="Arial" w:hAnsi="Arial" w:cs="Arial"/>
        </w:rPr>
        <w:fldChar w:fldCharType="separate"/>
      </w:r>
      <w:r w:rsidR="006D3A47">
        <w:rPr>
          <w:rFonts w:ascii="Arial" w:hAnsi="Arial" w:cs="Arial"/>
          <w:noProof/>
        </w:rPr>
        <w:t>(Harris et al., 1994, Weinert et al., 1994, Barriga et al., 2001)</w:t>
      </w:r>
      <w:r w:rsidR="006D3A47">
        <w:rPr>
          <w:rFonts w:ascii="Arial" w:hAnsi="Arial" w:cs="Arial"/>
        </w:rPr>
        <w:fldChar w:fldCharType="end"/>
      </w:r>
      <w:r w:rsidR="001418D5">
        <w:rPr>
          <w:rFonts w:ascii="Arial" w:hAnsi="Arial" w:cs="Arial"/>
        </w:rPr>
        <w:t xml:space="preserve">. </w:t>
      </w:r>
      <w:r w:rsidR="007C3A73">
        <w:rPr>
          <w:rFonts w:ascii="Arial" w:hAnsi="Arial" w:cs="Arial"/>
        </w:rPr>
        <w:t>Corticosterone concentrations increase as activity levels of mice increase in the scotophase (</w:t>
      </w:r>
      <w:r w:rsidR="007C3A73">
        <w:rPr>
          <w:rFonts w:ascii="Arial" w:hAnsi="Arial"/>
        </w:rPr>
        <w:t>dark period)</w:t>
      </w:r>
      <w:r w:rsidR="007C3A73">
        <w:rPr>
          <w:rFonts w:ascii="Arial" w:hAnsi="Arial" w:cs="Arial"/>
        </w:rPr>
        <w:t xml:space="preserve"> and decrease in the photophase (</w:t>
      </w:r>
      <w:r w:rsidR="007C3A73">
        <w:rPr>
          <w:rFonts w:ascii="Arial" w:hAnsi="Arial"/>
        </w:rPr>
        <w:t>light period)</w:t>
      </w:r>
      <w:r w:rsidR="007C3A73">
        <w:rPr>
          <w:rFonts w:ascii="Arial" w:hAnsi="Arial" w:cs="Arial"/>
        </w:rPr>
        <w:t xml:space="preserve"> as the activity levels of mice decrease </w:t>
      </w:r>
      <w:r w:rsidR="006D3A47">
        <w:rPr>
          <w:rFonts w:ascii="Arial" w:hAnsi="Arial" w:cs="Arial"/>
        </w:rPr>
        <w:fldChar w:fldCharType="begin"/>
      </w:r>
      <w:r w:rsidR="00651EFF">
        <w:rPr>
          <w:rFonts w:ascii="Arial" w:hAnsi="Arial" w:cs="Arial"/>
        </w:rPr>
        <w:instrText xml:space="preserve"> ADDIN EN.CITE &lt;EndNote&gt;&lt;Cite&gt;&lt;Author&gt;Halberg&lt;/Author&gt;&lt;Year&gt;1959&lt;/Year&gt;&lt;RecNum&gt;641&lt;/RecNum&gt;&lt;DisplayText&gt;(Halberg et al., 1959)&lt;/DisplayText&gt;&lt;record&gt;&lt;rec-number&gt;641&lt;/rec-number&gt;&lt;foreign-keys&gt;&lt;key app="EN" db-id="ae9rewfrpdttrheppfxxv0p4950wpd25r09x" timestamp="1521152345"&gt;641&lt;/key&gt;&lt;/foreign-keys&gt;&lt;ref-type name="Journal Article"&gt;17&lt;/ref-type&gt;&lt;contributors&gt;&lt;authors&gt;&lt;author&gt;Halberg, F.&lt;/author&gt;&lt;author&gt;Albrecht, P. G.&lt;/author&gt;&lt;author&gt;Bittner, J. J.&lt;/author&gt;&lt;/authors&gt;&lt;/contributors&gt;&lt;titles&gt;&lt;title&gt;Corticosterone rhythm of mouse adrenal in relation to serum corticosterone and sampling&lt;/title&gt;&lt;secondary-title&gt;The American Journal of Physiology&lt;/secondary-title&gt;&lt;/titles&gt;&lt;periodical&gt;&lt;full-title&gt;The American journal of physiology&lt;/full-title&gt;&lt;/periodical&gt;&lt;pages&gt;1083-5&lt;/pages&gt;&lt;volume&gt;197&lt;/volume&gt;&lt;keywords&gt;&lt;keyword&gt;Adrenal Cortex Hormones/Blood&lt;/keyword&gt;&lt;keyword&gt;Adrenal Cortex/Physiology&lt;/keyword&gt;&lt;keyword&gt;Corticosterone&lt;/keyword&gt;&lt;keyword&gt;Physiological Phenomena&lt;/keyword&gt;&lt;keyword&gt;Specimen Handling&lt;/keyword&gt;&lt;keyword&gt;Adrenal Cortex -- Physiology&lt;/keyword&gt;&lt;keyword&gt;Adrenal Cortex Hormones -- Blood&lt;/keyword&gt;&lt;/keywords&gt;&lt;dates&gt;&lt;year&gt;1959&lt;/year&gt;&lt;/dates&gt;&lt;isbn&gt;0002-9513&lt;/isbn&gt;&lt;urls&gt;&lt;/urls&gt;&lt;/record&gt;&lt;/Cite&gt;&lt;/EndNote&gt;</w:instrText>
      </w:r>
      <w:r w:rsidR="006D3A47">
        <w:rPr>
          <w:rFonts w:ascii="Arial" w:hAnsi="Arial" w:cs="Arial"/>
        </w:rPr>
        <w:fldChar w:fldCharType="separate"/>
      </w:r>
      <w:r w:rsidR="006D3A47">
        <w:rPr>
          <w:rFonts w:ascii="Arial" w:hAnsi="Arial" w:cs="Arial"/>
          <w:noProof/>
        </w:rPr>
        <w:t>(Halberg et al., 1959)</w:t>
      </w:r>
      <w:r w:rsidR="006D3A47">
        <w:rPr>
          <w:rFonts w:ascii="Arial" w:hAnsi="Arial" w:cs="Arial"/>
        </w:rPr>
        <w:fldChar w:fldCharType="end"/>
      </w:r>
      <w:r w:rsidR="00620744">
        <w:rPr>
          <w:rFonts w:ascii="Arial" w:hAnsi="Arial" w:cs="Arial"/>
        </w:rPr>
        <w:t xml:space="preserve">. </w:t>
      </w:r>
      <w:r w:rsidR="007C3A73">
        <w:rPr>
          <w:rFonts w:ascii="Arial" w:hAnsi="Arial" w:cs="Arial"/>
        </w:rPr>
        <w:t xml:space="preserve">While mouse serum cortisol and corticosterone dynamics are closely correlated under various physiological and stressful conditions signifying that either can be used as an index for stress activation, cortisol </w:t>
      </w:r>
      <w:r w:rsidR="007C3A73">
        <w:rPr>
          <w:rFonts w:ascii="Arial" w:hAnsi="Arial" w:cs="Arial"/>
        </w:rPr>
        <w:lastRenderedPageBreak/>
        <w:t xml:space="preserve">responds quicker during acute stress </w:t>
      </w:r>
      <w:r w:rsidR="006D3A47">
        <w:rPr>
          <w:rFonts w:ascii="Arial" w:hAnsi="Arial" w:cs="Arial"/>
        </w:rPr>
        <w:fldChar w:fldCharType="begin"/>
      </w:r>
      <w:r w:rsidR="00651EFF">
        <w:rPr>
          <w:rFonts w:ascii="Arial" w:hAnsi="Arial" w:cs="Arial"/>
        </w:rPr>
        <w:instrText xml:space="preserve"> ADDIN EN.CITE &lt;EndNote&gt;&lt;Cite&gt;&lt;Author&gt;Gong&lt;/Author&gt;&lt;Year&gt;2015&lt;/Year&gt;&lt;RecNum&gt;634&lt;/RecNum&gt;&lt;DisplayText&gt;(Gong et al., 2015)&lt;/DisplayText&gt;&lt;record&gt;&lt;rec-number&gt;634&lt;/rec-number&gt;&lt;foreign-keys&gt;&lt;key app="EN" db-id="ae9rewfrpdttrheppfxxv0p4950wpd25r09x" timestamp="1521147814"&gt;634&lt;/key&gt;&lt;/foreign-keys&gt;&lt;ref-type name="Journal Article"&gt;17&lt;/ref-type&gt;&lt;contributors&gt;&lt;authors&gt;&lt;author&gt;Gong, S.,&lt;/author&gt;&lt;author&gt;Miao, Y.,&lt;/author&gt;&lt;author&gt;Sun, M.,&lt;/author&gt;&lt;author&gt;Li, H.,&lt;/author&gt;&lt;author&gt;Lin, J.,&lt;/author&gt;&lt;author&gt;Luo, M.,&lt;/author&gt;&lt;author&gt;Tan, J.&lt;/author&gt;&lt;/authors&gt;&lt;/contributors&gt;&lt;titles&gt;&lt;title&gt;Dynamics and correlation of serum cortisol and corticosterone under different physiological or stressful conditions in mice&lt;/title&gt;&lt;secondary-title&gt;Public Library of Science ONE&lt;/secondary-title&gt;&lt;/titles&gt;&lt;periodical&gt;&lt;full-title&gt;Public Library of Science ONE&lt;/full-title&gt;&lt;/periodical&gt;&lt;pages&gt;e0117503&lt;/pages&gt;&lt;volume&gt;10&lt;/volume&gt;&lt;number&gt;2&lt;/number&gt;&lt;keywords&gt;&lt;keyword&gt;Medicine&lt;/keyword&gt;&lt;keyword&gt;Science&lt;/keyword&gt;&lt;keyword&gt;Medicine&lt;/keyword&gt;&lt;keyword&gt;Sciences (General)&lt;/keyword&gt;&lt;/keywords&gt;&lt;dates&gt;&lt;year&gt;2015&lt;/year&gt;&lt;/dates&gt;&lt;isbn&gt;1932-6203&lt;/isbn&gt;&lt;urls&gt;&lt;/urls&gt;&lt;electronic-resource-num&gt;10.1371/journal.pone.0117503&lt;/electronic-resource-num&gt;&lt;/record&gt;&lt;/Cite&gt;&lt;/EndNote&gt;</w:instrText>
      </w:r>
      <w:r w:rsidR="006D3A47">
        <w:rPr>
          <w:rFonts w:ascii="Arial" w:hAnsi="Arial" w:cs="Arial"/>
        </w:rPr>
        <w:fldChar w:fldCharType="separate"/>
      </w:r>
      <w:r w:rsidR="006D3A47">
        <w:rPr>
          <w:rFonts w:ascii="Arial" w:hAnsi="Arial" w:cs="Arial"/>
          <w:noProof/>
        </w:rPr>
        <w:t>(Gong et al., 2015)</w:t>
      </w:r>
      <w:r w:rsidR="006D3A47">
        <w:rPr>
          <w:rFonts w:ascii="Arial" w:hAnsi="Arial" w:cs="Arial"/>
        </w:rPr>
        <w:fldChar w:fldCharType="end"/>
      </w:r>
      <w:r w:rsidR="007C3A73">
        <w:rPr>
          <w:rFonts w:ascii="Arial" w:hAnsi="Arial" w:cs="Arial"/>
        </w:rPr>
        <w:t xml:space="preserve"> and exhibits higher glucocorticoid potency than corticosterone in mice </w:t>
      </w:r>
      <w:r w:rsidR="006D3A47">
        <w:rPr>
          <w:rFonts w:ascii="Arial" w:hAnsi="Arial" w:cs="Arial"/>
        </w:rPr>
        <w:fldChar w:fldCharType="begin"/>
      </w:r>
      <w:r w:rsidR="006D3A47">
        <w:rPr>
          <w:rFonts w:ascii="Arial" w:hAnsi="Arial" w:cs="Arial"/>
        </w:rPr>
        <w:instrText xml:space="preserve"> ADDIN EN.CITE &lt;EndNote&gt;&lt;Cite&gt;&lt;Author&gt;Magiakou&lt;/Author&gt;&lt;Year&gt;1994&lt;/Year&gt;&lt;RecNum&gt;642&lt;/RecNum&gt;&lt;DisplayText&gt;(Magiakou and Chrousos, 1994)&lt;/DisplayText&gt;&lt;record&gt;&lt;rec-number&gt;642&lt;/rec-number&gt;&lt;foreign-keys&gt;&lt;key app="EN" db-id="ae9rewfrpdttrheppfxxv0p4950wpd25r09x" timestamp="1521153119"&gt;642&lt;/key&gt;&lt;/foreign-keys&gt;&lt;ref-type name="Journal Article"&gt;17&lt;/ref-type&gt;&lt;contributors&gt;&lt;authors&gt;&lt;author&gt;Magiakou, M. A., &lt;/author&gt;&lt;author&gt;Chrousos, G. P.&lt;/author&gt;&lt;/authors&gt;&lt;/contributors&gt;&lt;titles&gt;&lt;title&gt;Corticosteroid therapy, nonendocrine disease, and corticosteroid withdrawal.&lt;/title&gt;&lt;secondary-title&gt;Current Therapy in Endocrinology and Metabolism &lt;/secondary-title&gt;&lt;/titles&gt;&lt;periodical&gt;&lt;full-title&gt;Current Therapy in Endocrinology and Metabolism&lt;/full-title&gt;&lt;/periodical&gt;&lt;pages&gt;120-124&lt;/pages&gt;&lt;volume&gt;5&lt;/volume&gt;&lt;dates&gt;&lt;year&gt;1994&lt;/year&gt;&lt;/dates&gt;&lt;urls&gt;&lt;/urls&gt;&lt;/record&gt;&lt;/Cite&gt;&lt;/EndNote&gt;</w:instrText>
      </w:r>
      <w:r w:rsidR="006D3A47">
        <w:rPr>
          <w:rFonts w:ascii="Arial" w:hAnsi="Arial" w:cs="Arial"/>
        </w:rPr>
        <w:fldChar w:fldCharType="separate"/>
      </w:r>
      <w:r w:rsidR="006D3A47">
        <w:rPr>
          <w:rFonts w:ascii="Arial" w:hAnsi="Arial" w:cs="Arial"/>
          <w:noProof/>
        </w:rPr>
        <w:t>(Magiakou and Chrousos, 1994)</w:t>
      </w:r>
      <w:r w:rsidR="006D3A47">
        <w:rPr>
          <w:rFonts w:ascii="Arial" w:hAnsi="Arial" w:cs="Arial"/>
        </w:rPr>
        <w:fldChar w:fldCharType="end"/>
      </w:r>
      <w:r w:rsidR="00603A53">
        <w:rPr>
          <w:rFonts w:ascii="Arial" w:hAnsi="Arial" w:cs="Arial"/>
        </w:rPr>
        <w:t>.</w:t>
      </w:r>
    </w:p>
    <w:p w14:paraId="2BCA32E0" w14:textId="77777777" w:rsidR="00603A53" w:rsidRDefault="00603A53" w:rsidP="003E63A2">
      <w:pPr>
        <w:spacing w:line="480" w:lineRule="auto"/>
        <w:jc w:val="both"/>
        <w:rPr>
          <w:rFonts w:ascii="Arial" w:hAnsi="Arial" w:cs="Arial"/>
        </w:rPr>
      </w:pPr>
    </w:p>
    <w:p w14:paraId="070E870E" w14:textId="77777777" w:rsidR="003E63A2" w:rsidRPr="002563CF" w:rsidRDefault="003E63A2" w:rsidP="003E63A2">
      <w:pPr>
        <w:spacing w:line="480" w:lineRule="auto"/>
        <w:jc w:val="both"/>
        <w:rPr>
          <w:rFonts w:ascii="Arial" w:hAnsi="Arial"/>
          <w:bCs/>
        </w:rPr>
      </w:pPr>
      <w:r>
        <w:rPr>
          <w:rFonts w:ascii="Arial" w:hAnsi="Arial"/>
          <w:bCs/>
        </w:rPr>
        <w:t xml:space="preserve">While glucocorticoids </w:t>
      </w:r>
      <w:r w:rsidR="00A765F2">
        <w:rPr>
          <w:rFonts w:ascii="Arial" w:hAnsi="Arial"/>
          <w:bCs/>
        </w:rPr>
        <w:t>are</w:t>
      </w:r>
      <w:r>
        <w:rPr>
          <w:rFonts w:ascii="Arial" w:hAnsi="Arial"/>
          <w:bCs/>
        </w:rPr>
        <w:t xml:space="preserve"> effective therapeutic </w:t>
      </w:r>
      <w:r w:rsidR="00A765F2">
        <w:rPr>
          <w:rFonts w:ascii="Arial" w:hAnsi="Arial"/>
          <w:bCs/>
        </w:rPr>
        <w:t xml:space="preserve">agents </w:t>
      </w:r>
      <w:r>
        <w:rPr>
          <w:rFonts w:ascii="Arial" w:hAnsi="Arial"/>
          <w:bCs/>
        </w:rPr>
        <w:t xml:space="preserve">for </w:t>
      </w:r>
      <w:r w:rsidR="00A765F2">
        <w:rPr>
          <w:rFonts w:ascii="Arial" w:hAnsi="Arial"/>
          <w:bCs/>
        </w:rPr>
        <w:t xml:space="preserve">management of </w:t>
      </w:r>
      <w:r>
        <w:rPr>
          <w:rFonts w:ascii="Arial" w:hAnsi="Arial"/>
          <w:bCs/>
        </w:rPr>
        <w:t xml:space="preserve">many inflammatory and autoimmune disorders, </w:t>
      </w:r>
      <w:r w:rsidR="00A765F2">
        <w:rPr>
          <w:rFonts w:ascii="Arial" w:hAnsi="Arial"/>
          <w:bCs/>
        </w:rPr>
        <w:t xml:space="preserve">adverse effects on bone are </w:t>
      </w:r>
      <w:r w:rsidR="00C54C7F">
        <w:rPr>
          <w:rFonts w:ascii="Arial" w:hAnsi="Arial"/>
          <w:bCs/>
        </w:rPr>
        <w:t>well described</w:t>
      </w:r>
      <w:r w:rsidR="00A765F2">
        <w:rPr>
          <w:rFonts w:ascii="Arial" w:hAnsi="Arial"/>
          <w:bCs/>
        </w:rPr>
        <w:t xml:space="preserve"> </w:t>
      </w:r>
      <w:r w:rsidR="006D3A47">
        <w:rPr>
          <w:rFonts w:ascii="Arial" w:hAnsi="Arial"/>
          <w:bCs/>
        </w:rPr>
        <w:fldChar w:fldCharType="begin">
          <w:fldData xml:space="preserve">PEVuZE5vdGU+PENpdGU+PEF1dGhvcj5CdWNrbGV5PC9BdXRob3I+PFllYXI+MjAxNzwvWWVhcj48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</w:fldData>
        </w:fldChar>
      </w:r>
      <w:r w:rsidR="00B97465">
        <w:rPr>
          <w:rFonts w:ascii="Arial" w:hAnsi="Arial"/>
          <w:bCs/>
        </w:rPr>
        <w:instrText xml:space="preserve"> ADDIN EN.CITE </w:instrText>
      </w:r>
      <w:r w:rsidR="00B97465">
        <w:rPr>
          <w:rFonts w:ascii="Arial" w:hAnsi="Arial"/>
          <w:bCs/>
        </w:rPr>
        <w:fldChar w:fldCharType="begin">
          <w:fldData xml:space="preserve">PEVuZE5vdGU+PENpdGU+PEF1dGhvcj5CdWNrbGV5PC9BdXRob3I+PFllYXI+MjAxNzwvWWVhcj48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</w:fldData>
        </w:fldChar>
      </w:r>
      <w:r w:rsidR="00B97465">
        <w:rPr>
          <w:rFonts w:ascii="Arial" w:hAnsi="Arial"/>
          <w:bCs/>
        </w:rPr>
        <w:instrText xml:space="preserve"> ADDIN EN.CITE.DATA </w:instrText>
      </w:r>
      <w:r w:rsidR="00B97465">
        <w:rPr>
          <w:rFonts w:ascii="Arial" w:hAnsi="Arial"/>
          <w:bCs/>
        </w:rPr>
      </w:r>
      <w:r w:rsidR="00B97465">
        <w:rPr>
          <w:rFonts w:ascii="Arial" w:hAnsi="Arial"/>
          <w:bCs/>
        </w:rPr>
        <w:fldChar w:fldCharType="end"/>
      </w:r>
      <w:r w:rsidR="006D3A47">
        <w:rPr>
          <w:rFonts w:ascii="Arial" w:hAnsi="Arial"/>
          <w:bCs/>
        </w:rPr>
      </w:r>
      <w:r w:rsidR="006D3A47">
        <w:rPr>
          <w:rFonts w:ascii="Arial" w:hAnsi="Arial"/>
          <w:bCs/>
        </w:rPr>
        <w:fldChar w:fldCharType="separate"/>
      </w:r>
      <w:r w:rsidR="006D3A47">
        <w:rPr>
          <w:rFonts w:ascii="Arial" w:hAnsi="Arial"/>
          <w:bCs/>
          <w:noProof/>
        </w:rPr>
        <w:t>(Buckley et al., 2017)</w:t>
      </w:r>
      <w:r w:rsidR="006D3A47">
        <w:rPr>
          <w:rFonts w:ascii="Arial" w:hAnsi="Arial"/>
          <w:bCs/>
        </w:rPr>
        <w:fldChar w:fldCharType="end"/>
      </w:r>
      <w:r w:rsidR="00C54C7F">
        <w:rPr>
          <w:rFonts w:ascii="Arial" w:hAnsi="Arial"/>
          <w:bCs/>
        </w:rPr>
        <w:t xml:space="preserve"> </w:t>
      </w:r>
      <w:r w:rsidR="00A765F2">
        <w:rPr>
          <w:rFonts w:ascii="Arial" w:hAnsi="Arial"/>
          <w:bCs/>
        </w:rPr>
        <w:t xml:space="preserve">and </w:t>
      </w:r>
      <w:r>
        <w:rPr>
          <w:rFonts w:ascii="Arial" w:hAnsi="Arial"/>
          <w:bCs/>
        </w:rPr>
        <w:t xml:space="preserve">glucocorticoid-induced osteoporosis is one of the common forms of secondary osteoporosis in humans </w:t>
      </w:r>
      <w:r w:rsidR="006D3A47">
        <w:rPr>
          <w:rFonts w:ascii="Arial" w:hAnsi="Arial"/>
          <w:bCs/>
        </w:rPr>
        <w:fldChar w:fldCharType="begin"/>
      </w:r>
      <w:r w:rsidR="00B97465">
        <w:rPr>
          <w:rFonts w:ascii="Arial" w:hAnsi="Arial"/>
          <w:bCs/>
        </w:rPr>
        <w:instrText xml:space="preserve"> ADDIN EN.CITE &lt;EndNote&gt;&lt;Cite&gt;&lt;Author&gt;Canalis&lt;/Author&gt;&lt;Year&gt;2007&lt;/Year&gt;&lt;RecNum&gt;635&lt;/RecNum&gt;&lt;DisplayText&gt;(Canalis et al., 2007)&lt;/DisplayText&gt;&lt;record&gt;&lt;rec-number&gt;635&lt;/rec-number&gt;&lt;foreign-keys&gt;&lt;key app="EN" db-id="ae9rewfrpdttrheppfxxv0p4950wpd25r09x" timestamp="1521150098"&gt;635&lt;/key&gt;&lt;/foreign-keys&gt;&lt;ref-type name="Journal Article"&gt;17&lt;/ref-type&gt;&lt;contributors&gt;&lt;authors&gt;&lt;author&gt;Canalis, E.&lt;/author&gt;&lt;author&gt;Mazziotti, G.&lt;/author&gt;&lt;author&gt;Giustina, A.&lt;/author&gt;&lt;author&gt;Bilezikian, J.&lt;/author&gt;&lt;/authors&gt;&lt;/contributors&gt;&lt;titles&gt;&lt;title&gt;Glucocorticoid- induced osteoporosis: pathophysiology and therapy&lt;/title&gt;&lt;secondary-title&gt;Osteoporosis Internationall&lt;/secondary-title&gt;&lt;/titles&gt;&lt;periodical&gt;&lt;full-title&gt;Osteoporosis Internationall&lt;/full-title&gt;&lt;/periodical&gt;&lt;pages&gt;1319-1328&lt;/pages&gt;&lt;volume&gt;18&lt;/volume&gt;&lt;number&gt;10&lt;/number&gt;&lt;keywords&gt;&lt;keyword&gt;Bone mineral density&lt;/keyword&gt;&lt;keyword&gt;Fractures&lt;/keyword&gt;&lt;keyword&gt;Glucocorticoid- induced osteoporosis&lt;/keyword&gt;&lt;/keywords&gt;&lt;dates&gt;&lt;year&gt;2007&lt;/year&gt;&lt;/dates&gt;&lt;pub-location&gt;London&lt;/pub-location&gt;&lt;isbn&gt;0937-941X&lt;/isbn&gt;&lt;urls&gt;&lt;/urls&gt;&lt;electronic-resource-num&gt;10.1007/s00198-007-0394-0&lt;/electronic-resource-num&gt;&lt;/record&gt;&lt;/Cite&gt;&lt;/EndNote&gt;</w:instrText>
      </w:r>
      <w:r w:rsidR="006D3A47">
        <w:rPr>
          <w:rFonts w:ascii="Arial" w:hAnsi="Arial"/>
          <w:bCs/>
        </w:rPr>
        <w:fldChar w:fldCharType="separate"/>
      </w:r>
      <w:r w:rsidR="006D3A47">
        <w:rPr>
          <w:rFonts w:ascii="Arial" w:hAnsi="Arial"/>
          <w:bCs/>
          <w:noProof/>
        </w:rPr>
        <w:t>(Canalis et al., 2007)</w:t>
      </w:r>
      <w:r w:rsidR="006D3A47">
        <w:rPr>
          <w:rFonts w:ascii="Arial" w:hAnsi="Arial"/>
          <w:bCs/>
        </w:rPr>
        <w:fldChar w:fldCharType="end"/>
      </w:r>
      <w:r>
        <w:rPr>
          <w:rFonts w:ascii="Arial" w:hAnsi="Arial"/>
          <w:bCs/>
        </w:rPr>
        <w:t xml:space="preserve">. Studies on </w:t>
      </w:r>
      <w:r w:rsidR="007F1943">
        <w:rPr>
          <w:rFonts w:ascii="Arial" w:hAnsi="Arial"/>
          <w:bCs/>
        </w:rPr>
        <w:t xml:space="preserve">rodents </w:t>
      </w:r>
      <w:r>
        <w:rPr>
          <w:rFonts w:ascii="Arial" w:hAnsi="Arial"/>
          <w:bCs/>
        </w:rPr>
        <w:t xml:space="preserve">revealed that </w:t>
      </w:r>
      <w:r w:rsidR="00A765F2">
        <w:rPr>
          <w:rFonts w:ascii="Arial" w:hAnsi="Arial"/>
          <w:bCs/>
        </w:rPr>
        <w:t xml:space="preserve">when the </w:t>
      </w:r>
      <w:r>
        <w:rPr>
          <w:rFonts w:ascii="Arial" w:hAnsi="Arial"/>
          <w:bCs/>
        </w:rPr>
        <w:t xml:space="preserve">serum concentration of endogenous corticosterone was elevated </w:t>
      </w:r>
      <w:r w:rsidR="00A765F2">
        <w:rPr>
          <w:rFonts w:ascii="Arial" w:hAnsi="Arial"/>
          <w:bCs/>
        </w:rPr>
        <w:t>this exerted</w:t>
      </w:r>
      <w:r>
        <w:rPr>
          <w:rFonts w:ascii="Arial" w:hAnsi="Arial"/>
          <w:bCs/>
        </w:rPr>
        <w:t xml:space="preserve"> negative effects on bone maintenance including </w:t>
      </w:r>
      <w:r w:rsidR="00A765F2">
        <w:rPr>
          <w:rFonts w:ascii="Arial" w:hAnsi="Arial"/>
          <w:bCs/>
        </w:rPr>
        <w:t>BMD</w:t>
      </w:r>
      <w:r>
        <w:rPr>
          <w:rFonts w:ascii="Arial" w:hAnsi="Arial"/>
          <w:bCs/>
        </w:rPr>
        <w:t xml:space="preserve">, volume and strength in 21-month-old mice </w:t>
      </w:r>
      <w:r w:rsidR="006D3A47">
        <w:rPr>
          <w:rFonts w:ascii="Arial" w:hAnsi="Arial"/>
          <w:bCs/>
        </w:rPr>
        <w:fldChar w:fldCharType="begin"/>
      </w:r>
      <w:r w:rsidR="006D3A47">
        <w:rPr>
          <w:rFonts w:ascii="Arial" w:hAnsi="Arial"/>
          <w:bCs/>
        </w:rPr>
        <w:instrText xml:space="preserve"> ADDIN EN.CITE &lt;EndNote&gt;&lt;Cite&gt;&lt;Author&gt;Weinstein&lt;/Author&gt;&lt;Year&gt;2010&lt;/Year&gt;&lt;RecNum&gt;335&lt;/RecNum&gt;&lt;DisplayText&gt;(Weinstein et al., 2010)&lt;/DisplayText&gt;&lt;record&gt;&lt;rec-number&gt;335&lt;/rec-number&gt;&lt;foreign-keys&gt;&lt;key app="EN" db-id="ae9rewfrpdttrheppfxxv0p4950wpd25r09x" timestamp="1520658298"&gt;335&lt;/key&gt;&lt;/foreign-keys&gt;&lt;ref-type name="Journal Article"&gt;17&lt;/ref-type&gt;&lt;contributors&gt;&lt;authors&gt;&lt;author&gt;Weinstein, Robert S.&lt;/author&gt;&lt;author&gt;Wan, Chao&lt;/author&gt;&lt;author&gt;Liu, Qinglan&lt;/author&gt;&lt;author&gt;Wang, Ying&lt;/author&gt;&lt;author&gt;Almeida, Maria&lt;/author&gt;&lt;author&gt;O’brien, Charles A.&lt;/author&gt;&lt;author&gt;Thostenson, Jeff&lt;/author&gt;&lt;author&gt;Roberson, Paula K.&lt;/author&gt;&lt;author&gt;Boskey, Adele L.&lt;/author&gt;&lt;author&gt;Clemens, Thomas L.&lt;/author&gt;&lt;author&gt;Manolagas, Stavros C.&lt;/author&gt;&lt;/authors&gt;&lt;/contributors&gt;&lt;titles&gt;&lt;title&gt;Endogenous glucocorticoids decrease skeletal angiogenesis, vascularity, hydration, and strength in aged mice&lt;/title&gt;&lt;secondary-title&gt;Aging Cell&lt;/secondary-title&gt;&lt;/titles&gt;&lt;periodical&gt;&lt;full-title&gt;Aging Cell&lt;/full-title&gt;&lt;/periodical&gt;&lt;pages&gt;147-161&lt;/pages&gt;&lt;volume&gt;9&lt;/volume&gt;&lt;number&gt;2&lt;/number&gt;&lt;keywords&gt;&lt;keyword&gt;11β</w:instrText>
      </w:r>
      <w:r w:rsidR="006D3A47">
        <w:rPr>
          <w:rFonts w:ascii="American Typewriter Condensed" w:hAnsi="American Typewriter Condensed" w:cs="American Typewriter Condensed"/>
          <w:bCs/>
        </w:rPr>
        <w:instrText>‐</w:instrText>
      </w:r>
      <w:r w:rsidR="006D3A47">
        <w:rPr>
          <w:rFonts w:ascii="Arial" w:hAnsi="Arial"/>
          <w:bCs/>
        </w:rPr>
        <w:instrText>Hydroxysteroid Dehydrogenase&lt;/keyword&gt;&lt;keyword&gt;Aging&lt;/keyword&gt;&lt;keyword&gt;Angiogenesis&lt;/keyword&gt;&lt;keyword&gt;Apoptosis&lt;/keyword&gt;&lt;keyword&gt;Bone Histomorphometry&lt;/keyword&gt;&lt;keyword&gt;Glucocorticoids&lt;/keyword&gt;&lt;keyword&gt;Hydraulic Support&lt;/keyword&gt;&lt;keyword&gt;Osteoporosis&lt;/keyword&gt;&lt;/keywords&gt;&lt;dates&gt;&lt;year&gt;2010&lt;/year&gt;&lt;/dates&gt;&lt;pub-location&gt;Oxford, UK&lt;/pub-location&gt;&lt;isbn&gt;1474-9718&lt;/isbn&gt;&lt;urls&gt;&lt;/urls&gt;&lt;electronic-resource-num&gt;10.1111/j.1474-9726.2009.00545.x&lt;/electronic-resource-num&gt;&lt;/record&gt;&lt;/Cite&gt;&lt;/EndNote&gt;</w:instrText>
      </w:r>
      <w:r w:rsidR="006D3A47">
        <w:rPr>
          <w:rFonts w:ascii="Arial" w:hAnsi="Arial"/>
          <w:bCs/>
        </w:rPr>
        <w:fldChar w:fldCharType="separate"/>
      </w:r>
      <w:r w:rsidR="006D3A47">
        <w:rPr>
          <w:rFonts w:ascii="Arial" w:hAnsi="Arial"/>
          <w:bCs/>
          <w:noProof/>
        </w:rPr>
        <w:t>(Weinstein et al., 2010)</w:t>
      </w:r>
      <w:r w:rsidR="006D3A47">
        <w:rPr>
          <w:rFonts w:ascii="Arial" w:hAnsi="Arial"/>
          <w:bCs/>
        </w:rPr>
        <w:fldChar w:fldCharType="end"/>
      </w:r>
      <w:r>
        <w:rPr>
          <w:rFonts w:ascii="Arial" w:hAnsi="Arial"/>
          <w:bCs/>
        </w:rPr>
        <w:t>, osteoblast apoptosis</w:t>
      </w:r>
      <w:r w:rsidR="00D325D7">
        <w:rPr>
          <w:rFonts w:ascii="Arial" w:hAnsi="Arial"/>
          <w:bCs/>
        </w:rPr>
        <w:t xml:space="preserve"> </w:t>
      </w:r>
      <w:r w:rsidR="0000415D">
        <w:rPr>
          <w:rFonts w:ascii="Arial" w:hAnsi="Arial"/>
          <w:bCs/>
        </w:rPr>
        <w:fldChar w:fldCharType="begin">
          <w:fldData xml:space="preserve">PEVuZE5vdGU+PENpdGU+PEF1dGhvcj5P4oCZQnJpZW48L0F1dGhvcj48WWVhcj4yMDA0PC9ZZWFy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</w:fldData>
        </w:fldChar>
      </w:r>
      <w:r w:rsidR="0000415D">
        <w:rPr>
          <w:rFonts w:ascii="Arial" w:hAnsi="Arial"/>
          <w:bCs/>
        </w:rPr>
        <w:instrText xml:space="preserve"> ADDIN EN.CITE </w:instrText>
      </w:r>
      <w:r w:rsidR="0000415D">
        <w:rPr>
          <w:rFonts w:ascii="Arial" w:hAnsi="Arial"/>
          <w:bCs/>
        </w:rPr>
        <w:fldChar w:fldCharType="begin">
          <w:fldData xml:space="preserve">PEVuZE5vdGU+PENpdGU+PEF1dGhvcj5P4oCZQnJpZW48L0F1dGhvcj48WWVhcj4yMDA0PC9ZZWFy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</w:fldData>
        </w:fldChar>
      </w:r>
      <w:r w:rsidR="0000415D">
        <w:rPr>
          <w:rFonts w:ascii="Arial" w:hAnsi="Arial"/>
          <w:bCs/>
        </w:rPr>
        <w:instrText xml:space="preserve"> ADDIN EN.CITE.DATA </w:instrText>
      </w:r>
      <w:r w:rsidR="0000415D">
        <w:rPr>
          <w:rFonts w:ascii="Arial" w:hAnsi="Arial"/>
          <w:bCs/>
        </w:rPr>
      </w:r>
      <w:r w:rsidR="0000415D">
        <w:rPr>
          <w:rFonts w:ascii="Arial" w:hAnsi="Arial"/>
          <w:bCs/>
        </w:rPr>
        <w:fldChar w:fldCharType="end"/>
      </w:r>
      <w:r w:rsidR="0000415D">
        <w:rPr>
          <w:rFonts w:ascii="Arial" w:hAnsi="Arial"/>
          <w:bCs/>
        </w:rPr>
      </w:r>
      <w:r w:rsidR="0000415D">
        <w:rPr>
          <w:rFonts w:ascii="Arial" w:hAnsi="Arial"/>
          <w:bCs/>
        </w:rPr>
        <w:fldChar w:fldCharType="separate"/>
      </w:r>
      <w:r w:rsidR="0000415D">
        <w:rPr>
          <w:rFonts w:ascii="Arial" w:hAnsi="Arial"/>
          <w:bCs/>
          <w:noProof/>
        </w:rPr>
        <w:t>(O’Brien et al., 2004, Rauch et al., 2010)</w:t>
      </w:r>
      <w:r w:rsidR="0000415D">
        <w:rPr>
          <w:rFonts w:ascii="Arial" w:hAnsi="Arial"/>
          <w:bCs/>
        </w:rPr>
        <w:fldChar w:fldCharType="end"/>
      </w:r>
      <w:r w:rsidR="00E85C39">
        <w:rPr>
          <w:rFonts w:ascii="Arial" w:hAnsi="Arial"/>
          <w:bCs/>
        </w:rPr>
        <w:t xml:space="preserve">, </w:t>
      </w:r>
      <w:r w:rsidR="007F1943">
        <w:rPr>
          <w:rFonts w:ascii="Arial" w:hAnsi="Arial"/>
          <w:bCs/>
        </w:rPr>
        <w:t xml:space="preserve">osteocyte autophagy and </w:t>
      </w:r>
      <w:r w:rsidR="00E85C39">
        <w:rPr>
          <w:rFonts w:ascii="Arial" w:hAnsi="Arial"/>
          <w:bCs/>
        </w:rPr>
        <w:t xml:space="preserve">apoptosis </w:t>
      </w:r>
      <w:r w:rsidR="006D3A47">
        <w:rPr>
          <w:rFonts w:ascii="Arial" w:hAnsi="Arial"/>
          <w:bCs/>
        </w:rPr>
        <w:fldChar w:fldCharType="begin">
          <w:fldData xml:space="preserve">PEVuZE5vdGU+PENpdGU+PEF1dGhvcj5KaWE8L0F1dGhvcj48WWVhcj4yMDExPC9ZZWFyPjxSZWNO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</w:fldData>
        </w:fldChar>
      </w:r>
      <w:r w:rsidR="0000415D">
        <w:rPr>
          <w:rFonts w:ascii="Arial" w:hAnsi="Arial"/>
          <w:bCs/>
        </w:rPr>
        <w:instrText xml:space="preserve"> ADDIN EN.CITE </w:instrText>
      </w:r>
      <w:r w:rsidR="0000415D">
        <w:rPr>
          <w:rFonts w:ascii="Arial" w:hAnsi="Arial"/>
          <w:bCs/>
        </w:rPr>
        <w:fldChar w:fldCharType="begin">
          <w:fldData xml:space="preserve">PEVuZE5vdGU+PENpdGU+PEF1dGhvcj5KaWE8L0F1dGhvcj48WWVhcj4yMDExPC9ZZWFyPjxSZWNO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</w:fldData>
        </w:fldChar>
      </w:r>
      <w:r w:rsidR="0000415D">
        <w:rPr>
          <w:rFonts w:ascii="Arial" w:hAnsi="Arial"/>
          <w:bCs/>
        </w:rPr>
        <w:instrText xml:space="preserve"> ADDIN EN.CITE.DATA </w:instrText>
      </w:r>
      <w:r w:rsidR="0000415D">
        <w:rPr>
          <w:rFonts w:ascii="Arial" w:hAnsi="Arial"/>
          <w:bCs/>
        </w:rPr>
      </w:r>
      <w:r w:rsidR="0000415D">
        <w:rPr>
          <w:rFonts w:ascii="Arial" w:hAnsi="Arial"/>
          <w:bCs/>
        </w:rPr>
        <w:fldChar w:fldCharType="end"/>
      </w:r>
      <w:r w:rsidR="006D3A47">
        <w:rPr>
          <w:rFonts w:ascii="Arial" w:hAnsi="Arial"/>
          <w:bCs/>
        </w:rPr>
      </w:r>
      <w:r w:rsidR="006D3A47">
        <w:rPr>
          <w:rFonts w:ascii="Arial" w:hAnsi="Arial"/>
          <w:bCs/>
        </w:rPr>
        <w:fldChar w:fldCharType="separate"/>
      </w:r>
      <w:r w:rsidR="006D3A47">
        <w:rPr>
          <w:rFonts w:ascii="Arial" w:hAnsi="Arial"/>
          <w:bCs/>
          <w:noProof/>
        </w:rPr>
        <w:t>(Jia et al., 2011, Piemontese et al., 2015)</w:t>
      </w:r>
      <w:r w:rsidR="006D3A47">
        <w:rPr>
          <w:rFonts w:ascii="Arial" w:hAnsi="Arial"/>
          <w:bCs/>
        </w:rPr>
        <w:fldChar w:fldCharType="end"/>
      </w:r>
      <w:r w:rsidR="00197ADC">
        <w:rPr>
          <w:rFonts w:ascii="Arial" w:hAnsi="Arial"/>
          <w:bCs/>
        </w:rPr>
        <w:t xml:space="preserve"> </w:t>
      </w:r>
      <w:r>
        <w:rPr>
          <w:rFonts w:ascii="Arial" w:hAnsi="Arial"/>
          <w:bCs/>
        </w:rPr>
        <w:t xml:space="preserve">and inhibition of Wnt signalling </w:t>
      </w:r>
      <w:r w:rsidR="006D3A47">
        <w:rPr>
          <w:rFonts w:ascii="Arial" w:hAnsi="Arial"/>
          <w:bCs/>
        </w:rPr>
        <w:fldChar w:fldCharType="begin">
          <w:fldData xml:space="preserve">PEVuZE5vdGU+PENpdGU+PEF1dGhvcj5PaG5ha2E8L0F1dGhvcj48WWVhcj4yMDA0PC9ZZWFyPjxS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</w:fldData>
        </w:fldChar>
      </w:r>
      <w:r w:rsidR="00651EFF">
        <w:rPr>
          <w:rFonts w:ascii="Arial" w:hAnsi="Arial"/>
          <w:bCs/>
        </w:rPr>
        <w:instrText xml:space="preserve"> ADDIN EN.CITE </w:instrText>
      </w:r>
      <w:r w:rsidR="00651EFF">
        <w:rPr>
          <w:rFonts w:ascii="Arial" w:hAnsi="Arial"/>
          <w:bCs/>
        </w:rPr>
        <w:fldChar w:fldCharType="begin">
          <w:fldData xml:space="preserve">PEVuZE5vdGU+PENpdGU+PEF1dGhvcj5PaG5ha2E8L0F1dGhvcj48WWVhcj4yMDA0PC9ZZWFyPjxS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</w:fldData>
        </w:fldChar>
      </w:r>
      <w:r w:rsidR="00651EFF">
        <w:rPr>
          <w:rFonts w:ascii="Arial" w:hAnsi="Arial"/>
          <w:bCs/>
        </w:rPr>
        <w:instrText xml:space="preserve"> ADDIN EN.CITE.DATA </w:instrText>
      </w:r>
      <w:r w:rsidR="00651EFF">
        <w:rPr>
          <w:rFonts w:ascii="Arial" w:hAnsi="Arial"/>
          <w:bCs/>
        </w:rPr>
      </w:r>
      <w:r w:rsidR="00651EFF">
        <w:rPr>
          <w:rFonts w:ascii="Arial" w:hAnsi="Arial"/>
          <w:bCs/>
        </w:rPr>
        <w:fldChar w:fldCharType="end"/>
      </w:r>
      <w:r w:rsidR="006D3A47">
        <w:rPr>
          <w:rFonts w:ascii="Arial" w:hAnsi="Arial"/>
          <w:bCs/>
        </w:rPr>
      </w:r>
      <w:r w:rsidR="006D3A47">
        <w:rPr>
          <w:rFonts w:ascii="Arial" w:hAnsi="Arial"/>
          <w:bCs/>
        </w:rPr>
        <w:fldChar w:fldCharType="separate"/>
      </w:r>
      <w:r w:rsidR="006D3A47">
        <w:rPr>
          <w:rFonts w:ascii="Arial" w:hAnsi="Arial"/>
          <w:bCs/>
          <w:noProof/>
        </w:rPr>
        <w:t>(Ohnaka et al., 2004, Hurson et al., 2007)</w:t>
      </w:r>
      <w:r w:rsidR="006D3A47">
        <w:rPr>
          <w:rFonts w:ascii="Arial" w:hAnsi="Arial"/>
          <w:bCs/>
        </w:rPr>
        <w:fldChar w:fldCharType="end"/>
      </w:r>
      <w:r w:rsidR="009B61AF">
        <w:rPr>
          <w:rFonts w:ascii="Arial" w:hAnsi="Arial"/>
          <w:bCs/>
        </w:rPr>
        <w:t xml:space="preserve">. </w:t>
      </w:r>
      <w:r>
        <w:rPr>
          <w:rFonts w:ascii="Arial" w:hAnsi="Arial"/>
          <w:bCs/>
        </w:rPr>
        <w:t>However, due to phenotypic inconsistencies observed among the rodent models of</w:t>
      </w:r>
      <w:r w:rsidRPr="006548EE">
        <w:rPr>
          <w:rFonts w:ascii="Arial" w:hAnsi="Arial"/>
          <w:bCs/>
        </w:rPr>
        <w:t xml:space="preserve"> </w:t>
      </w:r>
      <w:r>
        <w:rPr>
          <w:rFonts w:ascii="Arial" w:hAnsi="Arial"/>
          <w:bCs/>
        </w:rPr>
        <w:t>glucocorticoid-induc</w:t>
      </w:r>
      <w:r w:rsidR="009B61AF">
        <w:rPr>
          <w:rFonts w:ascii="Arial" w:hAnsi="Arial"/>
          <w:bCs/>
        </w:rPr>
        <w:t xml:space="preserve">ed osteoporosis and </w:t>
      </w:r>
      <w:r w:rsidR="00A765F2">
        <w:rPr>
          <w:rFonts w:ascii="Arial" w:hAnsi="Arial"/>
          <w:bCs/>
        </w:rPr>
        <w:t xml:space="preserve">various </w:t>
      </w:r>
      <w:r>
        <w:rPr>
          <w:rFonts w:ascii="Arial" w:hAnsi="Arial"/>
          <w:bCs/>
        </w:rPr>
        <w:t>cel</w:t>
      </w:r>
      <w:r w:rsidR="00A765F2">
        <w:rPr>
          <w:rFonts w:ascii="Arial" w:hAnsi="Arial"/>
          <w:bCs/>
        </w:rPr>
        <w:t>l lines</w:t>
      </w:r>
      <w:r w:rsidR="009B61AF">
        <w:rPr>
          <w:rFonts w:ascii="Arial" w:hAnsi="Arial"/>
          <w:bCs/>
        </w:rPr>
        <w:t xml:space="preserve"> </w:t>
      </w:r>
      <w:r w:rsidR="006D3A47">
        <w:rPr>
          <w:rFonts w:ascii="Arial" w:hAnsi="Arial"/>
          <w:bCs/>
        </w:rPr>
        <w:fldChar w:fldCharType="begin"/>
      </w:r>
      <w:r w:rsidR="006D3A47">
        <w:rPr>
          <w:rFonts w:ascii="Arial" w:hAnsi="Arial"/>
          <w:bCs/>
        </w:rPr>
        <w:instrText xml:space="preserve"> ADDIN EN.CITE &lt;EndNote&gt;&lt;Cite&gt;&lt;Author&gt;Komori&lt;/Author&gt;&lt;Year&gt;2015&lt;/Year&gt;&lt;RecNum&gt;649&lt;/RecNum&gt;&lt;DisplayText&gt;(Komori, 2015)&lt;/DisplayText&gt;&lt;record&gt;&lt;rec-number&gt;649&lt;/rec-number&gt;&lt;foreign-keys&gt;&lt;key app="EN" db-id="ae9rewfrpdttrheppfxxv0p4950wpd25r09x" timestamp="1521154817"&gt;649&lt;/key&gt;&lt;/foreign-keys&gt;&lt;ref-type name="Journal Article"&gt;17&lt;/ref-type&gt;&lt;contributors&gt;&lt;authors&gt;&lt;author&gt;Komori, Toshihisa&lt;/author&gt;&lt;/authors&gt;&lt;/contributors&gt;&lt;titles&gt;&lt;title&gt;Animal models for osteoporosis&lt;/title&gt;&lt;secondary-title&gt;European Journal of Pharmacology&lt;/secondary-title&gt;&lt;/titles&gt;&lt;periodical&gt;&lt;full-title&gt;European Journal of Pharmacology&lt;/full-title&gt;&lt;/periodical&gt;&lt;pages&gt;287-294&lt;/pages&gt;&lt;volume&gt;759&lt;/volume&gt;&lt;keywords&gt;&lt;keyword&gt;Osteoporosis&lt;/keyword&gt;&lt;keyword&gt;Estrogen&lt;/keyword&gt;&lt;keyword&gt;Unloading&lt;/keyword&gt;&lt;keyword&gt;Glucocorticoid&lt;/keyword&gt;&lt;keyword&gt;Osteocyte&lt;/keyword&gt;&lt;keyword&gt;Sympathetic Nerve&lt;/keyword&gt;&lt;/keywords&gt;&lt;dates&gt;&lt;year&gt;2015&lt;/year&gt;&lt;/dates&gt;&lt;isbn&gt;0014-2999&lt;/isbn&gt;&lt;urls&gt;&lt;/urls&gt;&lt;electronic-resource-num&gt;10.1016/j.ejphar.2015.03.028&lt;/electronic-resource-num&gt;&lt;/record&gt;&lt;/Cite&gt;&lt;/EndNote&gt;</w:instrText>
      </w:r>
      <w:r w:rsidR="006D3A47">
        <w:rPr>
          <w:rFonts w:ascii="Arial" w:hAnsi="Arial"/>
          <w:bCs/>
        </w:rPr>
        <w:fldChar w:fldCharType="separate"/>
      </w:r>
      <w:r w:rsidR="006D3A47">
        <w:rPr>
          <w:rFonts w:ascii="Arial" w:hAnsi="Arial"/>
          <w:bCs/>
          <w:noProof/>
        </w:rPr>
        <w:t>(Komori, 2015)</w:t>
      </w:r>
      <w:r w:rsidR="006D3A47">
        <w:rPr>
          <w:rFonts w:ascii="Arial" w:hAnsi="Arial"/>
          <w:bCs/>
        </w:rPr>
        <w:fldChar w:fldCharType="end"/>
      </w:r>
      <w:r>
        <w:rPr>
          <w:rFonts w:ascii="Arial" w:hAnsi="Arial"/>
          <w:bCs/>
        </w:rPr>
        <w:t>, the p</w:t>
      </w:r>
      <w:r w:rsidR="00A765F2">
        <w:rPr>
          <w:rFonts w:ascii="Arial" w:hAnsi="Arial"/>
          <w:bCs/>
        </w:rPr>
        <w:t xml:space="preserve">athological significance of the </w:t>
      </w:r>
      <w:r>
        <w:rPr>
          <w:rFonts w:ascii="Arial" w:hAnsi="Arial"/>
          <w:bCs/>
        </w:rPr>
        <w:t xml:space="preserve">underlying mechanisms of glucocorticoid-induced osteoporosis is yet to be elucidated. </w:t>
      </w:r>
    </w:p>
    <w:p w14:paraId="535FE918" w14:textId="77777777" w:rsidR="003E63A2" w:rsidRDefault="003E63A2" w:rsidP="0015459C">
      <w:pPr>
        <w:spacing w:line="480" w:lineRule="auto"/>
        <w:jc w:val="both"/>
        <w:rPr>
          <w:rFonts w:ascii="Arial" w:hAnsi="Arial" w:cs="Arial"/>
        </w:rPr>
      </w:pPr>
    </w:p>
    <w:p w14:paraId="217E22B9" w14:textId="77777777" w:rsidR="0015459C" w:rsidRPr="00C54C7F" w:rsidRDefault="0015459C" w:rsidP="0015459C">
      <w:pPr>
        <w:spacing w:line="480" w:lineRule="auto"/>
        <w:jc w:val="both"/>
        <w:rPr>
          <w:rFonts w:ascii="Arial" w:hAnsi="Arial" w:cs="Arial"/>
        </w:rPr>
      </w:pPr>
    </w:p>
    <w:p w14:paraId="7F06E759" w14:textId="77777777" w:rsidR="0015459C" w:rsidRDefault="0015459C" w:rsidP="0015459C">
      <w:pPr>
        <w:spacing w:line="480" w:lineRule="auto"/>
        <w:jc w:val="both"/>
        <w:rPr>
          <w:rFonts w:ascii="Arial" w:hAnsi="Arial" w:cs="Arial"/>
        </w:rPr>
      </w:pPr>
    </w:p>
    <w:p w14:paraId="46E640DC" w14:textId="77777777" w:rsidR="0015459C" w:rsidRPr="007A52BC" w:rsidRDefault="0015459C" w:rsidP="0015459C">
      <w:pPr>
        <w:spacing w:line="480" w:lineRule="auto"/>
        <w:jc w:val="both"/>
        <w:rPr>
          <w:rFonts w:ascii="Arial" w:hAnsi="Arial" w:cs="Arial"/>
          <w:color w:val="000000"/>
          <w:lang w:val="en-US"/>
        </w:rPr>
      </w:pPr>
    </w:p>
    <w:p w14:paraId="0A5317C2" w14:textId="77777777" w:rsidR="0015459C" w:rsidRDefault="0015459C" w:rsidP="0015459C">
      <w:pPr>
        <w:widowControl w:val="0"/>
        <w:autoSpaceDE w:val="0"/>
        <w:autoSpaceDN w:val="0"/>
        <w:adjustRightInd w:val="0"/>
        <w:rPr>
          <w:rFonts w:ascii="Arial" w:hAnsi="Arial"/>
        </w:rPr>
      </w:pPr>
    </w:p>
    <w:p w14:paraId="30C32D2B" w14:textId="77777777" w:rsidR="00877BB1" w:rsidRDefault="00877BB1" w:rsidP="00877BB1">
      <w:pPr>
        <w:rPr>
          <w:rFonts w:ascii="Arial" w:eastAsiaTheme="majorEastAsia" w:hAnsi="Arial" w:cs="Arial"/>
          <w:b/>
          <w:bCs/>
          <w:noProof/>
          <w:color w:val="365F91" w:themeColor="accent1" w:themeShade="BF"/>
          <w:sz w:val="28"/>
          <w:szCs w:val="28"/>
          <w:lang w:val="en-US"/>
        </w:rPr>
      </w:pPr>
    </w:p>
    <w:p w14:paraId="4AA88D3B" w14:textId="77777777" w:rsidR="00F470E6" w:rsidRDefault="00F470E6" w:rsidP="00877BB1">
      <w:pPr>
        <w:rPr>
          <w:rFonts w:ascii="Arial" w:eastAsiaTheme="majorEastAsia" w:hAnsi="Arial" w:cs="Arial"/>
          <w:b/>
          <w:bCs/>
          <w:noProof/>
          <w:color w:val="365F91" w:themeColor="accent1" w:themeShade="BF"/>
          <w:sz w:val="28"/>
          <w:szCs w:val="28"/>
          <w:lang w:val="en-US"/>
        </w:rPr>
      </w:pPr>
    </w:p>
    <w:p w14:paraId="3F3EFCA1" w14:textId="77777777" w:rsidR="00F470E6" w:rsidRDefault="00F470E6" w:rsidP="00877BB1"/>
    <w:p w14:paraId="6E6E916A" w14:textId="77777777" w:rsidR="00877BB1" w:rsidRDefault="00877BB1" w:rsidP="00877BB1"/>
    <w:p w14:paraId="22CD830D" w14:textId="77777777" w:rsidR="00877BB1" w:rsidRDefault="00877BB1" w:rsidP="00877BB1"/>
    <w:p w14:paraId="412940CC" w14:textId="77777777" w:rsidR="00877BB1" w:rsidRPr="00877BB1" w:rsidRDefault="00877BB1" w:rsidP="00877BB1"/>
    <w:p w14:paraId="66A798FD" w14:textId="77777777" w:rsidR="0015459C" w:rsidRDefault="0015459C" w:rsidP="00D40E59">
      <w:pPr>
        <w:pStyle w:val="Heading2"/>
      </w:pPr>
      <w:bookmarkStart w:id="182" w:name="_Toc383723938"/>
      <w:r w:rsidRPr="00FE039E">
        <w:lastRenderedPageBreak/>
        <w:t>7.4 Conclusions</w:t>
      </w:r>
      <w:bookmarkEnd w:id="182"/>
    </w:p>
    <w:p w14:paraId="46A51BAB" w14:textId="77777777" w:rsidR="0015459C" w:rsidRPr="00596001" w:rsidRDefault="0015459C" w:rsidP="0015459C">
      <w:pPr>
        <w:spacing w:line="480" w:lineRule="auto"/>
        <w:jc w:val="both"/>
        <w:rPr>
          <w:rFonts w:ascii="Arial" w:hAnsi="Arial"/>
          <w:bCs/>
        </w:rPr>
      </w:pPr>
      <w:r>
        <w:rPr>
          <w:rFonts w:ascii="Arial" w:hAnsi="Arial" w:cs="Calibri"/>
          <w:bCs/>
          <w:color w:val="000000"/>
        </w:rPr>
        <w:t xml:space="preserve">The </w:t>
      </w:r>
      <w:r w:rsidR="00596001">
        <w:rPr>
          <w:rFonts w:ascii="Arial" w:hAnsi="Arial" w:cs="Calibri"/>
          <w:bCs/>
          <w:color w:val="000000"/>
        </w:rPr>
        <w:t>physiological systems,</w:t>
      </w:r>
      <w:r>
        <w:rPr>
          <w:rFonts w:ascii="Arial" w:hAnsi="Arial" w:cs="Calibri"/>
          <w:bCs/>
          <w:color w:val="000000"/>
        </w:rPr>
        <w:t xml:space="preserve"> which regulate bone ho</w:t>
      </w:r>
      <w:r w:rsidR="00596001">
        <w:rPr>
          <w:rFonts w:ascii="Arial" w:hAnsi="Arial" w:cs="Calibri"/>
          <w:bCs/>
          <w:color w:val="000000"/>
        </w:rPr>
        <w:t xml:space="preserve">meostasis and energy </w:t>
      </w:r>
      <w:proofErr w:type="gramStart"/>
      <w:r w:rsidR="00596001">
        <w:rPr>
          <w:rFonts w:ascii="Arial" w:hAnsi="Arial" w:cs="Calibri"/>
          <w:bCs/>
          <w:color w:val="000000"/>
        </w:rPr>
        <w:t>metabolism</w:t>
      </w:r>
      <w:proofErr w:type="gramEnd"/>
      <w:r>
        <w:rPr>
          <w:rFonts w:ascii="Arial" w:hAnsi="Arial" w:cs="Calibri"/>
          <w:bCs/>
          <w:color w:val="000000"/>
        </w:rPr>
        <w:t xml:space="preserve"> are intricately linked. </w:t>
      </w:r>
      <w:r w:rsidRPr="00842660">
        <w:rPr>
          <w:rFonts w:ascii="Arial" w:hAnsi="Arial"/>
          <w:color w:val="000000"/>
        </w:rPr>
        <w:t xml:space="preserve">In this chapter the </w:t>
      </w:r>
      <w:r w:rsidR="00596001">
        <w:rPr>
          <w:rFonts w:ascii="Arial" w:hAnsi="Arial"/>
          <w:color w:val="000000"/>
        </w:rPr>
        <w:t xml:space="preserve">circulating concentration of </w:t>
      </w:r>
      <w:r w:rsidRPr="00842660">
        <w:rPr>
          <w:rFonts w:ascii="Arial" w:hAnsi="Arial"/>
          <w:color w:val="000000"/>
        </w:rPr>
        <w:t xml:space="preserve">gastro-entero-pancreatic hormones with anabolic effects on bone including </w:t>
      </w:r>
      <w:r w:rsidRPr="00842660">
        <w:rPr>
          <w:rFonts w:ascii="Arial" w:hAnsi="Arial"/>
          <w:bCs/>
        </w:rPr>
        <w:t>ghrelin, leptin, insulin</w:t>
      </w:r>
      <w:r>
        <w:rPr>
          <w:rFonts w:ascii="Arial" w:hAnsi="Arial"/>
          <w:bCs/>
        </w:rPr>
        <w:t>, GIP and</w:t>
      </w:r>
      <w:r w:rsidRPr="00842660">
        <w:rPr>
          <w:rFonts w:ascii="Arial" w:hAnsi="Arial"/>
          <w:bCs/>
        </w:rPr>
        <w:t xml:space="preserve"> GLP1 </w:t>
      </w:r>
      <w:r w:rsidR="00596001">
        <w:rPr>
          <w:rFonts w:ascii="Arial" w:hAnsi="Arial"/>
          <w:bCs/>
        </w:rPr>
        <w:t>in response to feeding and fasting were investigated. In addition, this information</w:t>
      </w:r>
      <w:r w:rsidR="002244A9">
        <w:rPr>
          <w:rFonts w:ascii="Arial" w:hAnsi="Arial"/>
          <w:bCs/>
        </w:rPr>
        <w:t xml:space="preserve"> </w:t>
      </w:r>
      <w:r w:rsidR="00596001">
        <w:rPr>
          <w:rFonts w:ascii="Arial" w:hAnsi="Arial"/>
          <w:bCs/>
        </w:rPr>
        <w:t xml:space="preserve">was used to consider possible roles for these hormones in mediating </w:t>
      </w:r>
      <w:r w:rsidRPr="00842660">
        <w:rPr>
          <w:rFonts w:ascii="Arial" w:hAnsi="Arial"/>
          <w:bCs/>
        </w:rPr>
        <w:t>bone’s adaptive respons</w:t>
      </w:r>
      <w:r w:rsidR="00596001">
        <w:rPr>
          <w:rFonts w:ascii="Arial" w:hAnsi="Arial"/>
          <w:bCs/>
        </w:rPr>
        <w:t>e to mechanical loading/exercise</w:t>
      </w:r>
      <w:r w:rsidRPr="00842660">
        <w:rPr>
          <w:rFonts w:ascii="Arial" w:hAnsi="Arial"/>
          <w:color w:val="000000"/>
        </w:rPr>
        <w:t>.</w:t>
      </w:r>
      <w:r>
        <w:rPr>
          <w:rFonts w:ascii="Arial" w:hAnsi="Arial"/>
          <w:color w:val="000000"/>
        </w:rPr>
        <w:t xml:space="preserve"> </w:t>
      </w:r>
      <w:r w:rsidR="002244A9">
        <w:rPr>
          <w:rFonts w:ascii="Arial" w:eastAsiaTheme="minorEastAsia" w:hAnsi="Arial" w:cs="Arial"/>
          <w:lang w:val="en-US"/>
        </w:rPr>
        <w:t xml:space="preserve">The </w:t>
      </w:r>
      <w:r w:rsidRPr="009509B7">
        <w:rPr>
          <w:rFonts w:ascii="Arial" w:eastAsiaTheme="minorEastAsia" w:hAnsi="Arial" w:cs="Arial"/>
          <w:lang w:val="en-US"/>
        </w:rPr>
        <w:t>physiological regulatio</w:t>
      </w:r>
      <w:r w:rsidR="002244A9">
        <w:rPr>
          <w:rFonts w:ascii="Arial" w:eastAsiaTheme="minorEastAsia" w:hAnsi="Arial" w:cs="Arial"/>
          <w:lang w:val="en-US"/>
        </w:rPr>
        <w:t xml:space="preserve">n of </w:t>
      </w:r>
      <w:r>
        <w:rPr>
          <w:rFonts w:ascii="Arial" w:eastAsiaTheme="minorEastAsia" w:hAnsi="Arial" w:cs="Arial"/>
          <w:lang w:val="en-US"/>
        </w:rPr>
        <w:t xml:space="preserve">osteogenic </w:t>
      </w:r>
      <w:r w:rsidR="002244A9">
        <w:rPr>
          <w:rFonts w:ascii="Arial" w:eastAsiaTheme="minorEastAsia" w:hAnsi="Arial" w:cs="Arial"/>
          <w:lang w:val="en-US"/>
        </w:rPr>
        <w:t xml:space="preserve">hormones </w:t>
      </w:r>
      <w:r w:rsidRPr="009509B7">
        <w:rPr>
          <w:rFonts w:ascii="Arial" w:eastAsiaTheme="minorEastAsia" w:hAnsi="Arial" w:cs="Arial"/>
          <w:lang w:val="en-US"/>
        </w:rPr>
        <w:t>by</w:t>
      </w:r>
      <w:r w:rsidRPr="009509B7">
        <w:rPr>
          <w:rFonts w:ascii="Arial" w:hAnsi="Arial" w:cs="Arial"/>
          <w:color w:val="000000"/>
        </w:rPr>
        <w:t xml:space="preserve"> </w:t>
      </w:r>
      <w:r>
        <w:rPr>
          <w:rFonts w:ascii="Arial" w:hAnsi="Arial" w:cs="Arial"/>
          <w:color w:val="000000"/>
        </w:rPr>
        <w:t xml:space="preserve">fasting and </w:t>
      </w:r>
      <w:r w:rsidRPr="009509B7">
        <w:rPr>
          <w:rFonts w:ascii="Arial" w:eastAsiaTheme="minorEastAsia" w:hAnsi="Arial" w:cs="Arial"/>
          <w:lang w:val="en-US"/>
        </w:rPr>
        <w:t>feeding could be exploited to enhance the effects of exercise</w:t>
      </w:r>
      <w:r>
        <w:rPr>
          <w:rFonts w:ascii="Arial" w:eastAsiaTheme="minorEastAsia" w:hAnsi="Arial" w:cs="Arial"/>
          <w:lang w:val="en-US"/>
        </w:rPr>
        <w:t xml:space="preserve"> in young and aged mice</w:t>
      </w:r>
      <w:r w:rsidRPr="009509B7">
        <w:rPr>
          <w:rFonts w:ascii="Arial" w:eastAsiaTheme="minorEastAsia" w:hAnsi="Arial" w:cs="Arial"/>
          <w:lang w:val="en-US"/>
        </w:rPr>
        <w:t xml:space="preserve">. </w:t>
      </w:r>
      <w:r>
        <w:rPr>
          <w:rFonts w:ascii="Arial" w:eastAsiaTheme="minorEastAsia" w:hAnsi="Arial" w:cs="Arial"/>
          <w:lang w:val="en-US"/>
        </w:rPr>
        <w:t xml:space="preserve">Although this study strongly suggests anabolic roles of </w:t>
      </w:r>
      <w:r w:rsidR="002244A9">
        <w:rPr>
          <w:rFonts w:ascii="Arial" w:eastAsiaTheme="minorEastAsia" w:hAnsi="Arial" w:cs="Arial"/>
          <w:lang w:val="en-US"/>
        </w:rPr>
        <w:t xml:space="preserve">candidate </w:t>
      </w:r>
      <w:r>
        <w:rPr>
          <w:rFonts w:ascii="Arial" w:eastAsiaTheme="minorEastAsia" w:hAnsi="Arial" w:cs="Arial"/>
          <w:lang w:val="en-US"/>
        </w:rPr>
        <w:t>hormones on bone regulated by timing of feeding to potentiate</w:t>
      </w:r>
      <w:r w:rsidRPr="009509B7">
        <w:rPr>
          <w:rFonts w:ascii="Arial" w:eastAsiaTheme="minorEastAsia" w:hAnsi="Arial" w:cs="Arial"/>
          <w:lang w:val="en-US"/>
        </w:rPr>
        <w:t xml:space="preserve"> the effects of </w:t>
      </w:r>
      <w:r>
        <w:rPr>
          <w:rFonts w:ascii="Arial" w:eastAsiaTheme="minorEastAsia" w:hAnsi="Arial" w:cs="Arial"/>
          <w:lang w:val="en-US"/>
        </w:rPr>
        <w:t xml:space="preserve">loading in young but not aged mice, further studies are needed to address the mechanisms underlying these observations and most importantly how these mechanisms change with ageing.  </w:t>
      </w:r>
    </w:p>
    <w:p w14:paraId="47234F54" w14:textId="77777777" w:rsidR="0015459C" w:rsidRDefault="0015459C" w:rsidP="0015459C"/>
    <w:p w14:paraId="30A72C0C" w14:textId="77777777" w:rsidR="0015459C" w:rsidRDefault="0015459C" w:rsidP="0015459C">
      <w:pPr>
        <w:spacing w:line="480" w:lineRule="auto"/>
        <w:jc w:val="both"/>
        <w:rPr>
          <w:rFonts w:ascii="Arial" w:hAnsi="Arial"/>
          <w:color w:val="000000"/>
        </w:rPr>
      </w:pPr>
    </w:p>
    <w:p w14:paraId="18519CBB" w14:textId="77777777" w:rsidR="0015459C" w:rsidRPr="00FE039E" w:rsidRDefault="0015459C" w:rsidP="0015459C">
      <w:pPr>
        <w:rPr>
          <w:b/>
        </w:rPr>
      </w:pPr>
    </w:p>
    <w:p w14:paraId="0DF679A5" w14:textId="77777777" w:rsidR="0015459C" w:rsidRDefault="0015459C" w:rsidP="0015459C"/>
    <w:p w14:paraId="43A55BE6" w14:textId="77777777" w:rsidR="0015459C" w:rsidRDefault="0015459C" w:rsidP="0015459C"/>
    <w:p w14:paraId="39C35FCC" w14:textId="77777777" w:rsidR="00B43858" w:rsidRDefault="00B43858" w:rsidP="007A1FC4"/>
    <w:p w14:paraId="173ED567" w14:textId="77777777" w:rsidR="00B43858" w:rsidRDefault="00B43858" w:rsidP="007A1FC4"/>
    <w:p w14:paraId="608D7E0C" w14:textId="77777777" w:rsidR="00B43858" w:rsidRDefault="00B43858" w:rsidP="007A1FC4"/>
    <w:p w14:paraId="2F2983F4" w14:textId="77777777" w:rsidR="00B43858" w:rsidRDefault="00B43858" w:rsidP="007A1FC4"/>
    <w:p w14:paraId="66B7E933" w14:textId="77777777" w:rsidR="00B43858" w:rsidRDefault="00B43858" w:rsidP="007A1FC4"/>
    <w:p w14:paraId="387A4742" w14:textId="77777777" w:rsidR="00B43858" w:rsidRDefault="00B43858" w:rsidP="007A1FC4"/>
    <w:p w14:paraId="460C80E0" w14:textId="77777777" w:rsidR="00B43858" w:rsidRDefault="00B43858" w:rsidP="007A1FC4"/>
    <w:p w14:paraId="68B8D94E" w14:textId="77777777" w:rsidR="00B43858" w:rsidRDefault="00B43858" w:rsidP="007A1FC4"/>
    <w:p w14:paraId="16756D90" w14:textId="77777777" w:rsidR="00B43858" w:rsidRDefault="00B43858" w:rsidP="007A1FC4"/>
    <w:p w14:paraId="31F8FA31" w14:textId="77777777" w:rsidR="00B43858" w:rsidRDefault="00B43858" w:rsidP="007A1FC4"/>
    <w:p w14:paraId="37A2EB37" w14:textId="77777777" w:rsidR="007A1FC4" w:rsidRDefault="007A1FC4" w:rsidP="007A1FC4"/>
    <w:p w14:paraId="0026666A" w14:textId="77777777" w:rsidR="000F514C" w:rsidRDefault="000F514C" w:rsidP="007A1FC4"/>
    <w:p w14:paraId="5C33A448" w14:textId="77777777" w:rsidR="000F514C" w:rsidRDefault="000F514C" w:rsidP="007A1FC4"/>
    <w:p w14:paraId="44324BB4" w14:textId="77777777" w:rsidR="000F514C" w:rsidRDefault="000F514C" w:rsidP="007A1FC4"/>
    <w:p w14:paraId="588F0FAE" w14:textId="77777777" w:rsidR="000F514C" w:rsidRDefault="000F514C" w:rsidP="007A1FC4"/>
    <w:p w14:paraId="03597782" w14:textId="77777777" w:rsidR="000F514C" w:rsidRDefault="000F514C" w:rsidP="007A1FC4"/>
    <w:p w14:paraId="1A4A5BEB" w14:textId="77777777" w:rsidR="000F514C" w:rsidRDefault="000F514C" w:rsidP="007A1FC4"/>
    <w:p w14:paraId="31B507DC" w14:textId="77777777" w:rsidR="000F514C" w:rsidRDefault="000F514C" w:rsidP="007A1FC4"/>
    <w:p w14:paraId="08FB5353" w14:textId="77777777" w:rsidR="000F514C" w:rsidRDefault="000F514C" w:rsidP="007A1FC4"/>
    <w:p w14:paraId="2CB846CF" w14:textId="77777777" w:rsidR="000F514C" w:rsidRDefault="000F514C" w:rsidP="007A1FC4"/>
    <w:p w14:paraId="34813AC2" w14:textId="77777777" w:rsidR="000F514C" w:rsidRDefault="000F514C" w:rsidP="007A1FC4"/>
    <w:p w14:paraId="5CB7E9DC" w14:textId="77777777" w:rsidR="000F514C" w:rsidRDefault="000F514C" w:rsidP="007A1FC4"/>
    <w:p w14:paraId="16937E68" w14:textId="77777777" w:rsidR="000F514C" w:rsidRDefault="000F514C" w:rsidP="007A1FC4"/>
    <w:p w14:paraId="33651B52" w14:textId="77777777" w:rsidR="00156405" w:rsidRDefault="00156405" w:rsidP="007A1FC4"/>
    <w:p w14:paraId="48D5F3D4" w14:textId="77777777" w:rsidR="00156405" w:rsidRDefault="00156405" w:rsidP="007A1FC4"/>
    <w:p w14:paraId="52F7DA17" w14:textId="77777777" w:rsidR="000F514C" w:rsidRDefault="000F514C" w:rsidP="007A1FC4"/>
    <w:p w14:paraId="0976888A" w14:textId="77777777" w:rsidR="004B51EA" w:rsidRDefault="004B51EA" w:rsidP="007A1FC4"/>
    <w:p w14:paraId="2360C3FE" w14:textId="77777777" w:rsidR="000F514C" w:rsidRDefault="000F514C" w:rsidP="007A1FC4"/>
    <w:p w14:paraId="524BA10B" w14:textId="77777777" w:rsidR="00E9205E" w:rsidRDefault="00E9205E" w:rsidP="007A1FC4"/>
    <w:p w14:paraId="3A6DFE8F" w14:textId="77777777" w:rsidR="00DB32B7" w:rsidRDefault="00DB32B7" w:rsidP="00DB32B7">
      <w:pPr>
        <w:pStyle w:val="TOCHeading"/>
        <w:spacing w:line="360" w:lineRule="auto"/>
        <w:rPr>
          <w:rFonts w:eastAsia="Times New Roman"/>
          <w:bCs w:val="0"/>
          <w:color w:val="1F497D" w:themeColor="text2"/>
          <w:sz w:val="40"/>
          <w:szCs w:val="40"/>
          <w:u w:val="double"/>
        </w:rPr>
      </w:pPr>
      <w:bookmarkStart w:id="183" w:name="_Toc383723939"/>
      <w:r>
        <w:rPr>
          <w:rFonts w:eastAsia="Times New Roman"/>
          <w:bCs w:val="0"/>
          <w:color w:val="1F497D" w:themeColor="text2"/>
          <w:sz w:val="40"/>
          <w:szCs w:val="40"/>
          <w:u w:val="double"/>
        </w:rPr>
        <w:t>CHAPTER 8</w:t>
      </w:r>
    </w:p>
    <w:p w14:paraId="28CB8C71" w14:textId="77777777" w:rsidR="00156405" w:rsidRPr="00A05B4A" w:rsidRDefault="00156405" w:rsidP="00DB32B7">
      <w:pPr>
        <w:pStyle w:val="Heading1"/>
        <w:rPr>
          <w:rFonts w:eastAsia="Times New Roman"/>
        </w:rPr>
      </w:pPr>
      <w:r>
        <w:t>General discussion</w:t>
      </w:r>
      <w:bookmarkEnd w:id="183"/>
    </w:p>
    <w:p w14:paraId="23D79262" w14:textId="77777777" w:rsidR="00156405" w:rsidRDefault="00156405" w:rsidP="00DB32B7">
      <w:pPr>
        <w:widowControl w:val="0"/>
        <w:tabs>
          <w:tab w:val="left" w:pos="5670"/>
        </w:tabs>
        <w:autoSpaceDE w:val="0"/>
        <w:autoSpaceDN w:val="0"/>
        <w:adjustRightInd w:val="0"/>
        <w:spacing w:after="240" w:line="360" w:lineRule="auto"/>
        <w:jc w:val="center"/>
        <w:rPr>
          <w:rFonts w:ascii="Arial" w:hAnsi="Arial" w:cs="Arial"/>
          <w:bCs/>
          <w:noProof/>
          <w:color w:val="000000" w:themeColor="text1"/>
        </w:rPr>
      </w:pPr>
    </w:p>
    <w:p w14:paraId="20179072"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430D2CE5"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6B8031F8"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3009DCB3"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05647E32"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7B49FC5B"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6063381A"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596C1FD3"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240DCE73"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40B5E1BA"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1CA16F25"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7831985C" w14:textId="77777777" w:rsidR="00156405" w:rsidRDefault="00156405" w:rsidP="00277A87">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p>
    <w:p w14:paraId="21AEEAEC" w14:textId="77777777" w:rsidR="00156405" w:rsidRPr="0072688E" w:rsidRDefault="00156405" w:rsidP="00D40E59">
      <w:pPr>
        <w:pStyle w:val="Heading2"/>
      </w:pPr>
      <w:bookmarkStart w:id="184" w:name="_Toc383723940"/>
      <w:r w:rsidRPr="0072688E">
        <w:lastRenderedPageBreak/>
        <w:t xml:space="preserve">8.1 </w:t>
      </w:r>
      <w:r w:rsidR="004441B6">
        <w:t>The effect of timing of food ingestion on bone’s response to mechanical loading</w:t>
      </w:r>
      <w:bookmarkEnd w:id="184"/>
      <w:r w:rsidR="004441B6">
        <w:t xml:space="preserve"> </w:t>
      </w:r>
      <w:r w:rsidRPr="0072688E">
        <w:t xml:space="preserve"> </w:t>
      </w:r>
    </w:p>
    <w:p w14:paraId="4E772FFB" w14:textId="77777777" w:rsidR="00D90096" w:rsidRDefault="00C41CFF" w:rsidP="00D90096">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r>
        <w:rPr>
          <w:rFonts w:ascii="Arial" w:hAnsi="Arial" w:cs="Arial"/>
          <w:bCs/>
          <w:noProof/>
          <w:color w:val="000000" w:themeColor="text1"/>
        </w:rPr>
        <w:t xml:space="preserve">Osteoporosis affects over 2 million people in the UK, and with ageing </w:t>
      </w:r>
      <w:r w:rsidR="004322AE">
        <w:rPr>
          <w:rFonts w:ascii="Arial" w:hAnsi="Arial" w:cs="Arial"/>
          <w:bCs/>
          <w:noProof/>
          <w:color w:val="000000" w:themeColor="text1"/>
        </w:rPr>
        <w:t xml:space="preserve">of the </w:t>
      </w:r>
      <w:r>
        <w:rPr>
          <w:rFonts w:ascii="Arial" w:hAnsi="Arial" w:cs="Arial"/>
          <w:bCs/>
          <w:noProof/>
          <w:color w:val="000000" w:themeColor="text1"/>
        </w:rPr>
        <w:t xml:space="preserve">population, the </w:t>
      </w:r>
      <w:r w:rsidR="004322AE">
        <w:rPr>
          <w:rFonts w:ascii="Arial" w:hAnsi="Arial" w:cs="Arial"/>
          <w:bCs/>
          <w:noProof/>
          <w:color w:val="000000" w:themeColor="text1"/>
        </w:rPr>
        <w:t xml:space="preserve">prevalence of osteoporosis is rising and morbidity and </w:t>
      </w:r>
      <w:r>
        <w:rPr>
          <w:rFonts w:ascii="Arial" w:hAnsi="Arial" w:cs="Arial"/>
          <w:bCs/>
          <w:noProof/>
          <w:color w:val="000000" w:themeColor="text1"/>
        </w:rPr>
        <w:t xml:space="preserve">mortality related to fragality fractures </w:t>
      </w:r>
      <w:r w:rsidR="004322AE">
        <w:rPr>
          <w:rFonts w:ascii="Arial" w:hAnsi="Arial" w:cs="Arial"/>
          <w:bCs/>
          <w:noProof/>
          <w:color w:val="000000" w:themeColor="text1"/>
        </w:rPr>
        <w:t>are increasing</w:t>
      </w:r>
      <w:r w:rsidR="009235FC">
        <w:rPr>
          <w:rFonts w:ascii="Arial" w:hAnsi="Arial" w:cs="Arial"/>
          <w:bCs/>
          <w:noProof/>
          <w:color w:val="000000" w:themeColor="text1"/>
        </w:rPr>
        <w:t xml:space="preserve"> </w:t>
      </w:r>
      <w:r w:rsidR="00663F70">
        <w:rPr>
          <w:rFonts w:ascii="Arial" w:hAnsi="Arial" w:cs="Arial"/>
        </w:rPr>
        <w:fldChar w:fldCharType="begin"/>
      </w:r>
      <w:r w:rsidR="00663F70">
        <w:rPr>
          <w:rFonts w:ascii="Arial" w:hAnsi="Arial" w:cs="Arial"/>
        </w:rPr>
        <w:instrText xml:space="preserve"> ADDIN EN.CITE &lt;EndNote&gt;&lt;Cite&gt;&lt;Author&gt;Kanis&lt;/Author&gt;&lt;Year&gt;2002&lt;/Year&gt;&lt;RecNum&gt;659&lt;/RecNum&gt;&lt;DisplayText&gt;(Kanis, 2002)&lt;/DisplayText&gt;&lt;record&gt;&lt;rec-number&gt;659&lt;/rec-number&gt;&lt;foreign-keys&gt;&lt;key app="EN" db-id="ae9rewfrpdttrheppfxxv0p4950wpd25r09x" timestamp="1521258767"&gt;659&lt;/key&gt;&lt;/foreign-keys&gt;&lt;ref-type name="Journal Article"&gt;17&lt;/ref-type&gt;&lt;contributors&gt;&lt;authors&gt;&lt;author&gt;Kanis, John A.&lt;/author&gt;&lt;/authors&gt;&lt;/contributors&gt;&lt;titles&gt;&lt;title&gt;Diagnosis of osteoporosis and assessment of fracture risk&lt;/title&gt;&lt;secondary-title&gt;The Lancet&lt;/secondary-title&gt;&lt;/titles&gt;&lt;periodical&gt;&lt;full-title&gt;The Lancet&lt;/full-title&gt;&lt;/periodical&gt;&lt;pages&gt;1929-1936&lt;/pages&gt;&lt;volume&gt;359&lt;/volume&gt;&lt;number&gt;9321&lt;/number&gt;&lt;keywords&gt;&lt;keyword&gt;Bone Density&lt;/keyword&gt;&lt;keyword&gt;Osteoporosis&lt;/keyword&gt;&lt;keyword&gt;Fractures, Bone -- Etiology&lt;/keyword&gt;&lt;/keywords&gt;&lt;dates&gt;&lt;year&gt;2002&lt;/year&gt;&lt;/dates&gt;&lt;isbn&gt;0140-6736&lt;/isbn&gt;&lt;urls&gt;&lt;/urls&gt;&lt;electronic-resource-num&gt;10.1016/S0140-6736(02)08761-5&lt;/electronic-resource-num&gt;&lt;/record&gt;&lt;/Cite&gt;&lt;/EndNote&gt;</w:instrText>
      </w:r>
      <w:r w:rsidR="00663F70">
        <w:rPr>
          <w:rFonts w:ascii="Arial" w:hAnsi="Arial" w:cs="Arial"/>
        </w:rPr>
        <w:fldChar w:fldCharType="separate"/>
      </w:r>
      <w:r w:rsidR="00663F70">
        <w:rPr>
          <w:rFonts w:ascii="Arial" w:hAnsi="Arial" w:cs="Arial"/>
          <w:noProof/>
        </w:rPr>
        <w:t>(Kanis, 2002)</w:t>
      </w:r>
      <w:r w:rsidR="00663F70">
        <w:rPr>
          <w:rFonts w:ascii="Arial" w:hAnsi="Arial" w:cs="Arial"/>
        </w:rPr>
        <w:fldChar w:fldCharType="end"/>
      </w:r>
      <w:r>
        <w:rPr>
          <w:rFonts w:ascii="Arial" w:hAnsi="Arial" w:cs="Arial"/>
          <w:bCs/>
          <w:noProof/>
          <w:color w:val="000000" w:themeColor="text1"/>
        </w:rPr>
        <w:t xml:space="preserve">. In the UK, more than 300 000 fractures occur every year causing severe pain, disability, loss of independence and and major health care costs </w:t>
      </w:r>
      <w:r w:rsidR="00663F70">
        <w:rPr>
          <w:rFonts w:ascii="Arial" w:hAnsi="Arial" w:cs="Arial"/>
          <w:bCs/>
          <w:noProof/>
          <w:color w:val="000000" w:themeColor="text1"/>
        </w:rPr>
        <w:fldChar w:fldCharType="begin"/>
      </w:r>
      <w:r w:rsidR="0000415D">
        <w:rPr>
          <w:rFonts w:ascii="Arial" w:hAnsi="Arial" w:cs="Arial"/>
          <w:bCs/>
          <w:noProof/>
          <w:color w:val="000000" w:themeColor="text1"/>
        </w:rPr>
        <w:instrText xml:space="preserve"> ADDIN EN.CITE &lt;EndNote&gt;&lt;Cite&gt;&lt;Author&gt;BOA-BGS&lt;/Author&gt;&lt;Year&gt;2007&lt;/Year&gt;&lt;RecNum&gt;661&lt;/RecNum&gt;&lt;DisplayText&gt;(BOA-BGS, 2007, NOS, 2018)&lt;/DisplayText&gt;&lt;record&gt;&lt;rec-number&gt;661&lt;/rec-number&gt;&lt;foreign-keys&gt;&lt;key app="EN" db-id="ae9rewfrpdttrheppfxxv0p4950wpd25r09x" timestamp="1521259950"&gt;661&lt;/key&gt;&lt;/foreign-keys&gt;&lt;ref-type name="Book"&gt;6&lt;/ref-type&gt;&lt;contributors&gt;&lt;authors&gt;&lt;author&gt;BOA-BGS&lt;/author&gt;&lt;/authors&gt;&lt;/contributors&gt;&lt;titles&gt;&lt;title&gt;The care of patients with fragility fracture&lt;/title&gt;&lt;/titles&gt;&lt;pages&gt;1-76&lt;/pages&gt;&lt;section&gt;76&lt;/section&gt;&lt;dates&gt;&lt;year&gt;2007&lt;/year&gt;&lt;/dates&gt;&lt;pub-location&gt;London, UK&lt;/pub-location&gt;&lt;publisher&gt;British Orthopaedic Association&lt;/publisher&gt;&lt;urls&gt;&lt;related-urls&gt;&lt;url&gt;www.boa.ac.uk&lt;/url&gt;&lt;/related-urls&gt;&lt;/urls&gt;&lt;/record&gt;&lt;/Cite&gt;&lt;Cite&gt;&lt;Author&gt;NOS&lt;/Author&gt;&lt;Year&gt;2018&lt;/Year&gt;&lt;RecNum&gt;660&lt;/RecNum&gt;&lt;record&gt;&lt;rec-number&gt;660&lt;/rec-number&gt;&lt;foreign-keys&gt;&lt;key app="EN" db-id="ae9rewfrpdttrheppfxxv0p4950wpd25r09x" timestamp="1521259097"&gt;660&lt;/key&gt;&lt;/foreign-keys&gt;&lt;ref-type name="Web Page"&gt;12&lt;/ref-type&gt;&lt;contributors&gt;&lt;authors&gt;&lt;author&gt;NOS&lt;/author&gt;&lt;/authors&gt;&lt;/contributors&gt;&lt;titles&gt;&lt;title&gt;National Osteoporosis Society &lt;/title&gt;&lt;/titles&gt;&lt;volume&gt;2018&lt;/volume&gt;&lt;number&gt;19 March&lt;/number&gt;&lt;dates&gt;&lt;year&gt;2018&lt;/year&gt;&lt;/dates&gt;&lt;urls&gt;&lt;related-urls&gt;&lt;url&gt;https://nos.org.uk&lt;/url&gt;&lt;/related-urls&gt;&lt;/urls&gt;&lt;/record&gt;&lt;/Cite&gt;&lt;/EndNote&gt;</w:instrText>
      </w:r>
      <w:r w:rsidR="00663F70">
        <w:rPr>
          <w:rFonts w:ascii="Arial" w:hAnsi="Arial" w:cs="Arial"/>
          <w:bCs/>
          <w:noProof/>
          <w:color w:val="000000" w:themeColor="text1"/>
        </w:rPr>
        <w:fldChar w:fldCharType="separate"/>
      </w:r>
      <w:r w:rsidR="00663F70">
        <w:rPr>
          <w:rFonts w:ascii="Arial" w:hAnsi="Arial" w:cs="Arial"/>
          <w:bCs/>
          <w:noProof/>
          <w:color w:val="000000" w:themeColor="text1"/>
        </w:rPr>
        <w:t>(BOA-BGS, 2007, NOS, 2018)</w:t>
      </w:r>
      <w:r w:rsidR="00663F70">
        <w:rPr>
          <w:rFonts w:ascii="Arial" w:hAnsi="Arial" w:cs="Arial"/>
          <w:bCs/>
          <w:noProof/>
          <w:color w:val="000000" w:themeColor="text1"/>
        </w:rPr>
        <w:fldChar w:fldCharType="end"/>
      </w:r>
      <w:r w:rsidR="00CC6FD7">
        <w:rPr>
          <w:rFonts w:ascii="Arial" w:hAnsi="Arial" w:cs="Arial"/>
          <w:bCs/>
          <w:noProof/>
          <w:color w:val="000000" w:themeColor="text1"/>
        </w:rPr>
        <w:t xml:space="preserve">. </w:t>
      </w:r>
      <w:r w:rsidR="0047729C">
        <w:rPr>
          <w:rFonts w:ascii="Arial" w:hAnsi="Arial" w:cs="Arial"/>
          <w:bCs/>
          <w:noProof/>
          <w:color w:val="000000" w:themeColor="text1"/>
        </w:rPr>
        <w:t xml:space="preserve">In 2000 in the UK, the direct medical costs </w:t>
      </w:r>
      <w:r w:rsidR="002247B4">
        <w:rPr>
          <w:rFonts w:ascii="Arial" w:hAnsi="Arial" w:cs="Arial"/>
          <w:bCs/>
          <w:noProof/>
          <w:color w:val="000000" w:themeColor="text1"/>
        </w:rPr>
        <w:t>of fragility fractures was estimated</w:t>
      </w:r>
      <w:r w:rsidR="00147489">
        <w:rPr>
          <w:rFonts w:ascii="Arial" w:hAnsi="Arial" w:cs="Arial"/>
          <w:bCs/>
          <w:noProof/>
          <w:color w:val="000000" w:themeColor="text1"/>
        </w:rPr>
        <w:t xml:space="preserve"> to</w:t>
      </w:r>
      <w:r w:rsidR="003E228C">
        <w:rPr>
          <w:rFonts w:ascii="Arial" w:hAnsi="Arial" w:cs="Arial"/>
          <w:bCs/>
          <w:noProof/>
          <w:color w:val="000000" w:themeColor="text1"/>
        </w:rPr>
        <w:t xml:space="preserve"> be £1.8 billion and this is predicted to increase to £2.2 billion </w:t>
      </w:r>
      <w:r w:rsidR="00BF0227">
        <w:rPr>
          <w:rFonts w:ascii="Arial" w:hAnsi="Arial" w:cs="Arial"/>
          <w:bCs/>
          <w:noProof/>
          <w:color w:val="000000" w:themeColor="text1"/>
        </w:rPr>
        <w:t>by 2025</w:t>
      </w:r>
      <w:r w:rsidR="00BD2F56">
        <w:rPr>
          <w:rFonts w:ascii="Arial" w:hAnsi="Arial" w:cs="Arial"/>
          <w:bCs/>
          <w:noProof/>
          <w:color w:val="000000" w:themeColor="text1"/>
        </w:rPr>
        <w:t xml:space="preserve"> </w:t>
      </w:r>
      <w:r w:rsidR="00DA0DFD">
        <w:rPr>
          <w:rFonts w:ascii="Arial" w:hAnsi="Arial" w:cs="Arial"/>
          <w:bCs/>
          <w:noProof/>
          <w:color w:val="000000" w:themeColor="text1"/>
        </w:rPr>
        <w:fldChar w:fldCharType="begin"/>
      </w:r>
      <w:r w:rsidR="00DA0DFD">
        <w:rPr>
          <w:rFonts w:ascii="Arial" w:hAnsi="Arial" w:cs="Arial"/>
          <w:bCs/>
          <w:noProof/>
          <w:color w:val="000000" w:themeColor="text1"/>
        </w:rPr>
        <w:instrText xml:space="preserve"> ADDIN EN.CITE &lt;EndNote&gt;&lt;Cite&gt;&lt;Author&gt;Burge&lt;/Author&gt;&lt;Year&gt;2001&lt;/Year&gt;&lt;RecNum&gt;663&lt;/RecNum&gt;&lt;DisplayText&gt;(Burge et al., 2001)&lt;/DisplayText&gt;&lt;record&gt;&lt;rec-number&gt;663&lt;/rec-number&gt;&lt;foreign-keys&gt;&lt;key app="EN" db-id="ae9rewfrpdttrheppfxxv0p4950wpd25r09x" timestamp="1521500108"&gt;663&lt;/key&gt;&lt;/foreign-keys&gt;&lt;ref-type name="Journal Article"&gt;17&lt;/ref-type&gt;&lt;contributors&gt;&lt;authors&gt;&lt;author&gt;Burge, R. T.,&lt;/author&gt;&lt;author&gt;Worley, D.,&lt;/author&gt;&lt;author&gt;Johansen, A.,&lt;/author&gt;&lt;author&gt;Bhattacharyya, S.,&lt;/author&gt;&lt;author&gt;Bose, U.&lt;/author&gt;&lt;/authors&gt;&lt;/contributors&gt;&lt;titles&gt;&lt;title&gt;The cost of osteoporotic fractures in the UK: projections for 2000–2020&lt;/title&gt;&lt;secondary-title&gt;Journal of Medical Economics&lt;/secondary-title&gt;&lt;/titles&gt;&lt;periodical&gt;&lt;full-title&gt;Journal of Medical Economics&lt;/full-title&gt;&lt;/periodical&gt;&lt;pages&gt;51-62&lt;/pages&gt;&lt;volume&gt;4&lt;/volume&gt;&lt;number&gt;1-4&lt;/number&gt;&lt;dates&gt;&lt;year&gt;2001&lt;/year&gt;&lt;/dates&gt;&lt;urls&gt;&lt;/urls&gt;&lt;/record&gt;&lt;/Cite&gt;&lt;/EndNote&gt;</w:instrText>
      </w:r>
      <w:r w:rsidR="00DA0DFD">
        <w:rPr>
          <w:rFonts w:ascii="Arial" w:hAnsi="Arial" w:cs="Arial"/>
          <w:bCs/>
          <w:noProof/>
          <w:color w:val="000000" w:themeColor="text1"/>
        </w:rPr>
        <w:fldChar w:fldCharType="separate"/>
      </w:r>
      <w:r w:rsidR="00DA0DFD">
        <w:rPr>
          <w:rFonts w:ascii="Arial" w:hAnsi="Arial" w:cs="Arial"/>
          <w:bCs/>
          <w:noProof/>
          <w:color w:val="000000" w:themeColor="text1"/>
        </w:rPr>
        <w:t>(Burge et al., 2001)</w:t>
      </w:r>
      <w:r w:rsidR="00DA0DFD">
        <w:rPr>
          <w:rFonts w:ascii="Arial" w:hAnsi="Arial" w:cs="Arial"/>
          <w:bCs/>
          <w:noProof/>
          <w:color w:val="000000" w:themeColor="text1"/>
        </w:rPr>
        <w:fldChar w:fldCharType="end"/>
      </w:r>
      <w:r w:rsidR="00BD2F56">
        <w:rPr>
          <w:rFonts w:ascii="Arial" w:hAnsi="Arial" w:cs="Arial"/>
          <w:bCs/>
          <w:noProof/>
          <w:color w:val="000000" w:themeColor="text1"/>
        </w:rPr>
        <w:t xml:space="preserve">. Age-related </w:t>
      </w:r>
      <w:r w:rsidRPr="004F05E4">
        <w:rPr>
          <w:rFonts w:ascii="Arial" w:hAnsi="Arial" w:cs="Arial"/>
          <w:bCs/>
          <w:noProof/>
          <w:color w:val="000000" w:themeColor="text1"/>
        </w:rPr>
        <w:t xml:space="preserve">bone loss and increased </w:t>
      </w:r>
      <w:r>
        <w:rPr>
          <w:rFonts w:ascii="Arial" w:hAnsi="Arial" w:cs="Arial"/>
          <w:bCs/>
          <w:noProof/>
          <w:color w:val="000000" w:themeColor="text1"/>
        </w:rPr>
        <w:t>fragality</w:t>
      </w:r>
      <w:r w:rsidR="00BD2F56">
        <w:rPr>
          <w:rFonts w:ascii="Arial" w:hAnsi="Arial" w:cs="Arial"/>
          <w:bCs/>
          <w:noProof/>
          <w:color w:val="000000" w:themeColor="text1"/>
        </w:rPr>
        <w:t xml:space="preserve"> are exacerbated by the reduced</w:t>
      </w:r>
      <w:r>
        <w:rPr>
          <w:rFonts w:ascii="Arial" w:hAnsi="Arial" w:cs="Arial"/>
          <w:bCs/>
          <w:noProof/>
          <w:color w:val="000000" w:themeColor="text1"/>
        </w:rPr>
        <w:t xml:space="preserve"> </w:t>
      </w:r>
      <w:r>
        <w:rPr>
          <w:rFonts w:ascii="Arial" w:hAnsi="Arial"/>
        </w:rPr>
        <w:t>intensity and</w:t>
      </w:r>
      <w:r w:rsidR="001642EE">
        <w:rPr>
          <w:rFonts w:ascii="Arial" w:hAnsi="Arial"/>
        </w:rPr>
        <w:t xml:space="preserve"> quantity of physical activity</w:t>
      </w:r>
      <w:r>
        <w:rPr>
          <w:rFonts w:ascii="Arial" w:hAnsi="Arial"/>
        </w:rPr>
        <w:t xml:space="preserve"> in </w:t>
      </w:r>
      <w:r w:rsidR="001642EE">
        <w:rPr>
          <w:rFonts w:ascii="Arial" w:hAnsi="Arial"/>
        </w:rPr>
        <w:t>most older people</w:t>
      </w:r>
      <w:r>
        <w:rPr>
          <w:rFonts w:ascii="Arial" w:hAnsi="Arial"/>
        </w:rPr>
        <w:t xml:space="preserve">, therefore, </w:t>
      </w:r>
      <w:r w:rsidRPr="004F05E4">
        <w:rPr>
          <w:rFonts w:ascii="Arial" w:hAnsi="Arial" w:cs="Arial"/>
          <w:bCs/>
          <w:noProof/>
          <w:color w:val="000000" w:themeColor="text1"/>
        </w:rPr>
        <w:t xml:space="preserve">there is </w:t>
      </w:r>
      <w:r>
        <w:rPr>
          <w:rFonts w:ascii="Arial" w:hAnsi="Arial" w:cs="Arial"/>
          <w:bCs/>
          <w:noProof/>
          <w:color w:val="000000" w:themeColor="text1"/>
        </w:rPr>
        <w:t>a</w:t>
      </w:r>
      <w:r w:rsidRPr="004F05E4">
        <w:rPr>
          <w:rFonts w:ascii="Arial" w:hAnsi="Arial" w:cs="Arial"/>
          <w:bCs/>
          <w:noProof/>
          <w:color w:val="000000" w:themeColor="text1"/>
        </w:rPr>
        <w:t xml:space="preserve"> need to identify the most effecti</w:t>
      </w:r>
      <w:r>
        <w:rPr>
          <w:rFonts w:ascii="Arial" w:hAnsi="Arial" w:cs="Arial"/>
          <w:bCs/>
          <w:noProof/>
          <w:color w:val="000000" w:themeColor="text1"/>
        </w:rPr>
        <w:t>ve ways to exe</w:t>
      </w:r>
      <w:r w:rsidR="00B31453">
        <w:rPr>
          <w:rFonts w:ascii="Arial" w:hAnsi="Arial" w:cs="Arial"/>
          <w:bCs/>
          <w:noProof/>
          <w:color w:val="000000" w:themeColor="text1"/>
        </w:rPr>
        <w:t>rcise which produce maximum benefits for</w:t>
      </w:r>
      <w:r w:rsidRPr="004F05E4">
        <w:rPr>
          <w:rFonts w:ascii="Arial" w:hAnsi="Arial" w:cs="Arial"/>
          <w:bCs/>
          <w:noProof/>
          <w:color w:val="000000" w:themeColor="text1"/>
        </w:rPr>
        <w:t xml:space="preserve"> </w:t>
      </w:r>
      <w:r>
        <w:rPr>
          <w:rFonts w:ascii="Arial" w:hAnsi="Arial" w:cs="Arial"/>
          <w:bCs/>
          <w:noProof/>
          <w:color w:val="000000" w:themeColor="text1"/>
        </w:rPr>
        <w:t xml:space="preserve">the </w:t>
      </w:r>
      <w:r w:rsidRPr="004F05E4">
        <w:rPr>
          <w:rFonts w:ascii="Arial" w:hAnsi="Arial" w:cs="Arial"/>
          <w:bCs/>
          <w:noProof/>
          <w:color w:val="000000" w:themeColor="text1"/>
        </w:rPr>
        <w:t>musculoskeletal system.</w:t>
      </w:r>
    </w:p>
    <w:p w14:paraId="4D789EA1" w14:textId="77777777" w:rsidR="00D90096" w:rsidRPr="00D90096" w:rsidRDefault="00156405" w:rsidP="00D90096">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r w:rsidRPr="0024413F">
        <w:rPr>
          <w:rFonts w:ascii="Arial" w:hAnsi="Arial"/>
          <w:noProof/>
        </w:rPr>
        <w:t xml:space="preserve">Studies described in this thesis have aimed to address the general hypothesis that </w:t>
      </w:r>
      <w:r w:rsidRPr="0024413F">
        <w:rPr>
          <w:rFonts w:ascii="Arial" w:hAnsi="Arial"/>
        </w:rPr>
        <w:t xml:space="preserve">the effects of exercise on bones depend on the </w:t>
      </w:r>
      <w:r w:rsidR="00A16B93">
        <w:rPr>
          <w:rFonts w:ascii="Arial" w:hAnsi="Arial"/>
        </w:rPr>
        <w:t xml:space="preserve">circulating </w:t>
      </w:r>
      <w:r w:rsidRPr="0024413F">
        <w:rPr>
          <w:rFonts w:ascii="Arial" w:hAnsi="Arial"/>
        </w:rPr>
        <w:t xml:space="preserve">concentrations of metabolic hormones and, therefore, the timing of eating. </w:t>
      </w:r>
      <w:r w:rsidRPr="0024413F">
        <w:rPr>
          <w:rFonts w:ascii="Arial" w:hAnsi="Arial"/>
          <w:noProof/>
        </w:rPr>
        <w:t>The overall aim of this thesis was to determine the effect of timing of feeding on bone’s adaptive respose to mechanical loading using young adult and aged mouse models.</w:t>
      </w:r>
      <w:r w:rsidR="007F1416">
        <w:rPr>
          <w:rFonts w:ascii="Arial" w:hAnsi="Arial"/>
          <w:noProof/>
        </w:rPr>
        <w:t xml:space="preserve"> </w:t>
      </w:r>
      <w:r w:rsidR="00107F6E">
        <w:rPr>
          <w:rFonts w:ascii="Arial" w:hAnsi="Arial"/>
          <w:lang w:val="en-US"/>
        </w:rPr>
        <w:t xml:space="preserve">For the first time, </w:t>
      </w:r>
      <w:r w:rsidR="007F1416" w:rsidRPr="0024413F">
        <w:rPr>
          <w:rFonts w:ascii="Arial" w:hAnsi="Arial"/>
          <w:lang w:val="en-US"/>
        </w:rPr>
        <w:t xml:space="preserve">we have shown that the adaptive response </w:t>
      </w:r>
      <w:r w:rsidR="00107F6E">
        <w:rPr>
          <w:rFonts w:ascii="Arial" w:hAnsi="Arial"/>
          <w:lang w:val="en-US"/>
        </w:rPr>
        <w:t xml:space="preserve">of cortical bone </w:t>
      </w:r>
      <w:r w:rsidR="007F1416" w:rsidRPr="0024413F">
        <w:rPr>
          <w:rFonts w:ascii="Arial" w:hAnsi="Arial"/>
          <w:lang w:val="en-US"/>
        </w:rPr>
        <w:t xml:space="preserve">to osteogenic loading was potentiated in young </w:t>
      </w:r>
      <w:r w:rsidR="007F1416">
        <w:rPr>
          <w:rFonts w:ascii="Arial" w:hAnsi="Arial"/>
          <w:lang w:val="en-US"/>
        </w:rPr>
        <w:t xml:space="preserve">adult </w:t>
      </w:r>
      <w:r w:rsidR="007F1416" w:rsidRPr="0024413F">
        <w:rPr>
          <w:rFonts w:ascii="Arial" w:hAnsi="Arial"/>
          <w:lang w:val="en-US"/>
        </w:rPr>
        <w:t xml:space="preserve">male mice that ingested food for 2 hours following </w:t>
      </w:r>
      <w:r w:rsidR="00B069FF">
        <w:rPr>
          <w:rFonts w:ascii="Arial" w:hAnsi="Arial"/>
          <w:lang w:val="en-US"/>
        </w:rPr>
        <w:t xml:space="preserve">a </w:t>
      </w:r>
      <w:r w:rsidR="007F1416" w:rsidRPr="0024413F">
        <w:rPr>
          <w:rFonts w:ascii="Arial" w:hAnsi="Arial"/>
          <w:lang w:val="en-US"/>
        </w:rPr>
        <w:t>16-hour fast prior the mechanical loading.</w:t>
      </w:r>
    </w:p>
    <w:p w14:paraId="276A564A" w14:textId="77777777" w:rsidR="00D90096" w:rsidRPr="00D90096" w:rsidRDefault="00156405" w:rsidP="00D90096">
      <w:pPr>
        <w:widowControl w:val="0"/>
        <w:tabs>
          <w:tab w:val="left" w:pos="5670"/>
        </w:tabs>
        <w:autoSpaceDE w:val="0"/>
        <w:autoSpaceDN w:val="0"/>
        <w:adjustRightInd w:val="0"/>
        <w:spacing w:after="240" w:line="480" w:lineRule="auto"/>
        <w:jc w:val="both"/>
        <w:rPr>
          <w:rFonts w:ascii="Arial" w:hAnsi="Arial" w:cs="Arial"/>
          <w:bCs/>
          <w:noProof/>
          <w:color w:val="000000" w:themeColor="text1"/>
        </w:rPr>
      </w:pPr>
      <w:r w:rsidRPr="0024413F">
        <w:rPr>
          <w:rFonts w:ascii="Arial" w:hAnsi="Arial"/>
          <w:noProof/>
        </w:rPr>
        <w:t xml:space="preserve">To develop a robust model for studies, we first assessed the feeding behaviour of overnight </w:t>
      </w:r>
      <w:r w:rsidR="00EB2A21">
        <w:rPr>
          <w:rFonts w:ascii="Arial" w:hAnsi="Arial"/>
          <w:noProof/>
        </w:rPr>
        <w:t>(</w:t>
      </w:r>
      <w:r w:rsidRPr="0024413F">
        <w:rPr>
          <w:rFonts w:ascii="Arial" w:hAnsi="Arial"/>
          <w:noProof/>
        </w:rPr>
        <w:t>16-hour</w:t>
      </w:r>
      <w:r w:rsidR="00EB2A21">
        <w:rPr>
          <w:rFonts w:ascii="Arial" w:hAnsi="Arial"/>
          <w:noProof/>
        </w:rPr>
        <w:t>)</w:t>
      </w:r>
      <w:r w:rsidRPr="0024413F">
        <w:rPr>
          <w:rFonts w:ascii="Arial" w:hAnsi="Arial"/>
          <w:noProof/>
        </w:rPr>
        <w:t xml:space="preserve"> fasted young </w:t>
      </w:r>
      <w:r w:rsidRPr="0024413F">
        <w:rPr>
          <w:rFonts w:ascii="Arial" w:hAnsi="Arial"/>
          <w:lang w:val="en-US"/>
        </w:rPr>
        <w:t>19-week-old</w:t>
      </w:r>
      <w:r w:rsidRPr="0024413F">
        <w:rPr>
          <w:rFonts w:ascii="Arial" w:hAnsi="Arial"/>
          <w:noProof/>
        </w:rPr>
        <w:t xml:space="preserve"> and aged 20-month-old male C57BL/6 mice (Chapter</w:t>
      </w:r>
      <w:r w:rsidR="00B069FF">
        <w:rPr>
          <w:rFonts w:ascii="Arial" w:hAnsi="Arial"/>
          <w:noProof/>
        </w:rPr>
        <w:t>s</w:t>
      </w:r>
      <w:r w:rsidRPr="0024413F">
        <w:rPr>
          <w:rFonts w:ascii="Arial" w:hAnsi="Arial"/>
          <w:noProof/>
        </w:rPr>
        <w:t xml:space="preserve"> 3</w:t>
      </w:r>
      <w:r w:rsidR="00B069FF">
        <w:rPr>
          <w:rFonts w:ascii="Arial" w:hAnsi="Arial"/>
          <w:noProof/>
        </w:rPr>
        <w:t xml:space="preserve"> and </w:t>
      </w:r>
      <w:r w:rsidR="00FA2C2C">
        <w:rPr>
          <w:rFonts w:ascii="Arial" w:hAnsi="Arial"/>
          <w:noProof/>
        </w:rPr>
        <w:t>6</w:t>
      </w:r>
      <w:r w:rsidRPr="0024413F">
        <w:rPr>
          <w:rFonts w:ascii="Arial" w:hAnsi="Arial"/>
          <w:noProof/>
        </w:rPr>
        <w:t>). The results from these studies provided insights into dynamics of the homeostatic feeding response</w:t>
      </w:r>
      <w:r w:rsidR="00FA2C2C">
        <w:rPr>
          <w:rFonts w:ascii="Arial" w:hAnsi="Arial"/>
          <w:noProof/>
        </w:rPr>
        <w:t xml:space="preserve"> and showed that </w:t>
      </w:r>
      <w:r w:rsidR="006959ED">
        <w:rPr>
          <w:rFonts w:ascii="Arial" w:hAnsi="Arial"/>
          <w:noProof/>
        </w:rPr>
        <w:t xml:space="preserve">both young adult and aged male mice </w:t>
      </w:r>
      <w:r w:rsidR="00EF372C">
        <w:rPr>
          <w:rFonts w:ascii="Arial" w:hAnsi="Arial"/>
          <w:noProof/>
        </w:rPr>
        <w:t>exhi</w:t>
      </w:r>
      <w:r w:rsidR="006959ED">
        <w:rPr>
          <w:rFonts w:ascii="Arial" w:hAnsi="Arial"/>
          <w:noProof/>
        </w:rPr>
        <w:t xml:space="preserve">bited a </w:t>
      </w:r>
      <w:r w:rsidRPr="0024413F">
        <w:rPr>
          <w:rFonts w:ascii="Arial" w:hAnsi="Arial"/>
          <w:noProof/>
        </w:rPr>
        <w:t xml:space="preserve">2-hour hyperphagic response </w:t>
      </w:r>
      <w:r w:rsidR="006959ED">
        <w:rPr>
          <w:rFonts w:ascii="Arial" w:hAnsi="Arial"/>
          <w:noProof/>
        </w:rPr>
        <w:t>following fasting</w:t>
      </w:r>
      <w:r w:rsidRPr="0024413F">
        <w:rPr>
          <w:rFonts w:ascii="Arial" w:hAnsi="Arial"/>
          <w:noProof/>
        </w:rPr>
        <w:t>. Using this model, in the first study</w:t>
      </w:r>
      <w:r w:rsidRPr="0024413F">
        <w:rPr>
          <w:rFonts w:ascii="Arial" w:hAnsi="Arial"/>
        </w:rPr>
        <w:t xml:space="preserve"> we assessed the effect of overnight </w:t>
      </w:r>
      <w:r w:rsidR="004D45D6">
        <w:rPr>
          <w:rFonts w:ascii="Arial" w:hAnsi="Arial"/>
        </w:rPr>
        <w:t>(</w:t>
      </w:r>
      <w:r w:rsidR="004D45D6">
        <w:rPr>
          <w:rFonts w:ascii="Arial" w:hAnsi="Arial"/>
          <w:noProof/>
        </w:rPr>
        <w:t xml:space="preserve">16 </w:t>
      </w:r>
      <w:r w:rsidRPr="0024413F">
        <w:rPr>
          <w:rFonts w:ascii="Arial" w:hAnsi="Arial"/>
          <w:noProof/>
        </w:rPr>
        <w:t>hour</w:t>
      </w:r>
      <w:r w:rsidR="004D45D6">
        <w:rPr>
          <w:rFonts w:ascii="Arial" w:hAnsi="Arial"/>
          <w:noProof/>
        </w:rPr>
        <w:t>s)</w:t>
      </w:r>
      <w:r w:rsidRPr="0024413F">
        <w:rPr>
          <w:rFonts w:ascii="Arial" w:hAnsi="Arial"/>
        </w:rPr>
        <w:t xml:space="preserve"> fasting on bones’ adaptive response to axial mechanical loading with 13N force and 20 or 40 cycles regimens in young male </w:t>
      </w:r>
      <w:r w:rsidRPr="0024413F">
        <w:rPr>
          <w:rFonts w:ascii="Arial" w:hAnsi="Arial"/>
        </w:rPr>
        <w:lastRenderedPageBreak/>
        <w:t xml:space="preserve">mice. </w:t>
      </w:r>
      <w:r w:rsidR="00894D52">
        <w:rPr>
          <w:rFonts w:ascii="Arial" w:hAnsi="Arial"/>
        </w:rPr>
        <w:t xml:space="preserve">The number of cycles used was based on the finding by </w:t>
      </w:r>
      <w:r w:rsidRPr="0024413F">
        <w:rPr>
          <w:rFonts w:ascii="Arial" w:hAnsi="Arial"/>
          <w:lang w:val="en-US"/>
        </w:rPr>
        <w:t xml:space="preserve">Rubin and Lanyon that increasing the number of loading cycles from 36 to 1800 did not engender additional adaptive response in isolated turkey ulna </w:t>
      </w:r>
      <w:r w:rsidR="00DB040D">
        <w:rPr>
          <w:rFonts w:ascii="Arial" w:hAnsi="Arial"/>
          <w:lang w:val="en-US"/>
        </w:rPr>
        <w:fldChar w:fldCharType="begin"/>
      </w:r>
      <w:r w:rsidR="0000415D">
        <w:rPr>
          <w:rFonts w:ascii="Arial" w:hAnsi="Arial"/>
          <w:lang w:val="en-US"/>
        </w:rPr>
        <w:instrText xml:space="preserve"> ADDIN EN.CITE &lt;EndNote&gt;&lt;Cite&gt;&lt;Author&gt;Rubin&lt;/Author&gt;&lt;Year&gt;1984&lt;/Year&gt;&lt;RecNum&gt;426&lt;/RecNum&gt;&lt;DisplayText&gt;(Rubin and Lanyon, 1984)&lt;/DisplayText&gt;&lt;record&gt;&lt;rec-number&gt;426&lt;/rec-number&gt;&lt;foreign-keys&gt;&lt;key app="EN" db-id="ae9rewfrpdttrheppfxxv0p4950wpd25r09x" timestamp="1520658304"&gt;426&lt;/key&gt;&lt;/foreign-keys&gt;&lt;ref-type name="Journal Article"&gt;17&lt;/ref-type&gt;&lt;contributors&gt;&lt;authors&gt;&lt;author&gt;Rubin, C. T.&lt;/author&gt;&lt;author&gt;Lanyon, L. E.&lt;/author&gt;&lt;/authors&gt;&lt;/contributors&gt;&lt;titles&gt;&lt;title&gt;Regulation of bone-formation by applied dynamic loads&lt;/title&gt;&lt;secondary-title&gt;Journal of Bone and Joint Surgery&lt;/secondary-title&gt;&lt;/titles&gt;&lt;periodical&gt;&lt;full-title&gt;Journal Of Bone And Joint Surgery&lt;/full-title&gt;&lt;/periodical&gt;&lt;pages&gt;397-402&lt;/pages&gt;&lt;volume&gt;66A&lt;/volume&gt;&lt;number&gt;3&lt;/number&gt;&lt;dates&gt;&lt;year&gt;1984&lt;/year&gt;&lt;pub-dates&gt;&lt;date&gt;1984&lt;/date&gt;&lt;/pub-dates&gt;&lt;/dates&gt;&lt;isbn&gt;0021-9355&lt;/isbn&gt;&lt;accession-num&gt;WOS:A1984SJ22700012&lt;/accession-num&gt;&lt;urls&gt;&lt;related-urls&gt;&lt;url&gt;&amp;lt;Go to ISI&amp;gt;://WOS:A1984SJ22700012&lt;/url&gt;&lt;/related-urls&gt;&lt;/urls&gt;&lt;/record&gt;&lt;/Cite&gt;&lt;/EndNote&gt;</w:instrText>
      </w:r>
      <w:r w:rsidR="00DB040D">
        <w:rPr>
          <w:rFonts w:ascii="Arial" w:hAnsi="Arial"/>
          <w:lang w:val="en-US"/>
        </w:rPr>
        <w:fldChar w:fldCharType="separate"/>
      </w:r>
      <w:r w:rsidR="00DB040D">
        <w:rPr>
          <w:rFonts w:ascii="Arial" w:hAnsi="Arial"/>
          <w:noProof/>
          <w:lang w:val="en-US"/>
        </w:rPr>
        <w:t>(Rubin and Lanyon, 1984)</w:t>
      </w:r>
      <w:r w:rsidR="00DB040D">
        <w:rPr>
          <w:rFonts w:ascii="Arial" w:hAnsi="Arial"/>
          <w:lang w:val="en-US"/>
        </w:rPr>
        <w:fldChar w:fldCharType="end"/>
      </w:r>
      <w:r w:rsidRPr="0024413F">
        <w:rPr>
          <w:rFonts w:ascii="Arial" w:hAnsi="Arial"/>
          <w:lang w:val="en-US"/>
        </w:rPr>
        <w:t xml:space="preserve">. The </w:t>
      </w:r>
      <w:r w:rsidRPr="0024413F">
        <w:rPr>
          <w:rFonts w:ascii="Arial" w:hAnsi="Arial"/>
        </w:rPr>
        <w:t xml:space="preserve">μCT analysis revealed that </w:t>
      </w:r>
      <w:r w:rsidR="00894D52">
        <w:rPr>
          <w:rFonts w:ascii="Arial" w:hAnsi="Arial"/>
        </w:rPr>
        <w:t xml:space="preserve">as few as 20 cycles of </w:t>
      </w:r>
      <w:r w:rsidRPr="0024413F">
        <w:rPr>
          <w:rFonts w:ascii="Arial" w:hAnsi="Arial"/>
          <w:lang w:val="en-US"/>
        </w:rPr>
        <w:t xml:space="preserve">non-invasive mechanical loading was sufficient to generate osteogenic response in mouse bones, a finding that had not previously been investigated in other studies. </w:t>
      </w:r>
      <w:r w:rsidR="00894D52">
        <w:rPr>
          <w:rFonts w:ascii="Arial" w:hAnsi="Arial"/>
          <w:lang w:val="en-US"/>
        </w:rPr>
        <w:t>The research showed that</w:t>
      </w:r>
      <w:r w:rsidRPr="0024413F">
        <w:rPr>
          <w:rFonts w:ascii="Arial" w:hAnsi="Arial"/>
          <w:lang w:val="en-US"/>
        </w:rPr>
        <w:t xml:space="preserve"> </w:t>
      </w:r>
      <w:r w:rsidRPr="0024413F">
        <w:rPr>
          <w:rFonts w:ascii="Arial" w:hAnsi="Arial"/>
          <w:noProof/>
        </w:rPr>
        <w:t>16-hour</w:t>
      </w:r>
      <w:r w:rsidRPr="0024413F">
        <w:rPr>
          <w:rFonts w:ascii="Arial" w:hAnsi="Arial"/>
        </w:rPr>
        <w:t xml:space="preserve"> fasting </w:t>
      </w:r>
      <w:r w:rsidR="003F7CCB">
        <w:rPr>
          <w:rFonts w:ascii="Arial" w:hAnsi="Arial"/>
        </w:rPr>
        <w:t xml:space="preserve">had no detectable effect on </w:t>
      </w:r>
      <w:r w:rsidRPr="0024413F">
        <w:rPr>
          <w:rFonts w:ascii="Arial" w:hAnsi="Arial"/>
        </w:rPr>
        <w:t xml:space="preserve">cortical and trabecular </w:t>
      </w:r>
      <w:r w:rsidRPr="0024413F">
        <w:rPr>
          <w:rFonts w:ascii="Arial" w:hAnsi="Arial"/>
          <w:lang w:val="en-US"/>
        </w:rPr>
        <w:t>bones’ response to 20 or 40 cycles of osteogenic (maximal) mechanical loading in young male mice (Chapter 3).</w:t>
      </w:r>
    </w:p>
    <w:p w14:paraId="357D1985" w14:textId="77777777" w:rsidR="00D90096" w:rsidRDefault="0015157B" w:rsidP="00277A87">
      <w:pPr>
        <w:tabs>
          <w:tab w:val="left" w:pos="5670"/>
        </w:tabs>
        <w:spacing w:line="480" w:lineRule="auto"/>
        <w:jc w:val="both"/>
        <w:rPr>
          <w:rFonts w:ascii="Arial" w:hAnsi="Arial"/>
          <w:lang w:val="en-US"/>
        </w:rPr>
      </w:pPr>
      <w:r>
        <w:rPr>
          <w:rFonts w:ascii="Arial" w:hAnsi="Arial"/>
          <w:lang w:val="en-US"/>
        </w:rPr>
        <w:t>In the next studies the</w:t>
      </w:r>
      <w:r w:rsidR="00156405" w:rsidRPr="0024413F">
        <w:rPr>
          <w:rFonts w:ascii="Arial" w:hAnsi="Arial"/>
          <w:lang w:val="en-US"/>
        </w:rPr>
        <w:t xml:space="preserve"> optimal timing of the feeding (1 hour, 2 hours or 3 hours) following </w:t>
      </w:r>
      <w:r>
        <w:rPr>
          <w:rFonts w:ascii="Arial" w:hAnsi="Arial"/>
          <w:lang w:val="en-US"/>
        </w:rPr>
        <w:t xml:space="preserve">an </w:t>
      </w:r>
      <w:r w:rsidR="00156405" w:rsidRPr="0024413F">
        <w:rPr>
          <w:rFonts w:ascii="Arial" w:hAnsi="Arial"/>
          <w:lang w:val="en-US"/>
        </w:rPr>
        <w:t xml:space="preserve">overnight </w:t>
      </w:r>
      <w:r w:rsidR="00663F70">
        <w:rPr>
          <w:rFonts w:ascii="Arial" w:hAnsi="Arial"/>
          <w:lang w:val="en-US"/>
        </w:rPr>
        <w:t>(</w:t>
      </w:r>
      <w:r w:rsidR="00156405" w:rsidRPr="0024413F">
        <w:rPr>
          <w:rFonts w:ascii="Arial" w:hAnsi="Arial"/>
          <w:lang w:val="en-US"/>
        </w:rPr>
        <w:t>16-hour</w:t>
      </w:r>
      <w:r w:rsidR="00663F70">
        <w:rPr>
          <w:rFonts w:ascii="Arial" w:hAnsi="Arial"/>
          <w:lang w:val="en-US"/>
        </w:rPr>
        <w:t>)</w:t>
      </w:r>
      <w:r w:rsidR="00156405" w:rsidRPr="0024413F">
        <w:rPr>
          <w:rFonts w:ascii="Arial" w:hAnsi="Arial"/>
          <w:lang w:val="en-US"/>
        </w:rPr>
        <w:t xml:space="preserve"> fast on bone’s response to osteogenic (maximal) loading was assessed in young male mice. </w:t>
      </w:r>
      <w:r>
        <w:rPr>
          <w:rFonts w:ascii="Arial" w:hAnsi="Arial"/>
          <w:noProof/>
        </w:rPr>
        <w:t xml:space="preserve">This showed that bone’s response to </w:t>
      </w:r>
      <w:r w:rsidR="00156405" w:rsidRPr="0024413F">
        <w:rPr>
          <w:rFonts w:ascii="Arial" w:hAnsi="Arial"/>
          <w:noProof/>
        </w:rPr>
        <w:t xml:space="preserve">osteogenic mechanical loading with a regimen of 13N force and 40 cycles was potentiated in young </w:t>
      </w:r>
      <w:r w:rsidR="00156405" w:rsidRPr="0024413F">
        <w:rPr>
          <w:rFonts w:ascii="Arial" w:hAnsi="Arial"/>
          <w:lang w:val="en-US"/>
        </w:rPr>
        <w:t>19-week-old</w:t>
      </w:r>
      <w:r w:rsidR="00156405" w:rsidRPr="0024413F">
        <w:rPr>
          <w:rFonts w:ascii="Arial" w:hAnsi="Arial"/>
          <w:noProof/>
        </w:rPr>
        <w:t xml:space="preserve"> male C57BL/6 mice that where fed for 2 hours, but not 1 hour or 3 hours, following </w:t>
      </w:r>
      <w:r w:rsidR="00754593">
        <w:rPr>
          <w:rFonts w:ascii="Arial" w:hAnsi="Arial"/>
          <w:noProof/>
        </w:rPr>
        <w:t xml:space="preserve">a </w:t>
      </w:r>
      <w:r w:rsidR="00156405" w:rsidRPr="0024413F">
        <w:rPr>
          <w:rFonts w:ascii="Arial" w:hAnsi="Arial"/>
          <w:noProof/>
        </w:rPr>
        <w:t xml:space="preserve">16-hour fast prior </w:t>
      </w:r>
      <w:r w:rsidR="00983DA1">
        <w:rPr>
          <w:rFonts w:ascii="Arial" w:hAnsi="Arial"/>
          <w:noProof/>
        </w:rPr>
        <w:t xml:space="preserve">to </w:t>
      </w:r>
      <w:r w:rsidR="00156405" w:rsidRPr="0024413F">
        <w:rPr>
          <w:rFonts w:ascii="Arial" w:hAnsi="Arial"/>
          <w:noProof/>
        </w:rPr>
        <w:t xml:space="preserve">each loading episode (Chapter 4). </w:t>
      </w:r>
      <w:r w:rsidR="00156405" w:rsidRPr="0024413F">
        <w:rPr>
          <w:rFonts w:ascii="Arial" w:hAnsi="Arial"/>
          <w:lang w:val="en-US"/>
        </w:rPr>
        <w:t xml:space="preserve">Remarkably, high resolution </w:t>
      </w:r>
      <w:r w:rsidR="00156405" w:rsidRPr="0024413F">
        <w:rPr>
          <w:rFonts w:ascii="Arial" w:hAnsi="Arial"/>
        </w:rPr>
        <w:sym w:font="Symbol" w:char="F06D"/>
      </w:r>
      <w:r w:rsidR="00156405" w:rsidRPr="0024413F">
        <w:rPr>
          <w:rFonts w:ascii="Arial" w:hAnsi="Arial"/>
        </w:rPr>
        <w:t xml:space="preserve">CT analysis of cortical bone at the mid-shaft region of the loaded tibiae revealed </w:t>
      </w:r>
      <w:r w:rsidR="00156405" w:rsidRPr="0024413F">
        <w:rPr>
          <w:rFonts w:ascii="Arial" w:hAnsi="Arial"/>
          <w:color w:val="1A1A1A"/>
          <w:lang w:val="en-US"/>
        </w:rPr>
        <w:t>t</w:t>
      </w:r>
      <w:r w:rsidR="00156405" w:rsidRPr="0024413F">
        <w:rPr>
          <w:rFonts w:ascii="Arial" w:hAnsi="Arial"/>
          <w:color w:val="1A1A1A"/>
        </w:rPr>
        <w:t>hat</w:t>
      </w:r>
      <w:r w:rsidR="00156405" w:rsidRPr="0024413F">
        <w:rPr>
          <w:rFonts w:ascii="Arial" w:hAnsi="Arial"/>
          <w:color w:val="1A1A1A"/>
          <w:lang w:val="en-US"/>
        </w:rPr>
        <w:t xml:space="preserve"> change in cortical bone thickness induced by maximal loading was increased</w:t>
      </w:r>
      <w:r w:rsidR="00156405" w:rsidRPr="0024413F">
        <w:rPr>
          <w:rFonts w:ascii="Arial" w:hAnsi="Arial"/>
          <w:lang w:val="en-US"/>
        </w:rPr>
        <w:t xml:space="preserve"> </w:t>
      </w:r>
      <w:r w:rsidR="00156405" w:rsidRPr="0024413F">
        <w:rPr>
          <w:rFonts w:ascii="Arial" w:hAnsi="Arial"/>
          <w:color w:val="1A1A1A"/>
          <w:lang w:val="en-US"/>
        </w:rPr>
        <w:t xml:space="preserve">by 67% in </w:t>
      </w:r>
      <w:r w:rsidR="00156405" w:rsidRPr="0024413F">
        <w:rPr>
          <w:rFonts w:ascii="Arial" w:hAnsi="Arial"/>
          <w:color w:val="1A1A1A"/>
        </w:rPr>
        <w:t>mice</w:t>
      </w:r>
      <w:r w:rsidR="00156405" w:rsidRPr="0024413F">
        <w:rPr>
          <w:rFonts w:ascii="Arial" w:hAnsi="Arial"/>
          <w:color w:val="1A1A1A"/>
          <w:lang w:val="en-US"/>
        </w:rPr>
        <w:t xml:space="preserve"> that were fasted then fed for </w:t>
      </w:r>
      <w:r w:rsidR="00156405" w:rsidRPr="0024413F">
        <w:rPr>
          <w:rFonts w:ascii="Arial" w:hAnsi="Arial"/>
          <w:color w:val="1A1A1A"/>
        </w:rPr>
        <w:t>2 hours</w:t>
      </w:r>
      <w:r w:rsidR="00156405" w:rsidRPr="0024413F">
        <w:rPr>
          <w:rFonts w:ascii="Arial" w:hAnsi="Arial"/>
          <w:color w:val="1A1A1A"/>
          <w:lang w:val="en-US"/>
        </w:rPr>
        <w:t xml:space="preserve"> </w:t>
      </w:r>
      <w:r w:rsidR="00156405" w:rsidRPr="0024413F">
        <w:rPr>
          <w:rFonts w:ascii="Arial" w:hAnsi="Arial"/>
          <w:color w:val="1A1A1A"/>
        </w:rPr>
        <w:t>compared with</w:t>
      </w:r>
      <w:r w:rsidR="00156405" w:rsidRPr="0024413F">
        <w:rPr>
          <w:rFonts w:ascii="Arial" w:hAnsi="Arial"/>
          <w:color w:val="1A1A1A"/>
          <w:lang w:val="en-US"/>
        </w:rPr>
        <w:t xml:space="preserve"> the loaded </w:t>
      </w:r>
      <w:r w:rsidR="00156405" w:rsidRPr="0024413F">
        <w:rPr>
          <w:rFonts w:ascii="Arial" w:hAnsi="Arial"/>
          <w:color w:val="1A1A1A"/>
        </w:rPr>
        <w:t>tibiae</w:t>
      </w:r>
      <w:r w:rsidR="00156405" w:rsidRPr="0024413F">
        <w:rPr>
          <w:rFonts w:ascii="Arial" w:hAnsi="Arial"/>
          <w:color w:val="1A1A1A"/>
          <w:lang w:val="en-US"/>
        </w:rPr>
        <w:t xml:space="preserve"> of </w:t>
      </w:r>
      <w:r w:rsidR="00156405" w:rsidRPr="0024413F">
        <w:rPr>
          <w:rFonts w:ascii="Arial" w:hAnsi="Arial"/>
          <w:color w:val="1A1A1A"/>
        </w:rPr>
        <w:t>mice</w:t>
      </w:r>
      <w:r w:rsidR="00156405" w:rsidRPr="0024413F">
        <w:rPr>
          <w:rFonts w:ascii="Arial" w:hAnsi="Arial"/>
          <w:color w:val="1A1A1A"/>
          <w:lang w:val="en-US"/>
        </w:rPr>
        <w:t xml:space="preserve"> fed ad-lib</w:t>
      </w:r>
      <w:r w:rsidR="00156405" w:rsidRPr="0024413F">
        <w:rPr>
          <w:rFonts w:ascii="Arial" w:hAnsi="Arial"/>
          <w:color w:val="1A1A1A"/>
        </w:rPr>
        <w:t>itum</w:t>
      </w:r>
      <w:r w:rsidR="009F4DA0">
        <w:rPr>
          <w:rFonts w:ascii="Arial" w:hAnsi="Arial"/>
          <w:color w:val="1A1A1A"/>
          <w:lang w:val="en-US"/>
        </w:rPr>
        <w:t xml:space="preserve"> before loading (Figures </w:t>
      </w:r>
      <w:r w:rsidR="002603E3">
        <w:rPr>
          <w:rFonts w:ascii="Arial" w:hAnsi="Arial"/>
          <w:color w:val="1A1A1A"/>
          <w:lang w:val="en-US"/>
        </w:rPr>
        <w:t>28, 29 and</w:t>
      </w:r>
      <w:r w:rsidR="00A82035">
        <w:rPr>
          <w:rFonts w:ascii="Arial" w:hAnsi="Arial"/>
          <w:color w:val="1A1A1A"/>
          <w:lang w:val="en-US"/>
        </w:rPr>
        <w:t xml:space="preserve"> 30</w:t>
      </w:r>
      <w:r w:rsidR="00156405" w:rsidRPr="0024413F">
        <w:rPr>
          <w:rFonts w:ascii="Arial" w:hAnsi="Arial"/>
          <w:color w:val="1A1A1A"/>
          <w:lang w:val="en-US"/>
        </w:rPr>
        <w:t>D)</w:t>
      </w:r>
      <w:r w:rsidR="00156405" w:rsidRPr="0024413F">
        <w:rPr>
          <w:rFonts w:ascii="Arial" w:hAnsi="Arial"/>
          <w:color w:val="1A1A1A"/>
        </w:rPr>
        <w:t xml:space="preserve">. </w:t>
      </w:r>
      <w:r w:rsidR="00156405" w:rsidRPr="0024413F">
        <w:rPr>
          <w:rFonts w:ascii="Arial" w:hAnsi="Arial"/>
          <w:noProof/>
        </w:rPr>
        <w:t xml:space="preserve">Moreover, dynamic histomophometry analysis of cortical bone formation parameters </w:t>
      </w:r>
      <w:r w:rsidR="00156405" w:rsidRPr="0024413F">
        <w:rPr>
          <w:rFonts w:ascii="Arial" w:hAnsi="Arial"/>
        </w:rPr>
        <w:t>on endocortical and periosteal surfaces was</w:t>
      </w:r>
      <w:r w:rsidR="00983DA1">
        <w:rPr>
          <w:rFonts w:ascii="Arial" w:hAnsi="Arial"/>
          <w:noProof/>
        </w:rPr>
        <w:t xml:space="preserve"> consiste</w:t>
      </w:r>
      <w:r w:rsidR="00156405" w:rsidRPr="0024413F">
        <w:rPr>
          <w:rFonts w:ascii="Arial" w:hAnsi="Arial"/>
          <w:noProof/>
        </w:rPr>
        <w:t xml:space="preserve">nt with </w:t>
      </w:r>
      <w:r w:rsidR="00495541">
        <w:rPr>
          <w:rFonts w:ascii="Arial" w:hAnsi="Arial"/>
          <w:noProof/>
        </w:rPr>
        <w:t xml:space="preserve">the </w:t>
      </w:r>
      <w:r w:rsidR="00156405" w:rsidRPr="0024413F">
        <w:rPr>
          <w:rFonts w:ascii="Arial" w:hAnsi="Arial"/>
          <w:noProof/>
        </w:rPr>
        <w:t xml:space="preserve">initial </w:t>
      </w:r>
      <w:r w:rsidR="00156405" w:rsidRPr="0024413F">
        <w:rPr>
          <w:rFonts w:ascii="Arial" w:hAnsi="Arial"/>
        </w:rPr>
        <w:t>μCT</w:t>
      </w:r>
      <w:r w:rsidR="00A82035">
        <w:rPr>
          <w:rFonts w:ascii="Arial" w:hAnsi="Arial"/>
          <w:noProof/>
        </w:rPr>
        <w:t xml:space="preserve"> analysis, Figure </w:t>
      </w:r>
      <w:r w:rsidR="005B3DCE">
        <w:rPr>
          <w:rFonts w:ascii="Arial" w:hAnsi="Arial"/>
          <w:noProof/>
        </w:rPr>
        <w:t xml:space="preserve">31 </w:t>
      </w:r>
      <w:r w:rsidR="00156405" w:rsidRPr="0024413F">
        <w:rPr>
          <w:rFonts w:ascii="Arial" w:hAnsi="Arial"/>
          <w:lang w:val="en-US"/>
        </w:rPr>
        <w:t xml:space="preserve">(Chapter 4). Examination of the distance between fluorochrome labels of calcein injected on the first and last days of mechanical loading confirmed increased cortical bone formation in fasted fed mice during </w:t>
      </w:r>
      <w:r w:rsidR="00495541">
        <w:rPr>
          <w:rFonts w:ascii="Arial" w:hAnsi="Arial"/>
          <w:lang w:val="en-US"/>
        </w:rPr>
        <w:t xml:space="preserve">the </w:t>
      </w:r>
      <w:r w:rsidR="00156405" w:rsidRPr="0024413F">
        <w:rPr>
          <w:rFonts w:ascii="Arial" w:hAnsi="Arial"/>
          <w:lang w:val="en-US"/>
        </w:rPr>
        <w:t xml:space="preserve">two-week experimental period. </w:t>
      </w:r>
    </w:p>
    <w:p w14:paraId="1B48C57B" w14:textId="77777777" w:rsidR="00D90096" w:rsidRDefault="00D90096" w:rsidP="00277A87">
      <w:pPr>
        <w:tabs>
          <w:tab w:val="left" w:pos="5670"/>
        </w:tabs>
        <w:spacing w:line="480" w:lineRule="auto"/>
        <w:jc w:val="both"/>
        <w:rPr>
          <w:rFonts w:ascii="Arial" w:hAnsi="Arial"/>
          <w:lang w:val="en-US"/>
        </w:rPr>
      </w:pPr>
    </w:p>
    <w:p w14:paraId="51CCC212" w14:textId="77777777" w:rsidR="00156405" w:rsidRPr="00D90096" w:rsidRDefault="00FE33A0" w:rsidP="00277A87">
      <w:pPr>
        <w:tabs>
          <w:tab w:val="left" w:pos="5670"/>
        </w:tabs>
        <w:spacing w:line="480" w:lineRule="auto"/>
        <w:jc w:val="both"/>
        <w:rPr>
          <w:rFonts w:ascii="Arial" w:hAnsi="Arial"/>
          <w:lang w:val="en-US"/>
        </w:rPr>
      </w:pPr>
      <w:r>
        <w:rPr>
          <w:rFonts w:ascii="Arial" w:hAnsi="Arial"/>
        </w:rPr>
        <w:t>T</w:t>
      </w:r>
      <w:r w:rsidR="00156405" w:rsidRPr="0024413F">
        <w:rPr>
          <w:rFonts w:ascii="Arial" w:hAnsi="Arial"/>
        </w:rPr>
        <w:t xml:space="preserve">o </w:t>
      </w:r>
      <w:r>
        <w:rPr>
          <w:rFonts w:ascii="Arial" w:hAnsi="Arial"/>
        </w:rPr>
        <w:t>investigate the hypothesis that there is a synergistic effect</w:t>
      </w:r>
      <w:r w:rsidR="00156405" w:rsidRPr="0024413F">
        <w:rPr>
          <w:rFonts w:ascii="Arial" w:hAnsi="Arial"/>
        </w:rPr>
        <w:t xml:space="preserve"> of metabolic hormones on concurrent mechanical loading, </w:t>
      </w:r>
      <w:r w:rsidR="00156405" w:rsidRPr="0024413F">
        <w:rPr>
          <w:rFonts w:ascii="Arial" w:hAnsi="Arial"/>
          <w:lang w:val="en-US"/>
        </w:rPr>
        <w:t xml:space="preserve">next we determined the effect of 2-hour food ingestion </w:t>
      </w:r>
      <w:r w:rsidR="00156405" w:rsidRPr="0024413F">
        <w:rPr>
          <w:rFonts w:ascii="Arial" w:hAnsi="Arial"/>
          <w:lang w:val="en-US"/>
        </w:rPr>
        <w:lastRenderedPageBreak/>
        <w:t xml:space="preserve">after an overnight fast on bone’s response </w:t>
      </w:r>
      <w:r w:rsidR="00156405" w:rsidRPr="0024413F">
        <w:rPr>
          <w:rFonts w:ascii="Arial" w:hAnsi="Arial"/>
        </w:rPr>
        <w:t>to sub-threshold and submaximal mechanical loading regimens with 8N and 11N force respectively that mimicked ineffec</w:t>
      </w:r>
      <w:r>
        <w:rPr>
          <w:rFonts w:ascii="Arial" w:hAnsi="Arial"/>
        </w:rPr>
        <w:t>tive and low intensity exercise</w:t>
      </w:r>
      <w:r w:rsidR="00156405" w:rsidRPr="0024413F">
        <w:rPr>
          <w:rFonts w:ascii="Arial" w:hAnsi="Arial"/>
        </w:rPr>
        <w:t xml:space="preserve"> in young </w:t>
      </w:r>
      <w:r w:rsidR="00156405" w:rsidRPr="0024413F">
        <w:rPr>
          <w:rFonts w:ascii="Arial" w:hAnsi="Arial"/>
          <w:lang w:val="en-US"/>
        </w:rPr>
        <w:t>19-week-old</w:t>
      </w:r>
      <w:r w:rsidR="00156405" w:rsidRPr="0024413F">
        <w:rPr>
          <w:rFonts w:ascii="Arial" w:hAnsi="Arial"/>
          <w:noProof/>
        </w:rPr>
        <w:t xml:space="preserve"> male C57BL/6 </w:t>
      </w:r>
      <w:r w:rsidR="00156405" w:rsidRPr="0024413F">
        <w:rPr>
          <w:rFonts w:ascii="Arial" w:hAnsi="Arial"/>
        </w:rPr>
        <w:t>mice (Chapter 5)</w:t>
      </w:r>
      <w:r w:rsidR="00156405" w:rsidRPr="0024413F">
        <w:rPr>
          <w:rFonts w:ascii="Arial" w:hAnsi="Arial"/>
          <w:lang w:val="en-US"/>
        </w:rPr>
        <w:t xml:space="preserve">. Previous studies have demonstrated </w:t>
      </w:r>
      <w:r w:rsidR="00156405" w:rsidRPr="0024413F">
        <w:rPr>
          <w:rFonts w:ascii="Arial" w:hAnsi="Arial"/>
        </w:rPr>
        <w:t xml:space="preserve">potentiating effects of anabolic hormones including iPTH on concurrent ineffective mechanical loading in the bones of mice </w:t>
      </w:r>
      <w:r w:rsidR="00DB040D">
        <w:rPr>
          <w:rFonts w:ascii="Arial" w:hAnsi="Arial"/>
        </w:rPr>
        <w:fldChar w:fldCharType="begin"/>
      </w:r>
      <w:r w:rsidR="00DB040D">
        <w:rPr>
          <w:rFonts w:ascii="Arial" w:hAnsi="Arial"/>
        </w:rPr>
        <w:instrText xml:space="preserve"> ADDIN EN.CITE &lt;EndNote&gt;&lt;Cite&gt;&lt;Author&gt;Sugiyama&lt;/Author&gt;&lt;Year&gt;2008&lt;/Year&gt;&lt;RecNum&gt;9&lt;/RecNum&gt;&lt;DisplayText&gt;(Sugiyama et al., 2008)&lt;/DisplayText&gt;&lt;record&gt;&lt;rec-number&gt;9&lt;/rec-number&gt;&lt;foreign-keys&gt;&lt;key app="EN" db-id="ae9rewfrpdttrheppfxxv0p4950wpd25r09x" timestamp="1520657399"&gt;9&lt;/key&gt;&lt;key app="ENWeb" db-id=""&gt;0&lt;/key&gt;&lt;/foreign-keys&gt;&lt;ref-type name="Journal Article"&gt;17&lt;/ref-type&gt;&lt;contributors&gt;&lt;authors&gt;&lt;author&gt;Sugiyama, Toshihiro&lt;/author&gt;&lt;author&gt;Saxon, Leanne K.&lt;/author&gt;&lt;author&gt;Zaman, Gul&lt;/author&gt;&lt;author&gt;Moustafa, Alaa&lt;/author&gt;&lt;author&gt;Sunters, Andrew&lt;/author&gt;&lt;author&gt;Price, Joanna S.&lt;/author&gt;&lt;author&gt;Lanyon, Lance E.&lt;/author&gt;&lt;/authors&gt;&lt;/contributors&gt;&lt;titles&gt;&lt;title&gt;Mechanical loading enhances the anabolic effects of intermittent parathyroid hormone (1–34) on trabecular and cortical bone in mice&lt;/title&gt;&lt;secondary-title&gt;Bone&lt;/secondary-title&gt;&lt;/titles&gt;&lt;periodical&gt;&lt;full-title&gt;Bone&lt;/full-title&gt;&lt;/periodical&gt;&lt;pages&gt;238-248&lt;/pages&gt;&lt;volume&gt;43&lt;/volume&gt;&lt;number&gt;2&lt;/number&gt;&lt;keywords&gt;&lt;keyword&gt;Mechanical loading&lt;/keyword&gt;&lt;keyword&gt;Adaptation&lt;/keyword&gt;&lt;keyword&gt;Parathyroid hormone&lt;/keyword&gt;&lt;keyword&gt;Mouse&lt;/keyword&gt;&lt;keyword&gt;Micro-computed tomography&lt;/keyword&gt;&lt;/keywords&gt;&lt;dates&gt;&lt;year&gt;2008&lt;/year&gt;&lt;/dates&gt;&lt;isbn&gt;8756-3282&lt;/isbn&gt;&lt;urls&gt;&lt;/urls&gt;&lt;electronic-resource-num&gt;10.1016/j.bone.2008.04.012&lt;/electronic-resource-num&gt;&lt;/record&gt;&lt;/Cite&gt;&lt;/EndNote&gt;</w:instrText>
      </w:r>
      <w:r w:rsidR="00DB040D">
        <w:rPr>
          <w:rFonts w:ascii="Arial" w:hAnsi="Arial"/>
        </w:rPr>
        <w:fldChar w:fldCharType="separate"/>
      </w:r>
      <w:r w:rsidR="00DB040D">
        <w:rPr>
          <w:rFonts w:ascii="Arial" w:hAnsi="Arial"/>
          <w:noProof/>
        </w:rPr>
        <w:t>(Sugiyama et al., 2008)</w:t>
      </w:r>
      <w:r w:rsidR="00DB040D">
        <w:rPr>
          <w:rFonts w:ascii="Arial" w:hAnsi="Arial"/>
        </w:rPr>
        <w:fldChar w:fldCharType="end"/>
      </w:r>
      <w:r w:rsidR="00156405" w:rsidRPr="0024413F">
        <w:rPr>
          <w:rFonts w:ascii="Arial" w:hAnsi="Arial"/>
        </w:rPr>
        <w:t xml:space="preserve">. </w:t>
      </w:r>
      <w:r w:rsidR="00156405" w:rsidRPr="0024413F">
        <w:rPr>
          <w:rFonts w:ascii="Arial" w:hAnsi="Arial"/>
          <w:lang w:val="en-US"/>
        </w:rPr>
        <w:t xml:space="preserve">Interestingly, food ingestion for 2 hours following prolonged </w:t>
      </w:r>
      <w:r w:rsidR="00004269">
        <w:rPr>
          <w:rFonts w:ascii="Arial" w:hAnsi="Arial"/>
          <w:lang w:val="en-US"/>
        </w:rPr>
        <w:t>(</w:t>
      </w:r>
      <w:r w:rsidR="00156405" w:rsidRPr="0024413F">
        <w:rPr>
          <w:rFonts w:ascii="Arial" w:hAnsi="Arial"/>
          <w:lang w:val="en-US"/>
        </w:rPr>
        <w:t>16-hour</w:t>
      </w:r>
      <w:r w:rsidR="00004269">
        <w:rPr>
          <w:rFonts w:ascii="Arial" w:hAnsi="Arial"/>
          <w:lang w:val="en-US"/>
        </w:rPr>
        <w:t>)</w:t>
      </w:r>
      <w:r w:rsidR="00156405" w:rsidRPr="0024413F">
        <w:rPr>
          <w:rFonts w:ascii="Arial" w:hAnsi="Arial"/>
          <w:lang w:val="en-US"/>
        </w:rPr>
        <w:t xml:space="preserve"> fast </w:t>
      </w:r>
      <w:r w:rsidR="00156405" w:rsidRPr="0024413F">
        <w:rPr>
          <w:rFonts w:ascii="Arial" w:hAnsi="Arial"/>
        </w:rPr>
        <w:t xml:space="preserve">turned ineffective loading stimulus </w:t>
      </w:r>
      <w:r w:rsidR="00BF5183">
        <w:rPr>
          <w:rFonts w:ascii="Arial" w:hAnsi="Arial"/>
        </w:rPr>
        <w:t xml:space="preserve">with 8N loading regimen, </w:t>
      </w:r>
      <w:r w:rsidR="00156405" w:rsidRPr="0024413F">
        <w:rPr>
          <w:rFonts w:ascii="Arial" w:hAnsi="Arial"/>
        </w:rPr>
        <w:t xml:space="preserve">that does not cause bone formation, into an effective one </w:t>
      </w:r>
      <w:r w:rsidR="00937DD5">
        <w:rPr>
          <w:rFonts w:ascii="Arial" w:hAnsi="Arial"/>
        </w:rPr>
        <w:t xml:space="preserve"> (Figures 40) </w:t>
      </w:r>
      <w:r w:rsidR="00156405" w:rsidRPr="0024413F">
        <w:rPr>
          <w:rFonts w:ascii="Arial" w:hAnsi="Arial"/>
        </w:rPr>
        <w:t xml:space="preserve">and enhanced bone’s adaptive response to mechanical loading. </w:t>
      </w:r>
    </w:p>
    <w:p w14:paraId="373E03D5" w14:textId="77777777" w:rsidR="00156405" w:rsidRPr="0024413F" w:rsidRDefault="00156405" w:rsidP="00277A87">
      <w:pPr>
        <w:tabs>
          <w:tab w:val="left" w:pos="5670"/>
        </w:tabs>
        <w:spacing w:line="480" w:lineRule="auto"/>
        <w:jc w:val="both"/>
        <w:rPr>
          <w:rFonts w:ascii="Arial" w:hAnsi="Arial"/>
        </w:rPr>
      </w:pPr>
    </w:p>
    <w:p w14:paraId="6125CD4E" w14:textId="77777777" w:rsidR="00156405" w:rsidRPr="0024413F" w:rsidRDefault="00156405" w:rsidP="00277A87">
      <w:pPr>
        <w:tabs>
          <w:tab w:val="left" w:pos="5670"/>
        </w:tabs>
        <w:spacing w:line="480" w:lineRule="auto"/>
        <w:jc w:val="both"/>
        <w:rPr>
          <w:rFonts w:ascii="Arial" w:hAnsi="Arial"/>
          <w:bCs/>
        </w:rPr>
      </w:pPr>
      <w:r w:rsidRPr="0024413F">
        <w:rPr>
          <w:rFonts w:ascii="Arial" w:hAnsi="Arial"/>
          <w:bCs/>
        </w:rPr>
        <w:t>The effect of ageing on interactions between energy metabolism and bone’s adaptive response to osteogenic mechani</w:t>
      </w:r>
      <w:r w:rsidR="00F53AD9">
        <w:rPr>
          <w:rFonts w:ascii="Arial" w:hAnsi="Arial"/>
          <w:bCs/>
        </w:rPr>
        <w:t>cal loading was explored in</w:t>
      </w:r>
      <w:r w:rsidRPr="0024413F">
        <w:rPr>
          <w:rFonts w:ascii="Arial" w:hAnsi="Arial"/>
          <w:bCs/>
        </w:rPr>
        <w:t xml:space="preserve"> </w:t>
      </w:r>
      <w:r w:rsidRPr="0024413F">
        <w:rPr>
          <w:rFonts w:ascii="Arial" w:hAnsi="Arial"/>
          <w:color w:val="000000"/>
        </w:rPr>
        <w:t xml:space="preserve">20-month-old </w:t>
      </w:r>
      <w:r w:rsidR="00F53AD9">
        <w:rPr>
          <w:rFonts w:ascii="Arial" w:hAnsi="Arial"/>
          <w:color w:val="000000"/>
        </w:rPr>
        <w:t xml:space="preserve">(aged) </w:t>
      </w:r>
      <w:r w:rsidRPr="0024413F">
        <w:rPr>
          <w:rFonts w:ascii="Arial" w:hAnsi="Arial"/>
          <w:color w:val="000000"/>
        </w:rPr>
        <w:t xml:space="preserve">C57BL/6 male mice (Chapter 6). </w:t>
      </w:r>
      <w:r w:rsidR="008529B0">
        <w:rPr>
          <w:rFonts w:ascii="Arial" w:hAnsi="Arial"/>
          <w:color w:val="000000"/>
        </w:rPr>
        <w:t>The aim of this study was to</w:t>
      </w:r>
      <w:r w:rsidRPr="0024413F">
        <w:rPr>
          <w:rFonts w:ascii="Arial" w:hAnsi="Arial"/>
          <w:color w:val="000000"/>
        </w:rPr>
        <w:t xml:space="preserve"> determine the</w:t>
      </w:r>
      <w:r w:rsidRPr="0024413F">
        <w:rPr>
          <w:rFonts w:ascii="Arial" w:hAnsi="Arial"/>
          <w:bCs/>
        </w:rPr>
        <w:t xml:space="preserve"> age-dependent modulating effects of </w:t>
      </w:r>
      <w:r w:rsidR="00E74BC7">
        <w:rPr>
          <w:rFonts w:ascii="Arial" w:hAnsi="Arial"/>
          <w:bCs/>
        </w:rPr>
        <w:t xml:space="preserve">timing of food ingestion </w:t>
      </w:r>
      <w:r w:rsidRPr="0024413F">
        <w:rPr>
          <w:rFonts w:ascii="Arial" w:hAnsi="Arial"/>
          <w:bCs/>
        </w:rPr>
        <w:t xml:space="preserve">on bone’s adaptive response to mechanical loading. In spite of having potentiating effects on bones of young adult mice, food ingestion for 2 hours following </w:t>
      </w:r>
      <w:r w:rsidR="007F30EA">
        <w:rPr>
          <w:rFonts w:ascii="Arial" w:hAnsi="Arial"/>
          <w:bCs/>
        </w:rPr>
        <w:t xml:space="preserve">an </w:t>
      </w:r>
      <w:r w:rsidRPr="0024413F">
        <w:rPr>
          <w:rFonts w:ascii="Arial" w:hAnsi="Arial"/>
          <w:bCs/>
        </w:rPr>
        <w:t xml:space="preserve">overnight 16-hour fast had no effect on cortical bone’s response to osteogenic mechanical loading with regimen of 10N force in aged male mice compared with that in ad-lib fed mice. </w:t>
      </w:r>
      <w:r w:rsidR="003757F9">
        <w:rPr>
          <w:rFonts w:ascii="Arial" w:hAnsi="Arial"/>
          <w:bCs/>
        </w:rPr>
        <w:t xml:space="preserve">The </w:t>
      </w:r>
      <w:r w:rsidR="003757F9">
        <w:rPr>
          <w:rFonts w:ascii="Arial" w:hAnsi="Arial"/>
        </w:rPr>
        <w:t>axial loading</w:t>
      </w:r>
      <w:r w:rsidRPr="0024413F">
        <w:rPr>
          <w:rFonts w:ascii="Arial" w:hAnsi="Arial"/>
        </w:rPr>
        <w:t xml:space="preserve"> </w:t>
      </w:r>
      <w:r w:rsidR="003757F9">
        <w:rPr>
          <w:rFonts w:ascii="Arial" w:hAnsi="Arial"/>
        </w:rPr>
        <w:t xml:space="preserve">regimen </w:t>
      </w:r>
      <w:r w:rsidRPr="0024413F">
        <w:rPr>
          <w:rFonts w:ascii="Arial" w:hAnsi="Arial"/>
        </w:rPr>
        <w:t xml:space="preserve">allowed to </w:t>
      </w:r>
      <w:r w:rsidR="008D692E">
        <w:rPr>
          <w:rFonts w:ascii="Arial" w:hAnsi="Arial"/>
        </w:rPr>
        <w:t xml:space="preserve">apply similar </w:t>
      </w:r>
      <w:r w:rsidRPr="0024413F">
        <w:rPr>
          <w:rFonts w:ascii="Arial" w:hAnsi="Arial"/>
        </w:rPr>
        <w:t xml:space="preserve">peak strain magnitudes and rates </w:t>
      </w:r>
      <w:r w:rsidR="008D692E">
        <w:rPr>
          <w:rFonts w:ascii="Arial" w:hAnsi="Arial"/>
        </w:rPr>
        <w:t>to tibiae of</w:t>
      </w:r>
      <w:r w:rsidRPr="0024413F">
        <w:rPr>
          <w:rFonts w:ascii="Arial" w:hAnsi="Arial"/>
        </w:rPr>
        <w:t xml:space="preserve"> young and aged animals</w:t>
      </w:r>
      <w:r w:rsidR="003757F9">
        <w:rPr>
          <w:rFonts w:ascii="Arial" w:hAnsi="Arial"/>
        </w:rPr>
        <w:t xml:space="preserve"> </w:t>
      </w:r>
      <w:r w:rsidR="00DA0DFD">
        <w:rPr>
          <w:rFonts w:ascii="Arial" w:hAnsi="Arial"/>
        </w:rPr>
        <w:fldChar w:fldCharType="begin"/>
      </w:r>
      <w:r w:rsidR="0000415D">
        <w:rPr>
          <w:rFonts w:ascii="Arial" w:hAnsi="Arial"/>
        </w:rPr>
        <w:instrText xml:space="preserve"> ADDIN EN.CITE &lt;EndNote&gt;&lt;Cite&gt;&lt;Author&gt;Meakin&lt;/Author&gt;&lt;Year&gt;2014&lt;/Year&gt;&lt;RecNum&gt;406&lt;/RecNum&gt;&lt;DisplayText&gt;(Meakin et al., 2014)&lt;/DisplayText&gt;&lt;record&gt;&lt;rec-number&gt;406&lt;/rec-number&gt;&lt;foreign-keys&gt;&lt;key app="EN" db-id="ae9rewfrpdttrheppfxxv0p4950wpd25r09x" timestamp="1520658303"&gt;406&lt;/key&gt;&lt;/foreign-keys&gt;&lt;ref-type name="Journal Article"&gt;17&lt;/ref-type&gt;&lt;contributors&gt;&lt;authors&gt;&lt;author&gt;Meakin, Lee B.&lt;/author&gt;&lt;author&gt;Galea, Gabriel L.&lt;/author&gt;&lt;author&gt;Sugiyama, Toshihiro&lt;/author&gt;&lt;author&gt;Lanyon, Lance E.&lt;/author&gt;&lt;author&gt;Price, Joanna S.&lt;/author&gt;&lt;/authors&gt;&lt;/contributors&gt;&lt;titles&gt;&lt;title&gt;Age</w:instrText>
      </w:r>
      <w:r w:rsidR="0000415D">
        <w:rPr>
          <w:rFonts w:ascii="American Typewriter" w:hAnsi="American Typewriter" w:cs="American Typewriter"/>
        </w:rPr>
        <w:instrText>‐</w:instrText>
      </w:r>
      <w:r w:rsidR="0000415D">
        <w:rPr>
          <w:rFonts w:ascii="Arial" w:hAnsi="Arial"/>
        </w:rPr>
        <w:instrText xml:space="preserve"> Related Impairment of Bones&amp;apos; Adaptive Response to Loading in Mice Is Associated With Sex</w:instrText>
      </w:r>
      <w:r w:rsidR="0000415D">
        <w:rPr>
          <w:rFonts w:ascii="American Typewriter" w:hAnsi="American Typewriter" w:cs="American Typewriter"/>
        </w:rPr>
        <w:instrText>‐</w:instrText>
      </w:r>
      <w:r w:rsidR="0000415D">
        <w:rPr>
          <w:rFonts w:ascii="Arial" w:hAnsi="Arial"/>
        </w:rPr>
        <w:instrText xml:space="preserve"> Related Deficiencies in Osteoblasts but No Change in Osteocytes&lt;/title&gt;&lt;secondary-title&gt;Journal of Bone and Mineral Research&lt;/secondary-title&gt;&lt;/titles&gt;&lt;periodical&gt;&lt;full-title&gt;Journal of Bone and Mineral Research&lt;/full-title&gt;&lt;/periodical&gt;&lt;pages&gt;1859-1871&lt;/pages&gt;&lt;volume&gt;29&lt;/volume&gt;&lt;number&gt;8&lt;/number&gt;&lt;keywords&gt;&lt;keyword&gt;Aging&lt;/keyword&gt;&lt;keyword&gt;Osteoblasts&lt;/keyword&gt;&lt;keyword&gt;Mechanical Loading&lt;/keyword&gt;&lt;/keywords&gt;&lt;dates&gt;&lt;year&gt;2014&lt;/year&gt;&lt;/dates&gt;&lt;isbn&gt;0884-0431&lt;/isbn&gt;&lt;urls&gt;&lt;/urls&gt;&lt;electronic-resource-num&gt;10.1002/jbmr.2222&lt;/electronic-resource-num&gt;&lt;/record&gt;&lt;/Cite&gt;&lt;/EndNote&gt;</w:instrText>
      </w:r>
      <w:r w:rsidR="00DA0DFD">
        <w:rPr>
          <w:rFonts w:ascii="Arial" w:hAnsi="Arial"/>
        </w:rPr>
        <w:fldChar w:fldCharType="separate"/>
      </w:r>
      <w:r w:rsidR="00DA0DFD">
        <w:rPr>
          <w:rFonts w:ascii="Arial" w:hAnsi="Arial"/>
          <w:noProof/>
        </w:rPr>
        <w:t>(Meakin et al., 2014)</w:t>
      </w:r>
      <w:r w:rsidR="00DA0DFD">
        <w:rPr>
          <w:rFonts w:ascii="Arial" w:hAnsi="Arial"/>
        </w:rPr>
        <w:fldChar w:fldCharType="end"/>
      </w:r>
      <w:r w:rsidRPr="0024413F">
        <w:rPr>
          <w:rFonts w:ascii="Arial" w:hAnsi="Arial"/>
        </w:rPr>
        <w:t>.</w:t>
      </w:r>
      <w:r w:rsidRPr="0024413F">
        <w:rPr>
          <w:rFonts w:ascii="Arial" w:hAnsi="Arial"/>
          <w:bCs/>
        </w:rPr>
        <w:t xml:space="preserve"> In the future studies, </w:t>
      </w:r>
      <w:r w:rsidR="00215844">
        <w:rPr>
          <w:rFonts w:ascii="Arial" w:hAnsi="Arial"/>
          <w:bCs/>
        </w:rPr>
        <w:t xml:space="preserve">it will be important to explore i) </w:t>
      </w:r>
      <w:r w:rsidRPr="0024413F">
        <w:rPr>
          <w:rFonts w:ascii="Arial" w:hAnsi="Arial"/>
          <w:bCs/>
        </w:rPr>
        <w:t xml:space="preserve">the effect of timing of feeding </w:t>
      </w:r>
      <w:r w:rsidR="00C45C41">
        <w:rPr>
          <w:rFonts w:ascii="Arial" w:hAnsi="Arial"/>
          <w:bCs/>
        </w:rPr>
        <w:t xml:space="preserve">on osteogenic effects of mechanical loading at multiple sites in the tibiae ii) effects in female </w:t>
      </w:r>
      <w:r w:rsidRPr="0024413F">
        <w:rPr>
          <w:rFonts w:ascii="Arial" w:hAnsi="Arial"/>
          <w:bCs/>
        </w:rPr>
        <w:t xml:space="preserve">to determine </w:t>
      </w:r>
      <w:r w:rsidR="00C45C41">
        <w:rPr>
          <w:rFonts w:ascii="Arial" w:hAnsi="Arial"/>
          <w:bCs/>
        </w:rPr>
        <w:t xml:space="preserve">whether there is a </w:t>
      </w:r>
      <w:r w:rsidRPr="0024413F">
        <w:rPr>
          <w:rFonts w:ascii="Arial" w:hAnsi="Arial"/>
          <w:bCs/>
        </w:rPr>
        <w:t xml:space="preserve">gender-dependent adaptive response and </w:t>
      </w:r>
      <w:r w:rsidR="00705D29">
        <w:rPr>
          <w:rFonts w:ascii="Arial" w:hAnsi="Arial"/>
          <w:bCs/>
        </w:rPr>
        <w:t>iii</w:t>
      </w:r>
      <w:r w:rsidR="00C45C41">
        <w:rPr>
          <w:rFonts w:ascii="Arial" w:hAnsi="Arial"/>
          <w:bCs/>
        </w:rPr>
        <w:t xml:space="preserve">) additional </w:t>
      </w:r>
      <w:r w:rsidRPr="0024413F">
        <w:rPr>
          <w:rFonts w:ascii="Arial" w:hAnsi="Arial"/>
          <w:bCs/>
        </w:rPr>
        <w:t>potentiating intervention</w:t>
      </w:r>
      <w:r w:rsidR="00E86874">
        <w:rPr>
          <w:rFonts w:ascii="Arial" w:hAnsi="Arial"/>
          <w:bCs/>
        </w:rPr>
        <w:t>s</w:t>
      </w:r>
      <w:r w:rsidRPr="0024413F">
        <w:rPr>
          <w:rFonts w:ascii="Arial" w:hAnsi="Arial"/>
          <w:bCs/>
        </w:rPr>
        <w:t xml:space="preserve"> in aged animals.</w:t>
      </w:r>
    </w:p>
    <w:p w14:paraId="02421BC1" w14:textId="77777777" w:rsidR="00156405" w:rsidRPr="0024413F" w:rsidRDefault="00156405" w:rsidP="00277A87">
      <w:pPr>
        <w:tabs>
          <w:tab w:val="left" w:pos="5670"/>
        </w:tabs>
        <w:spacing w:line="480" w:lineRule="auto"/>
        <w:jc w:val="both"/>
        <w:rPr>
          <w:rFonts w:ascii="Arial" w:hAnsi="Arial"/>
          <w:bCs/>
        </w:rPr>
      </w:pPr>
    </w:p>
    <w:p w14:paraId="3D2F7C9A" w14:textId="77777777" w:rsidR="00156405" w:rsidRPr="0024413F" w:rsidRDefault="00156405" w:rsidP="00277A87">
      <w:pPr>
        <w:tabs>
          <w:tab w:val="left" w:pos="5670"/>
        </w:tabs>
        <w:spacing w:line="480" w:lineRule="auto"/>
        <w:jc w:val="both"/>
        <w:rPr>
          <w:rFonts w:ascii="Arial" w:hAnsi="Arial"/>
          <w:bCs/>
        </w:rPr>
      </w:pPr>
      <w:r w:rsidRPr="0024413F">
        <w:rPr>
          <w:rFonts w:ascii="Arial" w:hAnsi="Arial"/>
          <w:color w:val="000000"/>
        </w:rPr>
        <w:t xml:space="preserve">Previous studies had established that </w:t>
      </w:r>
      <w:r w:rsidRPr="0024413F">
        <w:rPr>
          <w:rFonts w:ascii="Arial" w:hAnsi="Arial"/>
        </w:rPr>
        <w:t xml:space="preserve">bone’s adaptive response to loading was impaired in aged animals </w:t>
      </w:r>
      <w:r w:rsidR="00DB040D">
        <w:rPr>
          <w:rFonts w:ascii="Arial" w:hAnsi="Arial"/>
        </w:rPr>
        <w:fldChar w:fldCharType="begin">
          <w:fldData xml:space="preserve">PEVuZE5vdGU+PENpdGU+PEF1dGhvcj5UdXJuZXI8L0F1dGhvcj48WWVhcj4xOTk1PC9ZZWFyPjxS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=
</w:fldData>
        </w:fldChar>
      </w:r>
      <w:r w:rsidR="00DB040D">
        <w:rPr>
          <w:rFonts w:ascii="Arial" w:hAnsi="Arial"/>
        </w:rPr>
        <w:instrText xml:space="preserve"> ADDIN EN.CITE </w:instrText>
      </w:r>
      <w:r w:rsidR="00DB040D">
        <w:rPr>
          <w:rFonts w:ascii="Arial" w:hAnsi="Arial"/>
        </w:rPr>
        <w:fldChar w:fldCharType="begin">
          <w:fldData xml:space="preserve">PEVuZE5vdGU+PENpdGU+PEF1dGhvcj5UdXJuZXI8L0F1dGhvcj48WWVhcj4xOTk1PC9ZZWFyPjxS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=
</w:fldData>
        </w:fldChar>
      </w:r>
      <w:r w:rsidR="00DB040D">
        <w:rPr>
          <w:rFonts w:ascii="Arial" w:hAnsi="Arial"/>
        </w:rPr>
        <w:instrText xml:space="preserve"> ADDIN EN.CITE.DATA </w:instrText>
      </w:r>
      <w:r w:rsidR="00DB040D">
        <w:rPr>
          <w:rFonts w:ascii="Arial" w:hAnsi="Arial"/>
        </w:rPr>
      </w:r>
      <w:r w:rsidR="00DB040D">
        <w:rPr>
          <w:rFonts w:ascii="Arial" w:hAnsi="Arial"/>
        </w:rPr>
        <w:fldChar w:fldCharType="end"/>
      </w:r>
      <w:r w:rsidR="00DB040D">
        <w:rPr>
          <w:rFonts w:ascii="Arial" w:hAnsi="Arial"/>
        </w:rPr>
      </w:r>
      <w:r w:rsidR="00DB040D">
        <w:rPr>
          <w:rFonts w:ascii="Arial" w:hAnsi="Arial"/>
        </w:rPr>
        <w:fldChar w:fldCharType="separate"/>
      </w:r>
      <w:r w:rsidR="00DB040D">
        <w:rPr>
          <w:rFonts w:ascii="Arial" w:hAnsi="Arial"/>
          <w:noProof/>
        </w:rPr>
        <w:t>(Turner et al., 1995, Srinivasan et al., 2003, Lynch et al., 2011)</w:t>
      </w:r>
      <w:r w:rsidR="00DB040D">
        <w:rPr>
          <w:rFonts w:ascii="Arial" w:hAnsi="Arial"/>
        </w:rPr>
        <w:fldChar w:fldCharType="end"/>
      </w:r>
      <w:r w:rsidR="00CB5966">
        <w:rPr>
          <w:rFonts w:ascii="Arial" w:hAnsi="Arial"/>
        </w:rPr>
        <w:t>.</w:t>
      </w:r>
      <w:r w:rsidRPr="0024413F">
        <w:rPr>
          <w:rFonts w:ascii="Arial" w:hAnsi="Arial"/>
        </w:rPr>
        <w:t xml:space="preserve"> </w:t>
      </w:r>
      <w:r w:rsidRPr="0024413F">
        <w:rPr>
          <w:rFonts w:ascii="Arial" w:hAnsi="Arial"/>
          <w:bCs/>
        </w:rPr>
        <w:t xml:space="preserve">The </w:t>
      </w:r>
      <w:r w:rsidRPr="0024413F">
        <w:rPr>
          <w:rFonts w:ascii="Arial" w:hAnsi="Arial"/>
        </w:rPr>
        <w:sym w:font="Symbol" w:char="F06D"/>
      </w:r>
      <w:r w:rsidRPr="0024413F">
        <w:rPr>
          <w:rFonts w:ascii="Arial" w:hAnsi="Arial"/>
        </w:rPr>
        <w:t>CT</w:t>
      </w:r>
      <w:r w:rsidRPr="0024413F">
        <w:rPr>
          <w:rFonts w:ascii="Arial" w:hAnsi="Arial"/>
          <w:bCs/>
        </w:rPr>
        <w:t xml:space="preserve"> </w:t>
      </w:r>
      <w:r w:rsidRPr="0024413F">
        <w:rPr>
          <w:rFonts w:ascii="Arial" w:hAnsi="Arial"/>
          <w:bCs/>
        </w:rPr>
        <w:lastRenderedPageBreak/>
        <w:t>analysis revealed that bone’s response to loading was diminished in fasted 2-hour fed and ad-lib fed aged mice</w:t>
      </w:r>
      <w:r w:rsidR="00705D29">
        <w:rPr>
          <w:rFonts w:ascii="Arial" w:hAnsi="Arial"/>
          <w:bCs/>
        </w:rPr>
        <w:t xml:space="preserve"> compared with young adult mice</w:t>
      </w:r>
      <w:r w:rsidRPr="0024413F">
        <w:rPr>
          <w:rFonts w:ascii="Arial" w:hAnsi="Arial"/>
          <w:bCs/>
        </w:rPr>
        <w:t xml:space="preserve">, and </w:t>
      </w:r>
      <w:r w:rsidR="00C54AF5">
        <w:rPr>
          <w:rFonts w:ascii="Arial" w:hAnsi="Arial"/>
          <w:bCs/>
        </w:rPr>
        <w:t xml:space="preserve">that </w:t>
      </w:r>
      <w:r w:rsidRPr="0024413F">
        <w:rPr>
          <w:rFonts w:ascii="Arial" w:hAnsi="Arial"/>
          <w:bCs/>
        </w:rPr>
        <w:t>age-related changes were evident in both cortical and trabecular bones</w:t>
      </w:r>
      <w:r w:rsidR="00CB5966">
        <w:rPr>
          <w:rFonts w:ascii="Arial" w:hAnsi="Arial"/>
          <w:bCs/>
        </w:rPr>
        <w:t xml:space="preserve"> (Figures 46 and 48)</w:t>
      </w:r>
      <w:r w:rsidRPr="0024413F">
        <w:rPr>
          <w:rFonts w:ascii="Arial" w:hAnsi="Arial"/>
          <w:bCs/>
        </w:rPr>
        <w:t xml:space="preserve">. </w:t>
      </w:r>
      <w:r w:rsidR="00FD0C6C">
        <w:rPr>
          <w:rFonts w:ascii="Arial" w:hAnsi="Arial"/>
          <w:bCs/>
        </w:rPr>
        <w:t>However, i</w:t>
      </w:r>
      <w:r w:rsidRPr="0024413F">
        <w:rPr>
          <w:rFonts w:ascii="Arial" w:hAnsi="Arial"/>
          <w:bCs/>
        </w:rPr>
        <w:t xml:space="preserve">t was previously shown that administration of iPTH </w:t>
      </w:r>
      <w:r w:rsidR="00CB5966">
        <w:rPr>
          <w:rFonts w:ascii="Arial" w:hAnsi="Arial"/>
          <w:bCs/>
        </w:rPr>
        <w:t>in</w:t>
      </w:r>
      <w:r w:rsidRPr="0024413F">
        <w:rPr>
          <w:rFonts w:ascii="Arial" w:hAnsi="Arial"/>
          <w:bCs/>
        </w:rPr>
        <w:t xml:space="preserve">to </w:t>
      </w:r>
      <w:r w:rsidR="00CB5966">
        <w:rPr>
          <w:rFonts w:ascii="Arial" w:hAnsi="Arial"/>
          <w:bCs/>
        </w:rPr>
        <w:t xml:space="preserve">the </w:t>
      </w:r>
      <w:r w:rsidRPr="0024413F">
        <w:rPr>
          <w:rFonts w:ascii="Arial" w:hAnsi="Arial"/>
          <w:bCs/>
        </w:rPr>
        <w:t>aged C57BL/6 mice</w:t>
      </w:r>
      <w:r w:rsidR="0073738C">
        <w:rPr>
          <w:rFonts w:ascii="Arial" w:hAnsi="Arial"/>
          <w:bCs/>
        </w:rPr>
        <w:t xml:space="preserve"> </w:t>
      </w:r>
      <w:r w:rsidRPr="0024413F">
        <w:rPr>
          <w:rFonts w:ascii="Arial" w:hAnsi="Arial"/>
          <w:bCs/>
        </w:rPr>
        <w:t xml:space="preserve">induced enhanced vertebral trabecular bone formation response compared to that in young adult mice </w:t>
      </w:r>
      <w:r w:rsidR="00DB040D">
        <w:rPr>
          <w:rFonts w:ascii="Arial" w:hAnsi="Arial"/>
          <w:bCs/>
        </w:rPr>
        <w:fldChar w:fldCharType="begin"/>
      </w:r>
      <w:r w:rsidR="00DB040D">
        <w:rPr>
          <w:rFonts w:ascii="Arial" w:hAnsi="Arial"/>
          <w:bCs/>
        </w:rPr>
        <w:instrText xml:space="preserve"> ADDIN EN.CITE &lt;EndNote&gt;&lt;Cite&gt;&lt;Author&gt;Knopp&lt;/Author&gt;&lt;Year&gt;2005&lt;/Year&gt;&lt;RecNum&gt;650&lt;/RecNum&gt;&lt;DisplayText&gt;(Knopp et al., 2005)&lt;/DisplayText&gt;&lt;record&gt;&lt;rec-number&gt;650&lt;/rec-number&gt;&lt;foreign-keys&gt;&lt;key app="EN" db-id="ae9rewfrpdttrheppfxxv0p4950wpd25r09x" timestamp="1521250649"&gt;650&lt;/key&gt;&lt;/foreign-keys&gt;&lt;ref-type name="Journal Article"&gt;17&lt;/ref-type&gt;&lt;contributors&gt;&lt;authors&gt;&lt;author&gt;Knopp, Eleanor&lt;/author&gt;&lt;author&gt;Troiano, Nancy&lt;/author&gt;&lt;author&gt;Bouxsein, Mary&lt;/author&gt;&lt;author&gt;Sun, Ben-Hua&lt;/author&gt;&lt;author&gt;Lostritto, Karen&lt;/author&gt;&lt;author&gt;Gundberg, Caren&lt;/author&gt;&lt;author&gt;Dziura, James&lt;/author&gt;&lt;author&gt;Insogna, Karl&lt;/author&gt;&lt;/authors&gt;&lt;/contributors&gt;&lt;titles&gt;&lt;title&gt;The Effect of Aging on the Skeletal Response to Intermittent Treatment with Parathyroid Hormone&lt;/title&gt;&lt;secondary-title&gt;Endocrinology&lt;/secondary-title&gt;&lt;/titles&gt;&lt;periodical&gt;&lt;full-title&gt;Endocrinology&lt;/full-title&gt;&lt;/periodical&gt;&lt;pages&gt;1983-1990&lt;/pages&gt;&lt;volume&gt;146&lt;/volume&gt;&lt;number&gt;4&lt;/number&gt;&lt;keywords&gt;&lt;keyword&gt;Medicine&lt;/keyword&gt;&lt;keyword&gt;Anatomy &amp;amp;amp&lt;/keyword&gt;&lt;keyword&gt;Physiology&lt;/keyword&gt;&lt;/keywords&gt;&lt;dates&gt;&lt;year&gt;2005&lt;/year&gt;&lt;/dates&gt;&lt;isbn&gt;0013-7227&lt;/isbn&gt;&lt;urls&gt;&lt;/urls&gt;&lt;electronic-resource-num&gt;10.1210/en.2004-0770&lt;/electronic-resource-num&gt;&lt;/record&gt;&lt;/Cite&gt;&lt;/EndNote&gt;</w:instrText>
      </w:r>
      <w:r w:rsidR="00DB040D">
        <w:rPr>
          <w:rFonts w:ascii="Arial" w:hAnsi="Arial"/>
          <w:bCs/>
        </w:rPr>
        <w:fldChar w:fldCharType="separate"/>
      </w:r>
      <w:r w:rsidR="00DB040D">
        <w:rPr>
          <w:rFonts w:ascii="Arial" w:hAnsi="Arial"/>
          <w:bCs/>
          <w:noProof/>
        </w:rPr>
        <w:t>(Knopp et al., 2005)</w:t>
      </w:r>
      <w:r w:rsidR="00DB040D">
        <w:rPr>
          <w:rFonts w:ascii="Arial" w:hAnsi="Arial"/>
          <w:bCs/>
        </w:rPr>
        <w:fldChar w:fldCharType="end"/>
      </w:r>
      <w:r w:rsidRPr="0024413F">
        <w:rPr>
          <w:rFonts w:ascii="Arial" w:hAnsi="Arial"/>
          <w:bCs/>
        </w:rPr>
        <w:t xml:space="preserve">. </w:t>
      </w:r>
      <w:r w:rsidR="0073738C">
        <w:rPr>
          <w:rFonts w:ascii="Arial" w:hAnsi="Arial"/>
          <w:bCs/>
        </w:rPr>
        <w:t>Consistent with this, despite substantial loss of the</w:t>
      </w:r>
      <w:r w:rsidRPr="0024413F">
        <w:rPr>
          <w:rFonts w:ascii="Arial" w:hAnsi="Arial"/>
          <w:bCs/>
        </w:rPr>
        <w:t xml:space="preserve"> trabecular bone</w:t>
      </w:r>
      <w:r w:rsidR="00FD0C6C">
        <w:rPr>
          <w:rFonts w:ascii="Arial" w:hAnsi="Arial"/>
          <w:bCs/>
        </w:rPr>
        <w:t xml:space="preserve"> in fed and fasted fed</w:t>
      </w:r>
      <w:r w:rsidR="0073738C">
        <w:rPr>
          <w:rFonts w:ascii="Arial" w:hAnsi="Arial"/>
          <w:bCs/>
        </w:rPr>
        <w:t xml:space="preserve"> aged mice</w:t>
      </w:r>
      <w:r w:rsidRPr="0024413F">
        <w:rPr>
          <w:rFonts w:ascii="Arial" w:hAnsi="Arial"/>
          <w:bCs/>
        </w:rPr>
        <w:t>, significant decrease in trabecular pattern factor</w:t>
      </w:r>
      <w:r w:rsidR="00C54AF5">
        <w:rPr>
          <w:rFonts w:ascii="Arial" w:hAnsi="Arial"/>
          <w:bCs/>
        </w:rPr>
        <w:t xml:space="preserve"> </w:t>
      </w:r>
      <w:r w:rsidR="0073738C">
        <w:rPr>
          <w:rFonts w:ascii="Arial" w:hAnsi="Arial"/>
          <w:bCs/>
        </w:rPr>
        <w:t>showed that bone formation can</w:t>
      </w:r>
      <w:r w:rsidR="00C54AF5">
        <w:rPr>
          <w:rFonts w:ascii="Arial" w:hAnsi="Arial"/>
          <w:bCs/>
        </w:rPr>
        <w:t xml:space="preserve"> </w:t>
      </w:r>
      <w:r w:rsidR="00FD0C6C">
        <w:rPr>
          <w:rFonts w:ascii="Arial" w:hAnsi="Arial"/>
          <w:bCs/>
        </w:rPr>
        <w:t>occur in aged animals to an</w:t>
      </w:r>
      <w:r w:rsidRPr="0024413F">
        <w:rPr>
          <w:rFonts w:ascii="Arial" w:hAnsi="Arial"/>
          <w:bCs/>
        </w:rPr>
        <w:t xml:space="preserve"> extent </w:t>
      </w:r>
      <w:r w:rsidR="00167A72">
        <w:rPr>
          <w:rFonts w:ascii="Arial" w:hAnsi="Arial"/>
          <w:bCs/>
        </w:rPr>
        <w:t>in response to an anabolic stimulus (Figure 49</w:t>
      </w:r>
      <w:r w:rsidR="00901B29">
        <w:rPr>
          <w:rFonts w:ascii="Arial" w:hAnsi="Arial"/>
          <w:bCs/>
        </w:rPr>
        <w:t>C</w:t>
      </w:r>
      <w:r w:rsidRPr="0024413F">
        <w:rPr>
          <w:rFonts w:ascii="Arial" w:hAnsi="Arial"/>
          <w:bCs/>
        </w:rPr>
        <w:t xml:space="preserve">). </w:t>
      </w:r>
    </w:p>
    <w:p w14:paraId="61CBF058" w14:textId="77777777" w:rsidR="00156405" w:rsidRPr="0024413F" w:rsidRDefault="00156405" w:rsidP="00277A87">
      <w:pPr>
        <w:tabs>
          <w:tab w:val="left" w:pos="5670"/>
        </w:tabs>
        <w:spacing w:line="480" w:lineRule="auto"/>
        <w:jc w:val="both"/>
        <w:rPr>
          <w:rFonts w:ascii="Arial" w:hAnsi="Arial"/>
          <w:bCs/>
        </w:rPr>
      </w:pPr>
    </w:p>
    <w:p w14:paraId="67D04CFD" w14:textId="77777777" w:rsidR="00156405" w:rsidRPr="00A466C2" w:rsidRDefault="00156405" w:rsidP="00277A87">
      <w:pPr>
        <w:tabs>
          <w:tab w:val="left" w:pos="5670"/>
        </w:tabs>
        <w:spacing w:line="480" w:lineRule="auto"/>
        <w:jc w:val="both"/>
        <w:rPr>
          <w:rFonts w:ascii="Arial" w:hAnsi="Arial"/>
          <w:bCs/>
        </w:rPr>
      </w:pPr>
      <w:r w:rsidRPr="0024413F">
        <w:rPr>
          <w:rFonts w:ascii="Arial" w:hAnsi="Arial"/>
          <w:bCs/>
        </w:rPr>
        <w:t xml:space="preserve">In Chapter 7 we explored the changes in concentrations of </w:t>
      </w:r>
      <w:r w:rsidR="00745159">
        <w:rPr>
          <w:rFonts w:ascii="Arial" w:hAnsi="Arial"/>
          <w:bCs/>
        </w:rPr>
        <w:t>candidate metabolic horm</w:t>
      </w:r>
      <w:r w:rsidRPr="0024413F">
        <w:rPr>
          <w:rFonts w:ascii="Arial" w:hAnsi="Arial"/>
          <w:bCs/>
        </w:rPr>
        <w:t xml:space="preserve">ones </w:t>
      </w:r>
      <w:r w:rsidR="00D573A1">
        <w:rPr>
          <w:rFonts w:ascii="Arial" w:hAnsi="Arial"/>
          <w:bCs/>
        </w:rPr>
        <w:t xml:space="preserve">in response to </w:t>
      </w:r>
      <w:r w:rsidRPr="0024413F">
        <w:rPr>
          <w:rFonts w:ascii="Arial" w:hAnsi="Arial"/>
          <w:bCs/>
        </w:rPr>
        <w:t xml:space="preserve">timing of feeding, which could </w:t>
      </w:r>
      <w:r w:rsidR="00D573A1">
        <w:rPr>
          <w:rFonts w:ascii="Arial" w:hAnsi="Arial"/>
          <w:bCs/>
        </w:rPr>
        <w:t>be responsible for</w:t>
      </w:r>
      <w:r w:rsidRPr="0024413F">
        <w:rPr>
          <w:rFonts w:ascii="Arial" w:hAnsi="Arial"/>
          <w:bCs/>
        </w:rPr>
        <w:t xml:space="preserve"> </w:t>
      </w:r>
      <w:r w:rsidR="00D573A1">
        <w:rPr>
          <w:rFonts w:ascii="Arial" w:hAnsi="Arial"/>
          <w:bCs/>
        </w:rPr>
        <w:t>potentiating the bone</w:t>
      </w:r>
      <w:r w:rsidR="00167A72">
        <w:rPr>
          <w:rFonts w:ascii="Arial" w:hAnsi="Arial"/>
          <w:bCs/>
        </w:rPr>
        <w:t xml:space="preserve"> response to</w:t>
      </w:r>
      <w:r w:rsidRPr="0024413F">
        <w:rPr>
          <w:rFonts w:ascii="Arial" w:hAnsi="Arial"/>
          <w:bCs/>
        </w:rPr>
        <w:t xml:space="preserve"> lo</w:t>
      </w:r>
      <w:r w:rsidR="00C50520">
        <w:rPr>
          <w:rFonts w:ascii="Arial" w:hAnsi="Arial"/>
          <w:bCs/>
        </w:rPr>
        <w:t xml:space="preserve">ading in fasted fed young </w:t>
      </w:r>
      <w:r w:rsidRPr="0024413F">
        <w:rPr>
          <w:rFonts w:ascii="Arial" w:hAnsi="Arial"/>
          <w:bCs/>
        </w:rPr>
        <w:t>mice</w:t>
      </w:r>
      <w:r w:rsidR="00D573A1">
        <w:rPr>
          <w:rFonts w:ascii="Arial" w:hAnsi="Arial"/>
          <w:bCs/>
        </w:rPr>
        <w:t>.</w:t>
      </w:r>
      <w:r w:rsidR="00A466C2">
        <w:rPr>
          <w:rFonts w:ascii="Arial" w:hAnsi="Arial"/>
          <w:bCs/>
        </w:rPr>
        <w:t xml:space="preserve"> Secondly, we investigated the possibility that differential hormonal responses to feeding might explain the </w:t>
      </w:r>
      <w:r w:rsidR="00C50520">
        <w:rPr>
          <w:rFonts w:ascii="Arial" w:hAnsi="Arial"/>
          <w:bCs/>
        </w:rPr>
        <w:t xml:space="preserve">impaired response to </w:t>
      </w:r>
      <w:r w:rsidR="00A466C2">
        <w:rPr>
          <w:rFonts w:ascii="Arial" w:hAnsi="Arial"/>
          <w:bCs/>
        </w:rPr>
        <w:t xml:space="preserve">mechanical </w:t>
      </w:r>
      <w:r w:rsidR="00C50520">
        <w:rPr>
          <w:rFonts w:ascii="Arial" w:hAnsi="Arial"/>
          <w:bCs/>
        </w:rPr>
        <w:t xml:space="preserve">loading </w:t>
      </w:r>
      <w:r w:rsidRPr="0024413F">
        <w:rPr>
          <w:rFonts w:ascii="Arial" w:hAnsi="Arial"/>
          <w:bCs/>
        </w:rPr>
        <w:t>in aged mice. The regulation of bon</w:t>
      </w:r>
      <w:r w:rsidR="00745159">
        <w:rPr>
          <w:rFonts w:ascii="Arial" w:hAnsi="Arial"/>
          <w:bCs/>
        </w:rPr>
        <w:t>e homeostasis by the endocrine system</w:t>
      </w:r>
      <w:r w:rsidR="00167A72">
        <w:rPr>
          <w:rFonts w:ascii="Arial" w:hAnsi="Arial"/>
          <w:bCs/>
        </w:rPr>
        <w:t xml:space="preserve"> </w:t>
      </w:r>
      <w:r w:rsidRPr="0024413F">
        <w:rPr>
          <w:rFonts w:ascii="Arial" w:hAnsi="Arial"/>
          <w:bCs/>
        </w:rPr>
        <w:t xml:space="preserve">involves </w:t>
      </w:r>
      <w:r w:rsidR="00745159">
        <w:rPr>
          <w:rFonts w:ascii="Arial" w:hAnsi="Arial"/>
          <w:bCs/>
        </w:rPr>
        <w:t>several mediators</w:t>
      </w:r>
      <w:r w:rsidR="00C50520">
        <w:rPr>
          <w:rFonts w:ascii="Arial" w:hAnsi="Arial"/>
          <w:bCs/>
        </w:rPr>
        <w:t xml:space="preserve"> </w:t>
      </w:r>
      <w:r w:rsidR="00C50520" w:rsidRPr="0024413F">
        <w:rPr>
          <w:rFonts w:ascii="Arial" w:hAnsi="Arial"/>
          <w:bCs/>
        </w:rPr>
        <w:t>that change in r</w:t>
      </w:r>
      <w:r w:rsidR="00C50520">
        <w:rPr>
          <w:rFonts w:ascii="Arial" w:hAnsi="Arial"/>
          <w:bCs/>
        </w:rPr>
        <w:t>esponse to feeding and fasting</w:t>
      </w:r>
      <w:r w:rsidR="00745159">
        <w:rPr>
          <w:rFonts w:ascii="Arial" w:hAnsi="Arial"/>
          <w:bCs/>
        </w:rPr>
        <w:t xml:space="preserve">. </w:t>
      </w:r>
      <w:r w:rsidR="00CF1FD6">
        <w:rPr>
          <w:rFonts w:ascii="Arial" w:hAnsi="Arial"/>
          <w:bCs/>
        </w:rPr>
        <w:t xml:space="preserve">These include five mediators </w:t>
      </w:r>
      <w:r w:rsidR="00745159">
        <w:rPr>
          <w:rFonts w:ascii="Arial" w:hAnsi="Arial"/>
          <w:bCs/>
        </w:rPr>
        <w:t>with known anabolic effects on bone</w:t>
      </w:r>
      <w:r w:rsidR="00CF1FD6">
        <w:rPr>
          <w:rFonts w:ascii="Arial" w:hAnsi="Arial"/>
          <w:bCs/>
        </w:rPr>
        <w:t xml:space="preserve">; </w:t>
      </w:r>
      <w:r w:rsidR="00C50520" w:rsidRPr="0024413F">
        <w:rPr>
          <w:rFonts w:ascii="Arial" w:hAnsi="Arial"/>
          <w:bCs/>
        </w:rPr>
        <w:t>ghrelin, leptin, pancreatic hormone insu</w:t>
      </w:r>
      <w:r w:rsidR="00C50520">
        <w:rPr>
          <w:rFonts w:ascii="Arial" w:hAnsi="Arial"/>
          <w:bCs/>
        </w:rPr>
        <w:t xml:space="preserve">lin and intestinal peptides </w:t>
      </w:r>
      <w:r w:rsidR="00C50520" w:rsidRPr="0024413F">
        <w:rPr>
          <w:rFonts w:ascii="Arial" w:hAnsi="Arial"/>
          <w:bCs/>
        </w:rPr>
        <w:t>GIP and GLP1</w:t>
      </w:r>
      <w:r w:rsidR="00097480">
        <w:rPr>
          <w:rFonts w:ascii="Arial" w:hAnsi="Arial"/>
          <w:bCs/>
        </w:rPr>
        <w:t xml:space="preserve">. Serum concentrations of </w:t>
      </w:r>
      <w:r w:rsidR="00097480">
        <w:rPr>
          <w:rFonts w:ascii="Arial" w:hAnsi="Arial"/>
        </w:rPr>
        <w:t>leptin, insulin, GIP and</w:t>
      </w:r>
      <w:r w:rsidR="00097480" w:rsidRPr="0024413F">
        <w:rPr>
          <w:rFonts w:ascii="Arial" w:hAnsi="Arial"/>
        </w:rPr>
        <w:t xml:space="preserve"> GLP1</w:t>
      </w:r>
      <w:r w:rsidR="00097480">
        <w:rPr>
          <w:rFonts w:ascii="Arial" w:hAnsi="Arial"/>
          <w:bCs/>
        </w:rPr>
        <w:t xml:space="preserve"> </w:t>
      </w:r>
      <w:r w:rsidRPr="0024413F">
        <w:rPr>
          <w:rFonts w:ascii="Arial" w:hAnsi="Arial"/>
          <w:bCs/>
        </w:rPr>
        <w:t>we</w:t>
      </w:r>
      <w:r w:rsidR="00745159">
        <w:rPr>
          <w:rFonts w:ascii="Arial" w:hAnsi="Arial"/>
          <w:bCs/>
        </w:rPr>
        <w:t>re</w:t>
      </w:r>
      <w:r w:rsidRPr="0024413F">
        <w:rPr>
          <w:rFonts w:ascii="Arial" w:hAnsi="Arial"/>
          <w:bCs/>
        </w:rPr>
        <w:t xml:space="preserve"> </w:t>
      </w:r>
      <w:r w:rsidR="00097480">
        <w:rPr>
          <w:rFonts w:ascii="Arial" w:hAnsi="Arial"/>
          <w:bCs/>
        </w:rPr>
        <w:t>quantified</w:t>
      </w:r>
      <w:r w:rsidRPr="0024413F">
        <w:rPr>
          <w:rFonts w:ascii="Arial" w:hAnsi="Arial"/>
          <w:bCs/>
        </w:rPr>
        <w:t xml:space="preserve"> using </w:t>
      </w:r>
      <w:r w:rsidR="00097480">
        <w:rPr>
          <w:rFonts w:ascii="Arial" w:hAnsi="Arial"/>
          <w:bCs/>
        </w:rPr>
        <w:t xml:space="preserve">a </w:t>
      </w:r>
      <w:r w:rsidRPr="0024413F">
        <w:rPr>
          <w:rFonts w:ascii="Arial" w:hAnsi="Arial"/>
          <w:bCs/>
        </w:rPr>
        <w:t>m</w:t>
      </w:r>
      <w:r w:rsidR="00097480">
        <w:rPr>
          <w:rFonts w:ascii="Arial" w:hAnsi="Arial"/>
          <w:bCs/>
        </w:rPr>
        <w:t xml:space="preserve">ouse multiplex metabolic assay and </w:t>
      </w:r>
      <w:r w:rsidRPr="0024413F">
        <w:rPr>
          <w:rFonts w:ascii="Arial" w:hAnsi="Arial"/>
        </w:rPr>
        <w:t xml:space="preserve">concentrations </w:t>
      </w:r>
      <w:r w:rsidR="005F622D">
        <w:rPr>
          <w:rFonts w:ascii="Arial" w:hAnsi="Arial"/>
        </w:rPr>
        <w:t xml:space="preserve">increased </w:t>
      </w:r>
      <w:r w:rsidR="00097480">
        <w:rPr>
          <w:rFonts w:ascii="Arial" w:hAnsi="Arial"/>
        </w:rPr>
        <w:t xml:space="preserve">significantly </w:t>
      </w:r>
      <w:r w:rsidR="005F622D">
        <w:rPr>
          <w:rFonts w:ascii="Arial" w:hAnsi="Arial"/>
        </w:rPr>
        <w:t>after 2-hour</w:t>
      </w:r>
      <w:r w:rsidRPr="0024413F">
        <w:rPr>
          <w:rFonts w:ascii="Arial" w:hAnsi="Arial"/>
        </w:rPr>
        <w:t xml:space="preserve"> feed</w:t>
      </w:r>
      <w:r w:rsidR="005F622D">
        <w:rPr>
          <w:rFonts w:ascii="Arial" w:hAnsi="Arial"/>
        </w:rPr>
        <w:t xml:space="preserve">ing following overnight (16-hour) </w:t>
      </w:r>
      <w:r w:rsidRPr="0024413F">
        <w:rPr>
          <w:rFonts w:ascii="Arial" w:hAnsi="Arial"/>
        </w:rPr>
        <w:t>fast in young adult mice (Figure</w:t>
      </w:r>
      <w:r w:rsidR="005F622D">
        <w:rPr>
          <w:rFonts w:ascii="Arial" w:hAnsi="Arial"/>
        </w:rPr>
        <w:t xml:space="preserve">s </w:t>
      </w:r>
      <w:r w:rsidR="002839A9">
        <w:rPr>
          <w:rFonts w:ascii="Arial" w:hAnsi="Arial"/>
        </w:rPr>
        <w:t>51, 52, 53 and 54</w:t>
      </w:r>
      <w:r w:rsidRPr="0024413F">
        <w:rPr>
          <w:rFonts w:ascii="Arial" w:hAnsi="Arial"/>
        </w:rPr>
        <w:t>). These alterations in metabolic hormon</w:t>
      </w:r>
      <w:r w:rsidR="007F13B5">
        <w:rPr>
          <w:rFonts w:ascii="Arial" w:hAnsi="Arial"/>
        </w:rPr>
        <w:t>e concentrations with anabolic e</w:t>
      </w:r>
      <w:r w:rsidRPr="0024413F">
        <w:rPr>
          <w:rFonts w:ascii="Arial" w:hAnsi="Arial"/>
        </w:rPr>
        <w:t xml:space="preserve">ffects on bone could explain </w:t>
      </w:r>
      <w:r w:rsidR="00097480">
        <w:rPr>
          <w:rFonts w:ascii="Arial" w:hAnsi="Arial"/>
        </w:rPr>
        <w:t>potentiation of</w:t>
      </w:r>
      <w:r w:rsidRPr="0024413F">
        <w:rPr>
          <w:rFonts w:ascii="Arial" w:hAnsi="Arial"/>
        </w:rPr>
        <w:t xml:space="preserve"> cortical bone’s response to maximal osteogenic and sub-threshold mechanical loading regimens in young adult male mice. </w:t>
      </w:r>
      <w:r w:rsidR="00E62536">
        <w:rPr>
          <w:rFonts w:ascii="Arial" w:hAnsi="Arial"/>
        </w:rPr>
        <w:t>T</w:t>
      </w:r>
      <w:r w:rsidR="005632D6">
        <w:rPr>
          <w:rFonts w:ascii="Arial" w:hAnsi="Arial"/>
        </w:rPr>
        <w:t>he</w:t>
      </w:r>
      <w:r w:rsidR="00EA3CFD">
        <w:rPr>
          <w:rFonts w:ascii="Arial" w:hAnsi="Arial"/>
        </w:rPr>
        <w:t xml:space="preserve"> alterations</w:t>
      </w:r>
      <w:r w:rsidR="002839A9">
        <w:rPr>
          <w:rFonts w:ascii="Arial" w:hAnsi="Arial"/>
        </w:rPr>
        <w:t xml:space="preserve"> </w:t>
      </w:r>
      <w:r w:rsidR="00B67161">
        <w:rPr>
          <w:rFonts w:ascii="Arial" w:hAnsi="Arial"/>
        </w:rPr>
        <w:t xml:space="preserve">in circulating serum concentrations </w:t>
      </w:r>
      <w:r w:rsidR="002839A9">
        <w:rPr>
          <w:rFonts w:ascii="Arial" w:hAnsi="Arial"/>
        </w:rPr>
        <w:t xml:space="preserve">of leptin, insulin, GIP and </w:t>
      </w:r>
      <w:r w:rsidRPr="0024413F">
        <w:rPr>
          <w:rFonts w:ascii="Arial" w:hAnsi="Arial"/>
        </w:rPr>
        <w:t xml:space="preserve">GLP1 </w:t>
      </w:r>
      <w:r w:rsidR="005632D6">
        <w:rPr>
          <w:rFonts w:ascii="Arial" w:hAnsi="Arial"/>
        </w:rPr>
        <w:t xml:space="preserve">had different profile </w:t>
      </w:r>
      <w:r w:rsidRPr="0024413F">
        <w:rPr>
          <w:rFonts w:ascii="Arial" w:hAnsi="Arial"/>
        </w:rPr>
        <w:t xml:space="preserve">in fasted 2-hour fed aged mice, which could </w:t>
      </w:r>
      <w:r w:rsidR="00E62536">
        <w:rPr>
          <w:rFonts w:ascii="Arial" w:hAnsi="Arial"/>
        </w:rPr>
        <w:t>explain the attenuated</w:t>
      </w:r>
      <w:r w:rsidRPr="0024413F">
        <w:rPr>
          <w:rFonts w:ascii="Arial" w:hAnsi="Arial"/>
        </w:rPr>
        <w:t xml:space="preserve"> response </w:t>
      </w:r>
      <w:r w:rsidR="00E62536">
        <w:rPr>
          <w:rFonts w:ascii="Arial" w:hAnsi="Arial"/>
        </w:rPr>
        <w:t xml:space="preserve">of bone </w:t>
      </w:r>
      <w:r w:rsidRPr="0024413F">
        <w:rPr>
          <w:rFonts w:ascii="Arial" w:hAnsi="Arial"/>
        </w:rPr>
        <w:t>to mechanical loa</w:t>
      </w:r>
      <w:r w:rsidR="002839A9">
        <w:rPr>
          <w:rFonts w:ascii="Arial" w:hAnsi="Arial"/>
        </w:rPr>
        <w:t xml:space="preserve">ding in aged male mice </w:t>
      </w:r>
      <w:r w:rsidR="002839A9">
        <w:rPr>
          <w:rFonts w:ascii="Arial" w:hAnsi="Arial"/>
        </w:rPr>
        <w:lastRenderedPageBreak/>
        <w:t>(Figures 56, 57, 58 and 59</w:t>
      </w:r>
      <w:r w:rsidRPr="0024413F">
        <w:rPr>
          <w:rFonts w:ascii="Arial" w:hAnsi="Arial"/>
        </w:rPr>
        <w:t xml:space="preserve">). Preprandial ghrelin secretion has a role in meal initiation and participates in the anticipatory processes of food ingestion </w:t>
      </w:r>
      <w:r w:rsidR="00DB040D">
        <w:rPr>
          <w:rFonts w:ascii="Arial" w:hAnsi="Arial"/>
        </w:rPr>
        <w:fldChar w:fldCharType="begin"/>
      </w:r>
      <w:r w:rsidR="00DB040D">
        <w:rPr>
          <w:rFonts w:ascii="Arial" w:hAnsi="Arial"/>
        </w:rPr>
        <w:instrText xml:space="preserve"> ADDIN EN.CITE &lt;EndNote&gt;&lt;Cite&gt;&lt;Author&gt;Drazen&lt;/Author&gt;&lt;Year&gt;2006&lt;/Year&gt;&lt;RecNum&gt;127&lt;/RecNum&gt;&lt;DisplayText&gt;(Drazen et al., 2006)&lt;/DisplayText&gt;&lt;record&gt;&lt;rec-number&gt;127&lt;/rec-number&gt;&lt;foreign-keys&gt;&lt;key app="EN" db-id="ae9rewfrpdttrheppfxxv0p4950wpd25r09x" timestamp="1520657912"&gt;127&lt;/key&gt;&lt;/foreign-keys&gt;&lt;ref-type name="Journal Article"&gt;17&lt;/ref-type&gt;&lt;contributors&gt;&lt;authors&gt;&lt;author&gt;Drazen, D. L.&lt;/author&gt;&lt;author&gt;Vahl, T. P.&lt;/author&gt;&lt;author&gt;D&amp;apos;Alessio, D. A.&lt;/author&gt;&lt;author&gt;Seeley, R. J.&lt;/author&gt;&lt;author&gt;Woods, S. C.&lt;/author&gt;&lt;/authors&gt;&lt;/contributors&gt;&lt;titles&gt;&lt;title&gt;Effects of a fixed meal pattern on ghrelin secretion: Evidence for a learned response independent of nutrient status&lt;/title&gt;&lt;secondary-title&gt;Endocrinology&lt;/secondary-title&gt;&lt;/titles&gt;&lt;periodical&gt;&lt;full-title&gt;Endocrinology&lt;/full-title&gt;&lt;/periodical&gt;&lt;pages&gt;23-30&lt;/pages&gt;&lt;volume&gt;147&lt;/volume&gt;&lt;number&gt;1&lt;/number&gt;&lt;dates&gt;&lt;year&gt;2006&lt;/year&gt;&lt;pub-dates&gt;&lt;date&gt;Jan&lt;/date&gt;&lt;/pub-dates&gt;&lt;/dates&gt;&lt;isbn&gt;0013-7227&lt;/isbn&gt;&lt;accession-num&gt;WOS:000234053500006&lt;/accession-num&gt;&lt;urls&gt;&lt;related-urls&gt;&lt;url&gt;&amp;lt;Go to ISI&amp;gt;://WOS:000234053500006&lt;/url&gt;&lt;/related-urls&gt;&lt;/urls&gt;&lt;electronic-resource-num&gt;10.1210/en.2005-0973&lt;/electronic-resource-num&gt;&lt;/record&gt;&lt;/Cite&gt;&lt;/EndNote&gt;</w:instrText>
      </w:r>
      <w:r w:rsidR="00DB040D">
        <w:rPr>
          <w:rFonts w:ascii="Arial" w:hAnsi="Arial"/>
        </w:rPr>
        <w:fldChar w:fldCharType="separate"/>
      </w:r>
      <w:r w:rsidR="00DB040D">
        <w:rPr>
          <w:rFonts w:ascii="Arial" w:hAnsi="Arial"/>
          <w:noProof/>
        </w:rPr>
        <w:t>(Drazen et al., 2006)</w:t>
      </w:r>
      <w:r w:rsidR="00DB040D">
        <w:rPr>
          <w:rFonts w:ascii="Arial" w:hAnsi="Arial"/>
        </w:rPr>
        <w:fldChar w:fldCharType="end"/>
      </w:r>
      <w:r w:rsidRPr="0024413F">
        <w:rPr>
          <w:rFonts w:ascii="Arial" w:hAnsi="Arial"/>
        </w:rPr>
        <w:t>. Ghrelin concentrations fell 2 hours after the food intake in young mice</w:t>
      </w:r>
      <w:r w:rsidR="00862F17">
        <w:rPr>
          <w:rFonts w:ascii="Arial" w:hAnsi="Arial"/>
        </w:rPr>
        <w:t xml:space="preserve"> (Figure 50)</w:t>
      </w:r>
      <w:r w:rsidRPr="0024413F">
        <w:rPr>
          <w:rFonts w:ascii="Arial" w:hAnsi="Arial"/>
        </w:rPr>
        <w:t>, but remained high in aged animals</w:t>
      </w:r>
      <w:r w:rsidR="00862F17">
        <w:rPr>
          <w:rFonts w:ascii="Arial" w:hAnsi="Arial"/>
        </w:rPr>
        <w:t xml:space="preserve"> (Figure 55)</w:t>
      </w:r>
      <w:r w:rsidRPr="0024413F">
        <w:rPr>
          <w:rFonts w:ascii="Arial" w:hAnsi="Arial"/>
        </w:rPr>
        <w:t xml:space="preserve">. </w:t>
      </w:r>
      <w:r w:rsidR="00A82905">
        <w:rPr>
          <w:rFonts w:ascii="Arial" w:hAnsi="Arial"/>
        </w:rPr>
        <w:t>Independent</w:t>
      </w:r>
      <w:r w:rsidR="00A82905" w:rsidRPr="0024413F">
        <w:rPr>
          <w:rFonts w:ascii="Arial" w:hAnsi="Arial"/>
        </w:rPr>
        <w:t xml:space="preserve"> of food intake</w:t>
      </w:r>
      <w:r w:rsidR="00A82905">
        <w:rPr>
          <w:rFonts w:ascii="Arial" w:hAnsi="Arial"/>
        </w:rPr>
        <w:t>,</w:t>
      </w:r>
      <w:r w:rsidR="00A82905" w:rsidRPr="0024413F">
        <w:rPr>
          <w:rFonts w:ascii="Arial" w:hAnsi="Arial"/>
        </w:rPr>
        <w:t xml:space="preserve"> </w:t>
      </w:r>
      <w:r w:rsidR="00A82905">
        <w:rPr>
          <w:rFonts w:ascii="Arial" w:hAnsi="Arial"/>
        </w:rPr>
        <w:t>g</w:t>
      </w:r>
      <w:r w:rsidRPr="0024413F">
        <w:rPr>
          <w:rFonts w:ascii="Arial" w:hAnsi="Arial"/>
        </w:rPr>
        <w:t xml:space="preserve">hrelin administration in rats was shown to exert anabolic effects on bone increasing BMD </w:t>
      </w:r>
      <w:r w:rsidR="00DB040D">
        <w:rPr>
          <w:rFonts w:ascii="Arial" w:hAnsi="Arial"/>
        </w:rPr>
        <w:fldChar w:fldCharType="begin"/>
      </w:r>
      <w:r w:rsidR="00DB040D">
        <w:rPr>
          <w:rFonts w:ascii="Arial" w:hAnsi="Arial"/>
        </w:rPr>
        <w:instrText xml:space="preserve"> ADDIN EN.CITE &lt;EndNote&gt;&lt;Cite&gt;&lt;Author&gt;Fukushima&lt;/Author&gt;&lt;Year&gt;2005&lt;/Year&gt;&lt;RecNum&gt;152&lt;/RecNum&gt;&lt;DisplayText&gt;(Fukushima et al., 2005)&lt;/DisplayText&gt;&lt;record&gt;&lt;rec-number&gt;152&lt;/rec-number&gt;&lt;foreign-keys&gt;&lt;key app="EN" db-id="ae9rewfrpdttrheppfxxv0p4950wpd25r09x" timestamp="1520657952"&gt;152&lt;/key&gt;&lt;key app="ENWeb" db-id=""&gt;0&lt;/key&gt;&lt;/foreign-keys&gt;&lt;ref-type name="Journal Article"&gt;17&lt;/ref-type&gt;&lt;contributors&gt;&lt;authors&gt;&lt;author&gt;Fukushima, Nobuhiro&lt;/author&gt;&lt;author&gt;Hanada, Reiko&lt;/author&gt;&lt;author&gt;Teranishi, Hitoshi&lt;/author&gt;&lt;author&gt;Fukue, Yoshihiko&lt;/author&gt;&lt;author&gt;Kojima, Masayasu&lt;/author&gt;&lt;author&gt;Nagata, Kensei&lt;/author&gt;&lt;author&gt;Tachibana, Toshiaki&lt;/author&gt;&lt;author&gt;Ishikawa, Hiroshi&lt;/author&gt;&lt;author&gt;Takeda, Shu&lt;/author&gt;&lt;author&gt;Takeuchi, Yasuhiro&lt;/author&gt;&lt;author&gt;Fukumoto, Seiji&lt;/author&gt;&lt;author&gt;Kangawa, Kenji&lt;/author&gt;&lt;/authors&gt;&lt;/contributors&gt;&lt;titles&gt;&lt;title&gt;Ghrelin directly regulates bone formation&lt;/title&gt;&lt;secondary-title&gt;Journal of Bone and Mineral Research&lt;/secondary-title&gt;&lt;/titles&gt;&lt;periodical&gt;&lt;full-title&gt;Journal of Bone and Mineral Research&lt;/full-title&gt;&lt;/periodical&gt;&lt;pages&gt;790-798&lt;/pages&gt;&lt;volume&gt;20&lt;/volume&gt;&lt;number&gt;5&lt;/number&gt;&lt;keywords&gt;&lt;keyword&gt;Bmd&lt;/keyword&gt;&lt;keyword&gt;Differentiation&lt;/keyword&gt;&lt;keyword&gt;Ghrelin&lt;/keyword&gt;&lt;keyword&gt;Growth Hormone Secretagogue Receptor 1a&lt;/keyword&gt;&lt;keyword&gt;Osteoblast&lt;/keyword&gt;&lt;/keywords&gt;&lt;dates&gt;&lt;year&gt;2005&lt;/year&gt;&lt;/dates&gt;&lt;isbn&gt;08840431&lt;/isbn&gt;&lt;urls&gt;&lt;/urls&gt;&lt;electronic-resource-num&gt;10.1359/JBMR.041237&lt;/electronic-resource-num&gt;&lt;/record&gt;&lt;/Cite&gt;&lt;/EndNote&gt;</w:instrText>
      </w:r>
      <w:r w:rsidR="00DB040D">
        <w:rPr>
          <w:rFonts w:ascii="Arial" w:hAnsi="Arial"/>
        </w:rPr>
        <w:fldChar w:fldCharType="separate"/>
      </w:r>
      <w:r w:rsidR="00DB040D">
        <w:rPr>
          <w:rFonts w:ascii="Arial" w:hAnsi="Arial"/>
          <w:noProof/>
        </w:rPr>
        <w:t>(Fukushima et al., 2005)</w:t>
      </w:r>
      <w:r w:rsidR="00DB040D">
        <w:rPr>
          <w:rFonts w:ascii="Arial" w:hAnsi="Arial"/>
        </w:rPr>
        <w:fldChar w:fldCharType="end"/>
      </w:r>
      <w:r w:rsidR="00862F17">
        <w:rPr>
          <w:rFonts w:ascii="Arial" w:hAnsi="Arial"/>
        </w:rPr>
        <w:t xml:space="preserve"> </w:t>
      </w:r>
      <w:r w:rsidR="003F6985">
        <w:rPr>
          <w:rFonts w:ascii="Arial" w:hAnsi="Arial"/>
        </w:rPr>
        <w:t>and did not critically affect</w:t>
      </w:r>
      <w:r w:rsidRPr="0024413F">
        <w:rPr>
          <w:rFonts w:ascii="Arial" w:hAnsi="Arial"/>
        </w:rPr>
        <w:t xml:space="preserve"> bone density in ghrelin knockout mice </w:t>
      </w:r>
      <w:r w:rsidR="00DB040D">
        <w:rPr>
          <w:rFonts w:ascii="Arial" w:hAnsi="Arial"/>
        </w:rPr>
        <w:fldChar w:fldCharType="begin"/>
      </w:r>
      <w:r w:rsidR="00DB040D">
        <w:rPr>
          <w:rFonts w:ascii="Arial" w:hAnsi="Arial"/>
        </w:rPr>
        <w:instrText xml:space="preserve"> ADDIN EN.CITE &lt;EndNote&gt;&lt;Cite&gt;&lt;Author&gt;Sun&lt;/Author&gt;&lt;Year&gt;2003&lt;/Year&gt;&lt;RecNum&gt;651&lt;/RecNum&gt;&lt;DisplayText&gt;(Sun et al., 2003)&lt;/DisplayText&gt;&lt;record&gt;&lt;rec-number&gt;651&lt;/rec-number&gt;&lt;foreign-keys&gt;&lt;key app="EN" db-id="ae9rewfrpdttrheppfxxv0p4950wpd25r09x" timestamp="1521253145"&gt;651&lt;/key&gt;&lt;/foreign-keys&gt;&lt;ref-type name="Journal Article"&gt;17&lt;/ref-type&gt;&lt;contributors&gt;&lt;authors&gt;&lt;author&gt;Sun, Y.&lt;/author&gt;&lt;author&gt;Ahmed, S.&lt;/author&gt;&lt;author&gt;Smith, R.&lt;/author&gt;&lt;/authors&gt;&lt;secondary-authors&gt;&lt;author&gt;Smith, R.&lt;/author&gt;&lt;/secondary-authors&gt;&lt;/contributors&gt;&lt;titles&gt;&lt;title&gt;Deletion of Ghrelin Impairs neither Growth nor Appetite&lt;/title&gt;&lt;secondary-title&gt;Molecular and Cellular Biology&lt;/secondary-title&gt;&lt;/titles&gt;&lt;periodical&gt;&lt;full-title&gt;Molecular and Cellular Biology&lt;/full-title&gt;&lt;/periodical&gt;&lt;pages&gt;7973-7981&lt;/pages&gt;&lt;volume&gt;23&lt;/volume&gt;&lt;number&gt;22&lt;/number&gt;&lt;keywords&gt;&lt;keyword&gt;Animal Models&lt;/keyword&gt;&lt;keyword&gt;Ghrelin&lt;/keyword&gt;&lt;keyword&gt;Mice&lt;/keyword&gt;&lt;/keywords&gt;&lt;dates&gt;&lt;year&gt;2003&lt;/year&gt;&lt;/dates&gt;&lt;isbn&gt;0270-7306&lt;/isbn&gt;&lt;urls&gt;&lt;/urls&gt;&lt;electronic-resource-num&gt;10.1128/MCB.23.22.7973-7981.2003&lt;/electronic-resource-num&gt;&lt;/record&gt;&lt;/Cite&gt;&lt;/EndNote&gt;</w:instrText>
      </w:r>
      <w:r w:rsidR="00DB040D">
        <w:rPr>
          <w:rFonts w:ascii="Arial" w:hAnsi="Arial"/>
        </w:rPr>
        <w:fldChar w:fldCharType="separate"/>
      </w:r>
      <w:r w:rsidR="00DB040D">
        <w:rPr>
          <w:rFonts w:ascii="Arial" w:hAnsi="Arial"/>
          <w:noProof/>
        </w:rPr>
        <w:t>(Sun et al., 2003)</w:t>
      </w:r>
      <w:r w:rsidR="00DB040D">
        <w:rPr>
          <w:rFonts w:ascii="Arial" w:hAnsi="Arial"/>
        </w:rPr>
        <w:fldChar w:fldCharType="end"/>
      </w:r>
      <w:r w:rsidRPr="0024413F">
        <w:rPr>
          <w:rFonts w:ascii="Arial" w:hAnsi="Arial"/>
        </w:rPr>
        <w:t>. The rhythmicity of ghrelin sec</w:t>
      </w:r>
      <w:r w:rsidR="003F6985">
        <w:rPr>
          <w:rFonts w:ascii="Arial" w:hAnsi="Arial"/>
        </w:rPr>
        <w:t>retion suggested that ghrelin i</w:t>
      </w:r>
      <w:r w:rsidRPr="0024413F">
        <w:rPr>
          <w:rFonts w:ascii="Arial" w:hAnsi="Arial"/>
        </w:rPr>
        <w:t xml:space="preserve">s unlikely to be an acute mediator of bone’s potentiated response to </w:t>
      </w:r>
      <w:r w:rsidR="003F6985">
        <w:rPr>
          <w:rFonts w:ascii="Arial" w:hAnsi="Arial"/>
        </w:rPr>
        <w:t xml:space="preserve">mechanical </w:t>
      </w:r>
      <w:r w:rsidRPr="0024413F">
        <w:rPr>
          <w:rFonts w:ascii="Arial" w:hAnsi="Arial"/>
        </w:rPr>
        <w:t xml:space="preserve">loading observed in fasted 2-hour fed young male mice. </w:t>
      </w:r>
    </w:p>
    <w:p w14:paraId="3D266AC4" w14:textId="77777777" w:rsidR="005C0E94" w:rsidRPr="00DE63D5" w:rsidRDefault="005C0E94" w:rsidP="00277A87">
      <w:pPr>
        <w:tabs>
          <w:tab w:val="left" w:pos="5670"/>
        </w:tabs>
        <w:spacing w:line="480" w:lineRule="auto"/>
        <w:jc w:val="both"/>
        <w:rPr>
          <w:rFonts w:ascii="Arial" w:hAnsi="Arial"/>
        </w:rPr>
      </w:pPr>
    </w:p>
    <w:p w14:paraId="05DAA76A" w14:textId="77777777" w:rsidR="00745159" w:rsidRDefault="00745159" w:rsidP="00277A87">
      <w:pPr>
        <w:tabs>
          <w:tab w:val="left" w:pos="5670"/>
        </w:tabs>
        <w:spacing w:line="480" w:lineRule="auto"/>
        <w:jc w:val="both"/>
        <w:rPr>
          <w:rFonts w:ascii="Arial" w:hAnsi="Arial"/>
          <w:bCs/>
        </w:rPr>
      </w:pPr>
      <w:r>
        <w:rPr>
          <w:rFonts w:ascii="Arial" w:hAnsi="Arial"/>
        </w:rPr>
        <w:t>Measurement of the serum cortisol concentrations</w:t>
      </w:r>
      <w:r w:rsidRPr="0024413F">
        <w:rPr>
          <w:rFonts w:ascii="Arial" w:hAnsi="Arial"/>
        </w:rPr>
        <w:t xml:space="preserve"> </w:t>
      </w:r>
      <w:r w:rsidR="00623EBC">
        <w:rPr>
          <w:rFonts w:ascii="Arial" w:hAnsi="Arial"/>
        </w:rPr>
        <w:t xml:space="preserve">previously </w:t>
      </w:r>
      <w:r w:rsidRPr="0024413F">
        <w:rPr>
          <w:rFonts w:ascii="Arial" w:hAnsi="Arial"/>
        </w:rPr>
        <w:t xml:space="preserve">at three time points </w:t>
      </w:r>
      <w:r w:rsidR="00331A8B">
        <w:rPr>
          <w:rFonts w:ascii="Arial" w:hAnsi="Arial"/>
        </w:rPr>
        <w:t>(</w:t>
      </w:r>
      <w:r w:rsidRPr="0024413F">
        <w:rPr>
          <w:rFonts w:ascii="Arial" w:hAnsi="Arial"/>
        </w:rPr>
        <w:t>using solid</w:t>
      </w:r>
      <w:r w:rsidR="00550D55">
        <w:rPr>
          <w:rFonts w:ascii="Arial" w:hAnsi="Arial"/>
        </w:rPr>
        <w:t xml:space="preserve"> phase competitive ELISA assay</w:t>
      </w:r>
      <w:r w:rsidR="00331A8B">
        <w:rPr>
          <w:rFonts w:ascii="Arial" w:hAnsi="Arial"/>
        </w:rPr>
        <w:t>)</w:t>
      </w:r>
      <w:r w:rsidR="00550D55">
        <w:rPr>
          <w:rFonts w:ascii="Arial" w:hAnsi="Arial"/>
        </w:rPr>
        <w:t xml:space="preserve"> revealed </w:t>
      </w:r>
      <w:r w:rsidRPr="0024413F">
        <w:rPr>
          <w:rFonts w:ascii="Arial" w:hAnsi="Arial"/>
        </w:rPr>
        <w:t>that re</w:t>
      </w:r>
      <w:r w:rsidR="00550D55">
        <w:rPr>
          <w:rFonts w:ascii="Arial" w:hAnsi="Arial"/>
        </w:rPr>
        <w:t>peated blood sampling</w:t>
      </w:r>
      <w:r w:rsidRPr="0024413F">
        <w:rPr>
          <w:rFonts w:ascii="Arial" w:hAnsi="Arial"/>
        </w:rPr>
        <w:t xml:space="preserve"> by </w:t>
      </w:r>
      <w:r w:rsidR="00331A8B">
        <w:rPr>
          <w:rFonts w:ascii="Arial" w:hAnsi="Arial"/>
        </w:rPr>
        <w:t xml:space="preserve">the </w:t>
      </w:r>
      <w:r w:rsidRPr="0024413F">
        <w:rPr>
          <w:rFonts w:ascii="Arial" w:hAnsi="Arial"/>
        </w:rPr>
        <w:t xml:space="preserve">tail incision method </w:t>
      </w:r>
      <w:r w:rsidR="00331A8B">
        <w:rPr>
          <w:rFonts w:ascii="Arial" w:hAnsi="Arial"/>
        </w:rPr>
        <w:t xml:space="preserve">over a period of 3 hours </w:t>
      </w:r>
      <w:r w:rsidRPr="0024413F">
        <w:rPr>
          <w:rFonts w:ascii="Arial" w:hAnsi="Arial"/>
        </w:rPr>
        <w:t xml:space="preserve">was not a stressful procedure in young and aged mice and, therefore, </w:t>
      </w:r>
      <w:r w:rsidR="00331A8B">
        <w:rPr>
          <w:rFonts w:ascii="Arial" w:hAnsi="Arial"/>
        </w:rPr>
        <w:t xml:space="preserve">that stress responses to blood collection are unlikely to have </w:t>
      </w:r>
      <w:r w:rsidRPr="0024413F">
        <w:rPr>
          <w:rFonts w:ascii="Arial" w:hAnsi="Arial"/>
        </w:rPr>
        <w:t>interfered with the interpr</w:t>
      </w:r>
      <w:r w:rsidR="00550D55">
        <w:rPr>
          <w:rFonts w:ascii="Arial" w:hAnsi="Arial"/>
        </w:rPr>
        <w:t xml:space="preserve">etation of the results (Figure </w:t>
      </w:r>
      <w:r w:rsidR="00CF65FD">
        <w:rPr>
          <w:rFonts w:ascii="Arial" w:hAnsi="Arial"/>
        </w:rPr>
        <w:t>60</w:t>
      </w:r>
      <w:r w:rsidRPr="0024413F">
        <w:rPr>
          <w:rFonts w:ascii="Arial" w:hAnsi="Arial"/>
        </w:rPr>
        <w:t xml:space="preserve">). Previous studies have suggested that endogenous </w:t>
      </w:r>
      <w:r w:rsidRPr="0024413F">
        <w:rPr>
          <w:rFonts w:ascii="Arial" w:hAnsi="Arial"/>
          <w:bCs/>
        </w:rPr>
        <w:t xml:space="preserve">serum glucocorticoids were elevated in aged animals and associated with bone loss </w:t>
      </w:r>
      <w:r w:rsidR="00DB040D">
        <w:rPr>
          <w:rFonts w:ascii="Arial" w:hAnsi="Arial"/>
          <w:bCs/>
        </w:rPr>
        <w:fldChar w:fldCharType="begin"/>
      </w:r>
      <w:r w:rsidR="00B97465">
        <w:rPr>
          <w:rFonts w:ascii="Arial" w:hAnsi="Arial"/>
          <w:bCs/>
        </w:rPr>
        <w:instrText xml:space="preserve"> ADDIN EN.CITE &lt;EndNote&gt;&lt;Cite&gt;&lt;Author&gt;Almeida&lt;/Author&gt;&lt;Year&gt;2013&lt;/Year&gt;&lt;RecNum&gt;563&lt;/RecNum&gt;&lt;DisplayText&gt;(Almeida and O’Brien, 2013, Komori, 2016)&lt;/DisplayText&gt;&lt;record&gt;&lt;rec-number&gt;563&lt;/rec-number&gt;&lt;foreign-keys&gt;&lt;key app="EN" db-id="ae9rewfrpdttrheppfxxv0p4950wpd25r09x" timestamp="1521055476"&gt;563&lt;/key&gt;&lt;/foreign-keys&gt;&lt;ref-type name="Journal Article"&gt;17&lt;/ref-type&gt;&lt;contributors&gt;&lt;authors&gt;&lt;author&gt;Almeida, Maria&lt;/author&gt;&lt;author&gt;O’Brien, Charles A.&lt;/author&gt;&lt;/authors&gt;&lt;/contributors&gt;&lt;titles&gt;&lt;title&gt;Basic Biology of Skeletal Aging: Role of Stress Response Pathways&lt;/title&gt;&lt;secondary-title&gt;The Journals of Gerontology. Series A, Biological Sciences and Medical Sciences&lt;/secondary-title&gt;&lt;/titles&gt;&lt;periodical&gt;&lt;full-title&gt;The Journals of Gerontology. Series A, Biological Sciences and Medical Sciences&lt;/full-title&gt;&lt;/periodical&gt;&lt;pages&gt;1197-1208&lt;/pages&gt;&lt;volume&gt;68&lt;/volume&gt;&lt;keywords&gt;&lt;keyword&gt;Autophagy&lt;/keyword&gt;&lt;keyword&gt;Bone&lt;/keyword&gt;&lt;keyword&gt;Mesenchymal Stem Cells&lt;/keyword&gt;&lt;keyword&gt;Osteocytes&lt;/keyword&gt;&lt;keyword&gt;Oxidative Stress.&lt;/keyword&gt;&lt;/keywords&gt;&lt;dates&gt;&lt;year&gt;2013&lt;/year&gt;&lt;/dates&gt;&lt;isbn&gt;1079-5006&lt;/isbn&gt;&lt;urls&gt;&lt;/urls&gt;&lt;electronic-resource-num&gt;10.1093/gerona/glt079&lt;/electronic-resource-num&gt;&lt;/record&gt;&lt;/Cite&gt;&lt;Cite&gt;&lt;Author&gt;Komori&lt;/Author&gt;&lt;Year&gt;2016&lt;/Year&gt;&lt;RecNum&gt;553&lt;/RecNum&gt;&lt;record&gt;&lt;rec-number&gt;553&lt;/rec-number&gt;&lt;foreign-keys&gt;&lt;key app="EN" db-id="ae9rewfrpdttrheppfxxv0p4950wpd25r09x" timestamp="1520987772"&gt;553&lt;/key&gt;&lt;/foreign-keys&gt;&lt;ref-type name="Journal Article"&gt;17&lt;/ref-type&gt;&lt;contributors&gt;&lt;authors&gt;&lt;author&gt;Komori, T.&lt;/author&gt;&lt;/authors&gt;&lt;/contributors&gt;&lt;titles&gt;&lt;title&gt;Glucocorticoid Signaling and Bone Biology&lt;/title&gt;&lt;secondary-title&gt;Hormone and metabolic research.&lt;/secondary-title&gt;&lt;/titles&gt;&lt;periodical&gt;&lt;full-title&gt;Hormone and metabolic research.&lt;/full-title&gt;&lt;/periodical&gt;&lt;pages&gt;755-763&lt;/pages&gt;&lt;volume&gt;48&lt;/volume&gt;&lt;number&gt;11&lt;/number&gt;&lt;dates&gt;&lt;year&gt;2016&lt;/year&gt;&lt;/dates&gt;&lt;isbn&gt;0018-5043&lt;/isbn&gt;&lt;urls&gt;&lt;/urls&gt;&lt;electronic-resource-num&gt;10.1055/s-0042-110571&amp;#xD;info:doi/10.1055/s-0042-110571&lt;/electronic-resource-num&gt;&lt;/record&gt;&lt;/Cite&gt;&lt;/EndNote&gt;</w:instrText>
      </w:r>
      <w:r w:rsidR="00DB040D">
        <w:rPr>
          <w:rFonts w:ascii="Arial" w:hAnsi="Arial"/>
          <w:bCs/>
        </w:rPr>
        <w:fldChar w:fldCharType="separate"/>
      </w:r>
      <w:r w:rsidR="00DB040D">
        <w:rPr>
          <w:rFonts w:ascii="Arial" w:hAnsi="Arial"/>
          <w:bCs/>
          <w:noProof/>
        </w:rPr>
        <w:t>(Almeida and O’Brien, 2013, Komori, 2016)</w:t>
      </w:r>
      <w:r w:rsidR="00DB040D">
        <w:rPr>
          <w:rFonts w:ascii="Arial" w:hAnsi="Arial"/>
          <w:bCs/>
        </w:rPr>
        <w:fldChar w:fldCharType="end"/>
      </w:r>
      <w:r w:rsidR="00CF65FD">
        <w:rPr>
          <w:rFonts w:ascii="Arial" w:hAnsi="Arial"/>
          <w:bCs/>
        </w:rPr>
        <w:t xml:space="preserve">. </w:t>
      </w:r>
      <w:r w:rsidRPr="0024413F">
        <w:rPr>
          <w:rFonts w:ascii="Arial" w:hAnsi="Arial"/>
          <w:bCs/>
        </w:rPr>
        <w:t xml:space="preserve">However, </w:t>
      </w:r>
      <w:r w:rsidR="00331A8B">
        <w:rPr>
          <w:rFonts w:ascii="Arial" w:hAnsi="Arial"/>
          <w:bCs/>
        </w:rPr>
        <w:t>in our studies</w:t>
      </w:r>
      <w:r w:rsidR="001341AF">
        <w:rPr>
          <w:rFonts w:ascii="Arial" w:hAnsi="Arial"/>
          <w:bCs/>
        </w:rPr>
        <w:t>, cortisol concentrations were lower, or similar, in aged mice compared with young adult mice. Phenotypic inconsistencies have been</w:t>
      </w:r>
      <w:r w:rsidRPr="0024413F">
        <w:rPr>
          <w:rFonts w:ascii="Arial" w:hAnsi="Arial"/>
          <w:bCs/>
        </w:rPr>
        <w:t xml:space="preserve"> reported among the rodent models of glucocorticoid-induced osteoporosis </w:t>
      </w:r>
      <w:r w:rsidR="00DB040D">
        <w:rPr>
          <w:rFonts w:ascii="Arial" w:hAnsi="Arial"/>
          <w:bCs/>
        </w:rPr>
        <w:fldChar w:fldCharType="begin">
          <w:fldData xml:space="preserve">PEVuZE5vdGU+PENpdGU+PEF1dGhvcj5Lb21vcmk8L0F1dGhvcj48WWVhcj4yMDE1PC9ZZWFyPjxS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</w:fldData>
        </w:fldChar>
      </w:r>
      <w:r w:rsidR="00651EFF">
        <w:rPr>
          <w:rFonts w:ascii="Arial" w:hAnsi="Arial"/>
          <w:bCs/>
        </w:rPr>
        <w:instrText xml:space="preserve"> ADDIN EN.CITE </w:instrText>
      </w:r>
      <w:r w:rsidR="00651EFF">
        <w:rPr>
          <w:rFonts w:ascii="Arial" w:hAnsi="Arial"/>
          <w:bCs/>
        </w:rPr>
        <w:fldChar w:fldCharType="begin">
          <w:fldData xml:space="preserve">PEVuZE5vdGU+PENpdGU+PEF1dGhvcj5Lb21vcmk8L0F1dGhvcj48WWVhcj4yMDE1PC9ZZWFyPjxS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</w:fldData>
        </w:fldChar>
      </w:r>
      <w:r w:rsidR="00651EFF">
        <w:rPr>
          <w:rFonts w:ascii="Arial" w:hAnsi="Arial"/>
          <w:bCs/>
        </w:rPr>
        <w:instrText xml:space="preserve"> ADDIN EN.CITE.DATA </w:instrText>
      </w:r>
      <w:r w:rsidR="00651EFF">
        <w:rPr>
          <w:rFonts w:ascii="Arial" w:hAnsi="Arial"/>
          <w:bCs/>
        </w:rPr>
      </w:r>
      <w:r w:rsidR="00651EFF">
        <w:rPr>
          <w:rFonts w:ascii="Arial" w:hAnsi="Arial"/>
          <w:bCs/>
        </w:rPr>
        <w:fldChar w:fldCharType="end"/>
      </w:r>
      <w:r w:rsidR="00DB040D">
        <w:rPr>
          <w:rFonts w:ascii="Arial" w:hAnsi="Arial"/>
          <w:bCs/>
        </w:rPr>
      </w:r>
      <w:r w:rsidR="00DB040D">
        <w:rPr>
          <w:rFonts w:ascii="Arial" w:hAnsi="Arial"/>
          <w:bCs/>
        </w:rPr>
        <w:fldChar w:fldCharType="separate"/>
      </w:r>
      <w:r w:rsidR="00DB040D">
        <w:rPr>
          <w:rFonts w:ascii="Arial" w:hAnsi="Arial"/>
          <w:bCs/>
          <w:noProof/>
        </w:rPr>
        <w:t>(Komori, 2015, Ersek et al., 2016)</w:t>
      </w:r>
      <w:r w:rsidR="00DB040D">
        <w:rPr>
          <w:rFonts w:ascii="Arial" w:hAnsi="Arial"/>
          <w:bCs/>
        </w:rPr>
        <w:fldChar w:fldCharType="end"/>
      </w:r>
      <w:r w:rsidRPr="0024413F">
        <w:rPr>
          <w:rFonts w:ascii="Arial" w:hAnsi="Arial"/>
          <w:bCs/>
        </w:rPr>
        <w:t>.</w:t>
      </w:r>
    </w:p>
    <w:p w14:paraId="3055488D" w14:textId="77777777" w:rsidR="002D1863" w:rsidRDefault="002D1863" w:rsidP="00277A87">
      <w:pPr>
        <w:tabs>
          <w:tab w:val="left" w:pos="5670"/>
        </w:tabs>
        <w:spacing w:line="480" w:lineRule="auto"/>
        <w:jc w:val="both"/>
        <w:rPr>
          <w:rFonts w:ascii="Arial" w:hAnsi="Arial"/>
          <w:bCs/>
        </w:rPr>
      </w:pPr>
    </w:p>
    <w:p w14:paraId="52CD2828" w14:textId="77777777" w:rsidR="00745159" w:rsidRPr="00EF69B4" w:rsidRDefault="002D1863" w:rsidP="00277A87">
      <w:pPr>
        <w:tabs>
          <w:tab w:val="left" w:pos="5670"/>
        </w:tabs>
        <w:spacing w:line="480" w:lineRule="auto"/>
        <w:jc w:val="both"/>
        <w:rPr>
          <w:rFonts w:ascii="Arial" w:hAnsi="Arial"/>
          <w:bCs/>
        </w:rPr>
      </w:pPr>
      <w:r>
        <w:rPr>
          <w:rFonts w:ascii="Arial" w:hAnsi="Arial"/>
          <w:bCs/>
        </w:rPr>
        <w:t xml:space="preserve">Given that, in addition to its structural role, </w:t>
      </w:r>
      <w:r w:rsidR="00EF69B4">
        <w:rPr>
          <w:rFonts w:ascii="Arial" w:hAnsi="Arial"/>
          <w:bCs/>
        </w:rPr>
        <w:t>bone is an important nutrient reserve for the body, it is unsurprising that food intake drives</w:t>
      </w:r>
      <w:r w:rsidR="00156405" w:rsidRPr="0024413F">
        <w:rPr>
          <w:rFonts w:ascii="Arial" w:hAnsi="Arial"/>
        </w:rPr>
        <w:t xml:space="preserve"> circad</w:t>
      </w:r>
      <w:r w:rsidR="00EF69B4">
        <w:rPr>
          <w:rFonts w:ascii="Arial" w:hAnsi="Arial"/>
        </w:rPr>
        <w:t>ian variations in bone turnover</w:t>
      </w:r>
      <w:r w:rsidR="00156405" w:rsidRPr="0024413F">
        <w:rPr>
          <w:rFonts w:ascii="Arial" w:hAnsi="Arial"/>
        </w:rPr>
        <w:t xml:space="preserve"> and</w:t>
      </w:r>
      <w:r w:rsidR="00EF69B4">
        <w:rPr>
          <w:rFonts w:ascii="Arial" w:hAnsi="Arial"/>
        </w:rPr>
        <w:t>, in particular, that</w:t>
      </w:r>
      <w:r w:rsidR="00156405" w:rsidRPr="0024413F">
        <w:rPr>
          <w:rFonts w:ascii="Arial" w:hAnsi="Arial"/>
        </w:rPr>
        <w:t xml:space="preserve"> biochemical markers of bone resorption decrease with feeding </w:t>
      </w:r>
      <w:r w:rsidR="00DB040D">
        <w:rPr>
          <w:rFonts w:ascii="Arial" w:hAnsi="Arial"/>
        </w:rPr>
        <w:fldChar w:fldCharType="begin"/>
      </w:r>
      <w:r w:rsidR="00DB040D">
        <w:rPr>
          <w:rFonts w:ascii="Arial" w:hAnsi="Arial"/>
        </w:rPr>
        <w:instrText xml:space="preserve"> ADDIN EN.CITE &lt;EndNote&gt;&lt;Cite&gt;&lt;Author&gt;Wichers&lt;/Author&gt;&lt;Year&gt;1999&lt;/Year&gt;&lt;RecNum&gt;653&lt;/RecNum&gt;&lt;DisplayText&gt;(Wichers et al., 1999)&lt;/DisplayText&gt;&lt;record&gt;&lt;rec-number&gt;653&lt;/rec-number&gt;&lt;foreign-keys&gt;&lt;key app="EN" db-id="ae9rewfrpdttrheppfxxv0p4950wpd25r09x" timestamp="1521253989"&gt;653&lt;/key&gt;&lt;/foreign-keys&gt;&lt;ref-type name="Journal Article"&gt;17&lt;/ref-type&gt;&lt;contributors&gt;&lt;authors&gt;&lt;author&gt;Wichers, Maria&lt;/author&gt;&lt;author&gt;Schmidt, Elke&lt;/author&gt;&lt;author&gt;Bidlingmaier, Frank&lt;/author&gt;&lt;author&gt;Klingmüller, Dietrich&lt;/author&gt;&lt;/authors&gt;&lt;/contributors&gt;&lt;titles&gt;&lt;title&gt;Diurnal rhythm of crosslaps in human serum&lt;/title&gt;&lt;secondary-title&gt;Clinical Chemistry&lt;/secondary-title&gt;&lt;/titles&gt;&lt;periodical&gt;&lt;full-title&gt;Clinical Chemistry&lt;/full-title&gt;&lt;/periodical&gt;&lt;pages&gt;1858-1860&lt;/pages&gt;&lt;volume&gt;45&lt;/volume&gt;&lt;number&gt;10&lt;/number&gt;&lt;keywords&gt;&lt;keyword&gt;Medicine&lt;/keyword&gt;&lt;/keywords&gt;&lt;dates&gt;&lt;year&gt;1999&lt;/year&gt;&lt;/dates&gt;&lt;isbn&gt;00099147&lt;/isbn&gt;&lt;urls&gt;&lt;/urls&gt;&lt;/record&gt;&lt;/Cite&gt;&lt;/EndNote&gt;</w:instrText>
      </w:r>
      <w:r w:rsidR="00DB040D">
        <w:rPr>
          <w:rFonts w:ascii="Arial" w:hAnsi="Arial"/>
        </w:rPr>
        <w:fldChar w:fldCharType="separate"/>
      </w:r>
      <w:r w:rsidR="00DB040D">
        <w:rPr>
          <w:rFonts w:ascii="Arial" w:hAnsi="Arial"/>
          <w:noProof/>
        </w:rPr>
        <w:t>(Wichers et al., 1999)</w:t>
      </w:r>
      <w:r w:rsidR="00DB040D">
        <w:rPr>
          <w:rFonts w:ascii="Arial" w:hAnsi="Arial"/>
        </w:rPr>
        <w:fldChar w:fldCharType="end"/>
      </w:r>
      <w:r w:rsidR="003249A4">
        <w:rPr>
          <w:rFonts w:ascii="Arial" w:hAnsi="Arial"/>
        </w:rPr>
        <w:t>. However, the r</w:t>
      </w:r>
      <w:r w:rsidR="00156405" w:rsidRPr="0024413F">
        <w:rPr>
          <w:rFonts w:ascii="Arial" w:hAnsi="Arial"/>
        </w:rPr>
        <w:t xml:space="preserve">epeated small volume of blood samples </w:t>
      </w:r>
      <w:r w:rsidR="003249A4">
        <w:rPr>
          <w:rFonts w:ascii="Arial" w:hAnsi="Arial"/>
        </w:rPr>
        <w:t xml:space="preserve">that </w:t>
      </w:r>
      <w:r w:rsidR="00156405" w:rsidRPr="0024413F">
        <w:rPr>
          <w:rFonts w:ascii="Arial" w:hAnsi="Arial"/>
        </w:rPr>
        <w:t xml:space="preserve">we obtained from the lateral mouse-tail veins did not provide sufficient sera to perform range of biomarker </w:t>
      </w:r>
      <w:r w:rsidR="00156405" w:rsidRPr="0024413F">
        <w:rPr>
          <w:rFonts w:ascii="Arial" w:hAnsi="Arial"/>
        </w:rPr>
        <w:lastRenderedPageBreak/>
        <w:t>tests</w:t>
      </w:r>
      <w:r w:rsidR="003249A4">
        <w:rPr>
          <w:rFonts w:ascii="Arial" w:hAnsi="Arial"/>
        </w:rPr>
        <w:t xml:space="preserve"> of bone turnover</w:t>
      </w:r>
      <w:r w:rsidR="00156405" w:rsidRPr="0024413F">
        <w:rPr>
          <w:rFonts w:ascii="Arial" w:hAnsi="Arial"/>
        </w:rPr>
        <w:t xml:space="preserve">. Additionally, the effect of non-invasive axial loading on a single tibia is unlikely to generate detectable changes in </w:t>
      </w:r>
      <w:r w:rsidR="00CC1E13">
        <w:rPr>
          <w:rFonts w:ascii="Arial" w:hAnsi="Arial"/>
        </w:rPr>
        <w:t xml:space="preserve">circulating concentrations of </w:t>
      </w:r>
      <w:r w:rsidR="00156405" w:rsidRPr="0024413F">
        <w:rPr>
          <w:rFonts w:ascii="Arial" w:hAnsi="Arial"/>
        </w:rPr>
        <w:t xml:space="preserve">biomarkers of bone turnover that </w:t>
      </w:r>
      <w:r w:rsidR="00CC1E13">
        <w:rPr>
          <w:rFonts w:ascii="Arial" w:hAnsi="Arial"/>
        </w:rPr>
        <w:t xml:space="preserve">are a </w:t>
      </w:r>
      <w:r w:rsidR="00156405" w:rsidRPr="0024413F">
        <w:rPr>
          <w:rFonts w:ascii="Arial" w:hAnsi="Arial"/>
        </w:rPr>
        <w:t>reflect</w:t>
      </w:r>
      <w:r w:rsidR="00CC1E13">
        <w:rPr>
          <w:rFonts w:ascii="Arial" w:hAnsi="Arial"/>
        </w:rPr>
        <w:t>ion of</w:t>
      </w:r>
      <w:r w:rsidR="00156405" w:rsidRPr="0024413F">
        <w:rPr>
          <w:rFonts w:ascii="Arial" w:hAnsi="Arial"/>
        </w:rPr>
        <w:t xml:space="preserve"> activity of the entire skeleton</w:t>
      </w:r>
      <w:r w:rsidR="00B32AAB">
        <w:rPr>
          <w:rFonts w:ascii="Arial" w:hAnsi="Arial"/>
        </w:rPr>
        <w:t xml:space="preserve"> </w:t>
      </w:r>
      <w:r w:rsidR="00B32AAB">
        <w:rPr>
          <w:rFonts w:ascii="Arial" w:hAnsi="Arial"/>
        </w:rPr>
        <w:fldChar w:fldCharType="begin">
          <w:fldData xml:space="preserve">PEVuZE5vdGU+PENpdGU+PEF1dGhvcj5Ta2Vycnk8L0F1dGhvcj48WWVhcj4yMDA5PC9ZZWFyPjxS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</w:fldData>
        </w:fldChar>
      </w:r>
      <w:r w:rsidR="00B32AAB">
        <w:rPr>
          <w:rFonts w:ascii="Arial" w:hAnsi="Arial"/>
        </w:rPr>
        <w:instrText xml:space="preserve"> ADDIN EN.CITE </w:instrText>
      </w:r>
      <w:r w:rsidR="00B32AAB">
        <w:rPr>
          <w:rFonts w:ascii="Arial" w:hAnsi="Arial"/>
        </w:rPr>
        <w:fldChar w:fldCharType="begin">
          <w:fldData xml:space="preserve">PEVuZE5vdGU+PENpdGU+PEF1dGhvcj5Ta2Vycnk8L0F1dGhvcj48WWVhcj4yMDA5PC9ZZWFyPjxS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</w:fldData>
        </w:fldChar>
      </w:r>
      <w:r w:rsidR="00B32AAB">
        <w:rPr>
          <w:rFonts w:ascii="Arial" w:hAnsi="Arial"/>
        </w:rPr>
        <w:instrText xml:space="preserve"> ADDIN EN.CITE.DATA </w:instrText>
      </w:r>
      <w:r w:rsidR="00B32AAB">
        <w:rPr>
          <w:rFonts w:ascii="Arial" w:hAnsi="Arial"/>
        </w:rPr>
      </w:r>
      <w:r w:rsidR="00B32AAB">
        <w:rPr>
          <w:rFonts w:ascii="Arial" w:hAnsi="Arial"/>
        </w:rPr>
        <w:fldChar w:fldCharType="end"/>
      </w:r>
      <w:r w:rsidR="00B32AAB">
        <w:rPr>
          <w:rFonts w:ascii="Arial" w:hAnsi="Arial"/>
        </w:rPr>
      </w:r>
      <w:r w:rsidR="00B32AAB">
        <w:rPr>
          <w:rFonts w:ascii="Arial" w:hAnsi="Arial"/>
        </w:rPr>
        <w:fldChar w:fldCharType="separate"/>
      </w:r>
      <w:r w:rsidR="00B32AAB">
        <w:rPr>
          <w:rFonts w:ascii="Arial" w:hAnsi="Arial"/>
          <w:noProof/>
        </w:rPr>
        <w:t>(Skerry and Lanyon, 2009, Sugiyama et al., 2010)</w:t>
      </w:r>
      <w:r w:rsidR="00B32AAB">
        <w:rPr>
          <w:rFonts w:ascii="Arial" w:hAnsi="Arial"/>
        </w:rPr>
        <w:fldChar w:fldCharType="end"/>
      </w:r>
      <w:r w:rsidR="00B32AAB">
        <w:rPr>
          <w:rFonts w:ascii="Arial" w:hAnsi="Arial"/>
        </w:rPr>
        <w:t>.</w:t>
      </w:r>
      <w:r w:rsidR="001D030B">
        <w:rPr>
          <w:rFonts w:ascii="Arial" w:hAnsi="Arial"/>
        </w:rPr>
        <w:t xml:space="preserve"> </w:t>
      </w:r>
    </w:p>
    <w:p w14:paraId="238A65B1" w14:textId="77777777" w:rsidR="00745159" w:rsidRPr="00745159" w:rsidRDefault="00156405" w:rsidP="00D40E59">
      <w:pPr>
        <w:pStyle w:val="Heading2"/>
      </w:pPr>
      <w:bookmarkStart w:id="185" w:name="_Toc383723941"/>
      <w:r>
        <w:t>8.2 Future</w:t>
      </w:r>
      <w:r w:rsidRPr="00F81DFD">
        <w:t xml:space="preserve"> </w:t>
      </w:r>
      <w:r>
        <w:t>directions</w:t>
      </w:r>
      <w:bookmarkEnd w:id="185"/>
    </w:p>
    <w:p w14:paraId="0F6C0501" w14:textId="77777777" w:rsidR="001B11CF" w:rsidRDefault="00156405" w:rsidP="00277A87">
      <w:pPr>
        <w:tabs>
          <w:tab w:val="left" w:pos="5670"/>
        </w:tabs>
        <w:spacing w:line="480" w:lineRule="auto"/>
        <w:jc w:val="both"/>
        <w:rPr>
          <w:rFonts w:ascii="Arial" w:hAnsi="Arial" w:cs="Arial"/>
          <w:bCs/>
        </w:rPr>
      </w:pPr>
      <w:r w:rsidRPr="00FC1CD0">
        <w:rPr>
          <w:rFonts w:ascii="Arial" w:hAnsi="Arial" w:cs="Arial"/>
          <w:bCs/>
        </w:rPr>
        <w:t>Age-related bone</w:t>
      </w:r>
      <w:r>
        <w:rPr>
          <w:rFonts w:ascii="Arial" w:hAnsi="Arial" w:cs="Arial"/>
          <w:bCs/>
        </w:rPr>
        <w:t xml:space="preserve"> loss across multiple sites within the skeleton suggests </w:t>
      </w:r>
      <w:r w:rsidR="00901782">
        <w:rPr>
          <w:rFonts w:ascii="Arial" w:hAnsi="Arial" w:cs="Arial"/>
          <w:bCs/>
        </w:rPr>
        <w:t xml:space="preserve">that </w:t>
      </w:r>
      <w:r w:rsidRPr="00FC1CD0">
        <w:rPr>
          <w:rFonts w:ascii="Arial" w:hAnsi="Arial" w:cs="Arial"/>
          <w:bCs/>
        </w:rPr>
        <w:t xml:space="preserve">systemic regulation plays an essential role </w:t>
      </w:r>
      <w:r>
        <w:rPr>
          <w:rFonts w:ascii="Arial" w:hAnsi="Arial" w:cs="Arial"/>
          <w:bCs/>
        </w:rPr>
        <w:t>in</w:t>
      </w:r>
      <w:r w:rsidR="004B72DC">
        <w:rPr>
          <w:rFonts w:ascii="Arial" w:hAnsi="Arial" w:cs="Arial"/>
          <w:bCs/>
        </w:rPr>
        <w:t xml:space="preserve"> bone homeostasis. </w:t>
      </w:r>
      <w:r w:rsidR="001B11CF">
        <w:rPr>
          <w:rFonts w:ascii="Arial" w:hAnsi="Arial" w:cs="Arial"/>
          <w:bCs/>
        </w:rPr>
        <w:t xml:space="preserve">The regulators of bone homeostasis have potential to be used as therapeutic anabolic agents for </w:t>
      </w:r>
      <w:r w:rsidR="00901782">
        <w:rPr>
          <w:rFonts w:ascii="Arial" w:hAnsi="Arial" w:cs="Arial"/>
          <w:bCs/>
        </w:rPr>
        <w:t xml:space="preserve">prevention and treatment of </w:t>
      </w:r>
      <w:r w:rsidR="001B11CF">
        <w:rPr>
          <w:rFonts w:ascii="Arial" w:hAnsi="Arial" w:cs="Arial"/>
          <w:bCs/>
        </w:rPr>
        <w:t xml:space="preserve">osteoporosis and low bone density. </w:t>
      </w:r>
      <w:r w:rsidR="001B11CF">
        <w:rPr>
          <w:rFonts w:ascii="Arial" w:hAnsi="Arial" w:cs="Arial"/>
        </w:rPr>
        <w:t>Th</w:t>
      </w:r>
      <w:r w:rsidR="00EB1B32">
        <w:rPr>
          <w:rFonts w:ascii="Arial" w:hAnsi="Arial" w:cs="Arial"/>
        </w:rPr>
        <w:t xml:space="preserve">is project has provided proof-of-principle that the </w:t>
      </w:r>
      <w:r w:rsidR="001B11CF" w:rsidRPr="005B2D0F">
        <w:rPr>
          <w:rFonts w:ascii="Arial" w:hAnsi="Arial" w:cs="Arial"/>
        </w:rPr>
        <w:t xml:space="preserve">effects </w:t>
      </w:r>
      <w:r w:rsidR="001B11CF">
        <w:rPr>
          <w:rFonts w:ascii="Arial" w:hAnsi="Arial" w:cs="Arial"/>
        </w:rPr>
        <w:t xml:space="preserve">of anabolic hormones </w:t>
      </w:r>
      <w:r w:rsidR="00EB1B32">
        <w:rPr>
          <w:rFonts w:ascii="Arial" w:hAnsi="Arial" w:cs="Arial"/>
        </w:rPr>
        <w:t xml:space="preserve">in increasing bone formation in </w:t>
      </w:r>
      <w:r w:rsidR="00C40130">
        <w:rPr>
          <w:rFonts w:ascii="Arial" w:hAnsi="Arial" w:cs="Arial"/>
        </w:rPr>
        <w:t>response</w:t>
      </w:r>
      <w:r w:rsidR="00EB1B32">
        <w:rPr>
          <w:rFonts w:ascii="Arial" w:hAnsi="Arial" w:cs="Arial"/>
        </w:rPr>
        <w:t xml:space="preserve"> to mechanical loading may</w:t>
      </w:r>
      <w:r w:rsidR="001B11CF" w:rsidRPr="005B2D0F">
        <w:rPr>
          <w:rFonts w:ascii="Arial" w:hAnsi="Arial" w:cs="Arial"/>
        </w:rPr>
        <w:t xml:space="preserve"> be manipulated </w:t>
      </w:r>
      <w:r w:rsidR="00EB1B32" w:rsidRPr="005B2D0F">
        <w:rPr>
          <w:rFonts w:ascii="Arial" w:hAnsi="Arial" w:cs="Arial"/>
        </w:rPr>
        <w:t xml:space="preserve">by changing timing of feeding </w:t>
      </w:r>
      <w:r w:rsidR="00EB1B32">
        <w:rPr>
          <w:rFonts w:ascii="Arial" w:hAnsi="Arial" w:cs="Arial"/>
        </w:rPr>
        <w:t>in relation to exercise imposition</w:t>
      </w:r>
      <w:r w:rsidR="0024663E">
        <w:rPr>
          <w:rFonts w:ascii="Arial" w:hAnsi="Arial" w:cs="Arial"/>
        </w:rPr>
        <w:t>.</w:t>
      </w:r>
      <w:r w:rsidR="00EB1B32">
        <w:rPr>
          <w:rFonts w:ascii="Arial" w:hAnsi="Arial" w:cs="Arial"/>
        </w:rPr>
        <w:t xml:space="preserve"> </w:t>
      </w:r>
      <w:r w:rsidR="0024663E">
        <w:rPr>
          <w:rFonts w:ascii="Arial" w:hAnsi="Arial" w:cs="Arial"/>
        </w:rPr>
        <w:t xml:space="preserve">Since </w:t>
      </w:r>
      <w:r w:rsidR="001B11CF" w:rsidRPr="005B2D0F">
        <w:rPr>
          <w:rFonts w:ascii="Arial" w:hAnsi="Arial" w:cs="Arial"/>
        </w:rPr>
        <w:t>dietary composition</w:t>
      </w:r>
      <w:r w:rsidR="0024663E">
        <w:rPr>
          <w:rFonts w:ascii="Arial" w:hAnsi="Arial" w:cs="Arial"/>
        </w:rPr>
        <w:t xml:space="preserve"> influences metabolic responses to food ingestion </w:t>
      </w:r>
      <w:r w:rsidR="00DA0DFD">
        <w:rPr>
          <w:rFonts w:ascii="Arial" w:hAnsi="Arial" w:cs="Arial"/>
        </w:rPr>
        <w:fldChar w:fldCharType="begin"/>
      </w:r>
      <w:r w:rsidR="00DA0DFD">
        <w:rPr>
          <w:rFonts w:ascii="Arial" w:hAnsi="Arial" w:cs="Arial"/>
        </w:rPr>
        <w:instrText xml:space="preserve"> ADDIN EN.CITE &lt;EndNote&gt;&lt;Cite&gt;&lt;Author&gt;Gelfand&lt;/Author&gt;&lt;Year&gt;1989&lt;/Year&gt;&lt;RecNum&gt;664&lt;/RecNum&gt;&lt;DisplayText&gt;(Gelfand and Hendler, 1989)&lt;/DisplayText&gt;&lt;record&gt;&lt;rec-number&gt;664&lt;/rec-number&gt;&lt;foreign-keys&gt;&lt;key app="EN" db-id="ae9rewfrpdttrheppfxxv0p4950wpd25r09x" timestamp="1521571713"&gt;664&lt;/key&gt;&lt;/foreign-keys&gt;&lt;ref-type name="Journal Article"&gt;17&lt;/ref-type&gt;&lt;contributors&gt;&lt;authors&gt;&lt;author&gt;Gelfand, Robert A.&lt;/author&gt;&lt;author&gt;Hendler, Rosa&lt;/author&gt;&lt;/authors&gt;&lt;/contributors&gt;&lt;titles&gt;&lt;title&gt;Effect of nutrient composition on the metabolic response to very low calorie diets: Learning more and more about less and less&lt;/title&gt;&lt;secondary-title&gt;Diabetes/Metabolism Research and Reviews&lt;/secondary-title&gt;&lt;/titles&gt;&lt;periodical&gt;&lt;full-title&gt;Diabetes/Metabolism Research and Reviews&lt;/full-title&gt;&lt;/periodical&gt;&lt;pages&gt;17-30&lt;/pages&gt;&lt;volume&gt;5&lt;/volume&gt;&lt;number&gt;1&lt;/number&gt;&lt;dates&gt;&lt;year&gt;1989&lt;/year&gt;&lt;/dates&gt;&lt;pub-location&gt;New York, N.Y. :&lt;/pub-location&gt;&lt;isbn&gt;0742-4221&lt;/isbn&gt;&lt;urls&gt;&lt;/urls&gt;&lt;electronic-resource-num&gt;10.1002/dmr.5610050103&amp;#xD;info:doi/10.1002/dmr.5610050103&lt;/electronic-resource-num&gt;&lt;/record&gt;&lt;/Cite&gt;&lt;/EndNote&gt;</w:instrText>
      </w:r>
      <w:r w:rsidR="00DA0DFD">
        <w:rPr>
          <w:rFonts w:ascii="Arial" w:hAnsi="Arial" w:cs="Arial"/>
        </w:rPr>
        <w:fldChar w:fldCharType="separate"/>
      </w:r>
      <w:r w:rsidR="00DA0DFD">
        <w:rPr>
          <w:rFonts w:ascii="Arial" w:hAnsi="Arial" w:cs="Arial"/>
          <w:noProof/>
        </w:rPr>
        <w:t>(Gelfand and Hendler, 1989)</w:t>
      </w:r>
      <w:r w:rsidR="00DA0DFD">
        <w:rPr>
          <w:rFonts w:ascii="Arial" w:hAnsi="Arial" w:cs="Arial"/>
        </w:rPr>
        <w:fldChar w:fldCharType="end"/>
      </w:r>
      <w:r w:rsidR="00152E8D">
        <w:rPr>
          <w:rFonts w:ascii="Arial" w:hAnsi="Arial" w:cs="Arial"/>
        </w:rPr>
        <w:t>,</w:t>
      </w:r>
      <w:r w:rsidR="00D668A7">
        <w:rPr>
          <w:rFonts w:ascii="Arial" w:hAnsi="Arial" w:cs="Arial"/>
        </w:rPr>
        <w:t xml:space="preserve"> it is possible that manipulation </w:t>
      </w:r>
      <w:r w:rsidR="00152E8D">
        <w:rPr>
          <w:rFonts w:ascii="Arial" w:hAnsi="Arial" w:cs="Arial"/>
        </w:rPr>
        <w:t xml:space="preserve">of the amounts and relative proportions of food macronutrients could be used to stimulate secretion of the patterns of metabolic hormones, which maximise the osteogenic response to mechanical loading. </w:t>
      </w:r>
      <w:r w:rsidR="00225C0E">
        <w:rPr>
          <w:rFonts w:ascii="Arial" w:hAnsi="Arial" w:cs="Arial"/>
        </w:rPr>
        <w:t xml:space="preserve">Whilst the basic biological mechanisms responsible for controlling feeding behaviour and </w:t>
      </w:r>
      <w:r w:rsidR="001B11CF">
        <w:rPr>
          <w:rFonts w:ascii="Arial" w:hAnsi="Arial" w:cs="Arial"/>
          <w:bCs/>
        </w:rPr>
        <w:t xml:space="preserve">energy homeostasis </w:t>
      </w:r>
      <w:r w:rsidR="00225C0E">
        <w:rPr>
          <w:rFonts w:ascii="Arial" w:hAnsi="Arial" w:cs="Arial"/>
          <w:bCs/>
        </w:rPr>
        <w:t>are similar in</w:t>
      </w:r>
      <w:r w:rsidR="001B11CF">
        <w:rPr>
          <w:rFonts w:ascii="Arial" w:hAnsi="Arial" w:cs="Arial"/>
          <w:bCs/>
        </w:rPr>
        <w:t xml:space="preserve"> </w:t>
      </w:r>
      <w:r w:rsidR="00225C0E">
        <w:rPr>
          <w:rFonts w:ascii="Arial" w:hAnsi="Arial" w:cs="Arial"/>
          <w:bCs/>
        </w:rPr>
        <w:t>mice</w:t>
      </w:r>
      <w:r w:rsidR="001B11CF">
        <w:rPr>
          <w:rFonts w:ascii="Arial" w:hAnsi="Arial" w:cs="Arial"/>
          <w:bCs/>
        </w:rPr>
        <w:t xml:space="preserve"> and humans, </w:t>
      </w:r>
      <w:r w:rsidR="00225C0E">
        <w:rPr>
          <w:rFonts w:ascii="Arial" w:hAnsi="Arial" w:cs="Arial"/>
          <w:bCs/>
        </w:rPr>
        <w:t>in the absence of direct experimentation in humans it cannot be assumed that the effects observed in mice in the present study will translate directly to the human skeleton. F</w:t>
      </w:r>
      <w:r w:rsidR="001B11CF">
        <w:rPr>
          <w:rFonts w:ascii="Arial" w:hAnsi="Arial" w:cs="Arial"/>
          <w:bCs/>
        </w:rPr>
        <w:t xml:space="preserve">uture studies </w:t>
      </w:r>
      <w:r w:rsidR="00225C0E">
        <w:rPr>
          <w:rFonts w:ascii="Arial" w:hAnsi="Arial" w:cs="Arial"/>
          <w:bCs/>
        </w:rPr>
        <w:t>will allow</w:t>
      </w:r>
      <w:r w:rsidR="001B11CF">
        <w:rPr>
          <w:rFonts w:ascii="Arial" w:hAnsi="Arial" w:cs="Arial"/>
          <w:bCs/>
        </w:rPr>
        <w:t xml:space="preserve"> to determine whether such potentiating effects are observed in humans and what recommendations can be made to human</w:t>
      </w:r>
      <w:r w:rsidR="00225C0E">
        <w:rPr>
          <w:rFonts w:ascii="Arial" w:hAnsi="Arial" w:cs="Arial"/>
          <w:bCs/>
        </w:rPr>
        <w:t xml:space="preserve">s with respect to timing, amount and composition of food ingestion to </w:t>
      </w:r>
      <w:r w:rsidR="001B11CF">
        <w:rPr>
          <w:rFonts w:ascii="Arial" w:hAnsi="Arial" w:cs="Arial"/>
          <w:bCs/>
        </w:rPr>
        <w:t>obtain the maximal benefits from exercise.</w:t>
      </w:r>
    </w:p>
    <w:p w14:paraId="3E08B8B4" w14:textId="77777777" w:rsidR="00B037D0" w:rsidRPr="00225C0E" w:rsidRDefault="00B037D0" w:rsidP="00277A87">
      <w:pPr>
        <w:tabs>
          <w:tab w:val="left" w:pos="5670"/>
        </w:tabs>
        <w:spacing w:line="480" w:lineRule="auto"/>
        <w:jc w:val="both"/>
        <w:rPr>
          <w:rFonts w:ascii="Arial" w:hAnsi="Arial" w:cs="Arial"/>
          <w:bCs/>
        </w:rPr>
      </w:pPr>
    </w:p>
    <w:p w14:paraId="6FA293D9" w14:textId="77777777" w:rsidR="004816E2" w:rsidRDefault="00156405" w:rsidP="00277A87">
      <w:pPr>
        <w:tabs>
          <w:tab w:val="left" w:pos="5670"/>
        </w:tabs>
        <w:spacing w:line="480" w:lineRule="auto"/>
        <w:jc w:val="both"/>
        <w:rPr>
          <w:rFonts w:ascii="Arial" w:hAnsi="Arial" w:cs="Arial"/>
          <w:bCs/>
        </w:rPr>
      </w:pPr>
      <w:r>
        <w:rPr>
          <w:rFonts w:ascii="Arial" w:hAnsi="Arial" w:cs="Arial"/>
        </w:rPr>
        <w:t>Combining</w:t>
      </w:r>
      <w:r w:rsidRPr="00A63472">
        <w:rPr>
          <w:rFonts w:ascii="Arial" w:hAnsi="Arial" w:cs="Arial"/>
        </w:rPr>
        <w:t xml:space="preserve"> mechanical loading with injection of hormones </w:t>
      </w:r>
      <w:r w:rsidR="00253AC1">
        <w:rPr>
          <w:rFonts w:ascii="Arial" w:hAnsi="Arial" w:cs="Arial"/>
        </w:rPr>
        <w:t>including intermittent parathyroid hormone or insulin</w:t>
      </w:r>
      <w:r w:rsidR="00253AC1" w:rsidRPr="00A63472">
        <w:rPr>
          <w:rFonts w:ascii="Arial" w:hAnsi="Arial" w:cs="Arial"/>
        </w:rPr>
        <w:t xml:space="preserve"> </w:t>
      </w:r>
      <w:r w:rsidRPr="00A63472">
        <w:rPr>
          <w:rFonts w:ascii="Arial" w:hAnsi="Arial" w:cs="Arial"/>
        </w:rPr>
        <w:t>or drugs</w:t>
      </w:r>
      <w:r>
        <w:rPr>
          <w:rFonts w:ascii="Arial" w:hAnsi="Arial" w:cs="Arial"/>
        </w:rPr>
        <w:t>,</w:t>
      </w:r>
      <w:r w:rsidRPr="00A63472">
        <w:rPr>
          <w:rFonts w:ascii="Arial" w:hAnsi="Arial" w:cs="Arial"/>
        </w:rPr>
        <w:t xml:space="preserve"> </w:t>
      </w:r>
      <w:r>
        <w:rPr>
          <w:rFonts w:ascii="Arial" w:hAnsi="Arial" w:cs="Arial"/>
        </w:rPr>
        <w:t xml:space="preserve">which would </w:t>
      </w:r>
      <w:r w:rsidRPr="00A63472">
        <w:rPr>
          <w:rFonts w:ascii="Arial" w:hAnsi="Arial" w:cs="Arial"/>
        </w:rPr>
        <w:t xml:space="preserve">increase </w:t>
      </w:r>
      <w:r>
        <w:rPr>
          <w:rFonts w:ascii="Arial" w:hAnsi="Arial" w:cs="Arial"/>
        </w:rPr>
        <w:t xml:space="preserve">bone formation in aged mice would be interesting to study in the future </w:t>
      </w:r>
      <w:r w:rsidR="00DB040D">
        <w:rPr>
          <w:rFonts w:ascii="Arial" w:hAnsi="Arial" w:cs="Arial"/>
        </w:rPr>
        <w:fldChar w:fldCharType="begin">
          <w:fldData xml:space="preserve">PEVuZE5vdGU+PENpdGU+PEF1dGhvcj5TdWdpeWFtYTwvQXV0aG9yPjxZZWFyPjIwMDg8L1llYXI+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</w:fldData>
        </w:fldChar>
      </w:r>
      <w:r w:rsidR="00DB040D">
        <w:rPr>
          <w:rFonts w:ascii="Arial" w:hAnsi="Arial" w:cs="Arial"/>
        </w:rPr>
        <w:instrText xml:space="preserve"> ADDIN EN.CITE </w:instrText>
      </w:r>
      <w:r w:rsidR="00DB040D">
        <w:rPr>
          <w:rFonts w:ascii="Arial" w:hAnsi="Arial" w:cs="Arial"/>
        </w:rPr>
        <w:fldChar w:fldCharType="begin">
          <w:fldData xml:space="preserve">PEVuZE5vdGU+PENpdGU+PEF1dGhvcj5TdWdpeWFtYTwvQXV0aG9yPjxZZWFyPjIwMDg8L1llYXI+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</w:fldData>
        </w:fldChar>
      </w:r>
      <w:r w:rsidR="00DB040D">
        <w:rPr>
          <w:rFonts w:ascii="Arial" w:hAnsi="Arial" w:cs="Arial"/>
        </w:rPr>
        <w:instrText xml:space="preserve"> ADDIN EN.CITE.DATA </w:instrText>
      </w:r>
      <w:r w:rsidR="00DB040D">
        <w:rPr>
          <w:rFonts w:ascii="Arial" w:hAnsi="Arial" w:cs="Arial"/>
        </w:rPr>
      </w:r>
      <w:r w:rsidR="00DB040D">
        <w:rPr>
          <w:rFonts w:ascii="Arial" w:hAnsi="Arial" w:cs="Arial"/>
        </w:rPr>
        <w:fldChar w:fldCharType="end"/>
      </w:r>
      <w:r w:rsidR="00DB040D">
        <w:rPr>
          <w:rFonts w:ascii="Arial" w:hAnsi="Arial" w:cs="Arial"/>
        </w:rPr>
      </w:r>
      <w:r w:rsidR="00DB040D">
        <w:rPr>
          <w:rFonts w:ascii="Arial" w:hAnsi="Arial" w:cs="Arial"/>
        </w:rPr>
        <w:fldChar w:fldCharType="separate"/>
      </w:r>
      <w:r w:rsidR="00DB040D">
        <w:rPr>
          <w:rFonts w:ascii="Arial" w:hAnsi="Arial" w:cs="Arial"/>
          <w:noProof/>
        </w:rPr>
        <w:t xml:space="preserve">(Sugiyama et al., 2008, Sugiyama et al., </w:t>
      </w:r>
      <w:r w:rsidR="00DB040D">
        <w:rPr>
          <w:rFonts w:ascii="Arial" w:hAnsi="Arial" w:cs="Arial"/>
          <w:noProof/>
        </w:rPr>
        <w:lastRenderedPageBreak/>
        <w:t>2010)</w:t>
      </w:r>
      <w:r w:rsidR="00DB040D">
        <w:rPr>
          <w:rFonts w:ascii="Arial" w:hAnsi="Arial" w:cs="Arial"/>
        </w:rPr>
        <w:fldChar w:fldCharType="end"/>
      </w:r>
      <w:r>
        <w:rPr>
          <w:rFonts w:ascii="Arial" w:hAnsi="Arial" w:cs="Arial"/>
        </w:rPr>
        <w:t>.</w:t>
      </w:r>
      <w:r>
        <w:rPr>
          <w:rFonts w:ascii="Arial" w:hAnsi="Arial" w:cs="Arial"/>
          <w:bCs/>
        </w:rPr>
        <w:t xml:space="preserve"> </w:t>
      </w:r>
      <w:r w:rsidR="00253AC1">
        <w:rPr>
          <w:rFonts w:ascii="Arial" w:hAnsi="Arial" w:cs="Arial"/>
          <w:bCs/>
        </w:rPr>
        <w:t xml:space="preserve">For example, administration of the </w:t>
      </w:r>
      <w:r w:rsidRPr="0026039B">
        <w:rPr>
          <w:rFonts w:ascii="Arial" w:hAnsi="Arial" w:cs="Arial"/>
          <w:bCs/>
        </w:rPr>
        <w:t xml:space="preserve">GLP1 analogue exenatide (exendin-4) </w:t>
      </w:r>
      <w:r w:rsidR="00253AC1">
        <w:rPr>
          <w:rFonts w:ascii="Arial" w:hAnsi="Arial" w:cs="Arial"/>
          <w:bCs/>
        </w:rPr>
        <w:t>i</w:t>
      </w:r>
      <w:r w:rsidRPr="0026039B">
        <w:rPr>
          <w:rFonts w:ascii="Arial" w:hAnsi="Arial" w:cs="Arial"/>
          <w:bCs/>
        </w:rPr>
        <w:t>ncre</w:t>
      </w:r>
      <w:r>
        <w:rPr>
          <w:rFonts w:ascii="Arial" w:hAnsi="Arial" w:cs="Arial"/>
          <w:bCs/>
        </w:rPr>
        <w:t>ase</w:t>
      </w:r>
      <w:r w:rsidR="00253AC1">
        <w:rPr>
          <w:rFonts w:ascii="Arial" w:hAnsi="Arial" w:cs="Arial"/>
          <w:bCs/>
        </w:rPr>
        <w:t>s</w:t>
      </w:r>
      <w:r>
        <w:rPr>
          <w:rFonts w:ascii="Arial" w:hAnsi="Arial" w:cs="Arial"/>
          <w:bCs/>
        </w:rPr>
        <w:t xml:space="preserve"> bone formation markers and interact</w:t>
      </w:r>
      <w:r w:rsidR="00860359">
        <w:rPr>
          <w:rFonts w:ascii="Arial" w:hAnsi="Arial" w:cs="Arial"/>
          <w:bCs/>
        </w:rPr>
        <w:t>s</w:t>
      </w:r>
      <w:r>
        <w:rPr>
          <w:rFonts w:ascii="Arial" w:hAnsi="Arial" w:cs="Arial"/>
          <w:bCs/>
        </w:rPr>
        <w:t xml:space="preserve"> with </w:t>
      </w:r>
      <w:r w:rsidR="00860359">
        <w:rPr>
          <w:rFonts w:ascii="Arial" w:hAnsi="Arial" w:cs="Arial"/>
          <w:bCs/>
        </w:rPr>
        <w:t xml:space="preserve">the </w:t>
      </w:r>
      <w:r>
        <w:rPr>
          <w:rFonts w:ascii="Arial" w:hAnsi="Arial" w:cs="Arial"/>
          <w:bCs/>
        </w:rPr>
        <w:t xml:space="preserve">Wnt </w:t>
      </w:r>
      <w:r w:rsidR="00860359">
        <w:rPr>
          <w:rFonts w:ascii="Arial" w:hAnsi="Arial" w:cs="Arial"/>
          <w:bCs/>
        </w:rPr>
        <w:t>signalling</w:t>
      </w:r>
      <w:r>
        <w:rPr>
          <w:rFonts w:ascii="Arial" w:hAnsi="Arial" w:cs="Arial"/>
          <w:bCs/>
        </w:rPr>
        <w:t xml:space="preserve"> pathway promoting</w:t>
      </w:r>
      <w:r w:rsidRPr="0026039B">
        <w:rPr>
          <w:rFonts w:ascii="Arial" w:hAnsi="Arial" w:cs="Arial"/>
          <w:bCs/>
        </w:rPr>
        <w:t xml:space="preserve"> bone </w:t>
      </w:r>
      <w:r>
        <w:rPr>
          <w:rFonts w:ascii="Arial" w:hAnsi="Arial" w:cs="Arial"/>
          <w:bCs/>
        </w:rPr>
        <w:t>formation</w:t>
      </w:r>
      <w:r w:rsidRPr="0026039B">
        <w:rPr>
          <w:rFonts w:ascii="Arial" w:hAnsi="Arial" w:cs="Arial"/>
          <w:bCs/>
        </w:rPr>
        <w:t xml:space="preserve"> in rats </w:t>
      </w:r>
      <w:r w:rsidR="00DB040D">
        <w:rPr>
          <w:rFonts w:ascii="Arial" w:hAnsi="Arial" w:cs="Arial"/>
          <w:bCs/>
        </w:rPr>
        <w:fldChar w:fldCharType="begin"/>
      </w:r>
      <w:r w:rsidR="0000415D">
        <w:rPr>
          <w:rFonts w:ascii="Arial" w:hAnsi="Arial" w:cs="Arial"/>
          <w:bCs/>
        </w:rPr>
        <w:instrText xml:space="preserve"> ADDIN EN.CITE &lt;EndNote&gt;&lt;Cite&gt;&lt;Author&gt;Nuche- Berenguer&lt;/Author&gt;&lt;Year&gt;2010&lt;/Year&gt;&lt;RecNum&gt;179&lt;/RecNum&gt;&lt;DisplayText&gt;(Nuche- Berenguer et al., 2010)&lt;/DisplayText&gt;&lt;record&gt;&lt;rec-number&gt;179&lt;/rec-number&gt;&lt;foreign-keys&gt;&lt;key app="EN" db-id="ae9rewfrpdttrheppfxxv0p4950wpd25r09x" timestamp="1520658033"&gt;179&lt;/key&gt;&lt;key app="ENWeb" db-id=""&gt;0&lt;/key&gt;&lt;/foreign-keys&gt;&lt;ref-type name="Journal Article"&gt;17&lt;/ref-type&gt;&lt;contributors&gt;&lt;authors&gt;&lt;author&gt;Nuche- Berenguer, B.&lt;/author&gt;&lt;author&gt;Portal-Nunez, S.&lt;/author&gt;&lt;author&gt;Moreno, P.&lt;/author&gt;&lt;author&gt;Gonzalez, N.&lt;/author&gt;&lt;author&gt;Acitores, A.&lt;/author&gt;&lt;author&gt;Lopez-Herradon, A.&lt;/author&gt;&lt;author&gt;Esbrit, P.&lt;/author&gt;&lt;author&gt;Valverde, I.&lt;/author&gt;&lt;author&gt;Villanueva-Penacarillo, Ml&lt;/author&gt;&lt;author&gt;Nuche-Berenguer, B.&lt;/author&gt;&lt;/authors&gt;&lt;/contributors&gt;&lt;titles&gt;&lt;title&gt;Presence of a Functional Receptor for GLP- 1 in Osteoblastic Cells, Independent of the cAMP- Linked GLP- 1 Receptor&lt;/title&gt;&lt;secondary-title&gt;Journal of Cellular Physiology&lt;/secondary-title&gt;&lt;/titles&gt;&lt;periodical&gt;&lt;full-title&gt;Journal of Cellular Physiology&lt;/full-title&gt;&lt;/periodical&gt;&lt;pages&gt;585-592&lt;/pages&gt;&lt;volume&gt;225&lt;/volume&gt;&lt;number&gt;2&lt;/number&gt;&lt;dates&gt;&lt;year&gt;2010&lt;/year&gt;&lt;/dates&gt;&lt;isbn&gt;0021-9541&lt;/isbn&gt;&lt;urls&gt;&lt;/urls&gt;&lt;electronic-resource-num&gt;10.1002/jcp.22243&lt;/electronic-resource-num&gt;&lt;/record&gt;&lt;/Cite&gt;&lt;/EndNote&gt;</w:instrText>
      </w:r>
      <w:r w:rsidR="00DB040D">
        <w:rPr>
          <w:rFonts w:ascii="Arial" w:hAnsi="Arial" w:cs="Arial"/>
          <w:bCs/>
        </w:rPr>
        <w:fldChar w:fldCharType="separate"/>
      </w:r>
      <w:r w:rsidR="00854B75">
        <w:rPr>
          <w:rFonts w:ascii="Arial" w:hAnsi="Arial" w:cs="Arial"/>
          <w:bCs/>
          <w:noProof/>
        </w:rPr>
        <w:t>(Nuche-</w:t>
      </w:r>
      <w:r w:rsidR="00DB040D">
        <w:rPr>
          <w:rFonts w:ascii="Arial" w:hAnsi="Arial" w:cs="Arial"/>
          <w:bCs/>
          <w:noProof/>
        </w:rPr>
        <w:t>Berenguer et al., 2010)</w:t>
      </w:r>
      <w:r w:rsidR="00DB040D">
        <w:rPr>
          <w:rFonts w:ascii="Arial" w:hAnsi="Arial" w:cs="Arial"/>
          <w:bCs/>
        </w:rPr>
        <w:fldChar w:fldCharType="end"/>
      </w:r>
      <w:r w:rsidRPr="0026039B">
        <w:rPr>
          <w:rFonts w:ascii="Arial" w:hAnsi="Arial" w:cs="Arial"/>
          <w:bCs/>
        </w:rPr>
        <w:t xml:space="preserve">. </w:t>
      </w:r>
      <w:r>
        <w:rPr>
          <w:rFonts w:ascii="Arial" w:hAnsi="Arial" w:cs="Arial"/>
          <w:color w:val="000000"/>
        </w:rPr>
        <w:t xml:space="preserve">Systemic administration of </w:t>
      </w:r>
      <w:r w:rsidR="00860359">
        <w:rPr>
          <w:rFonts w:ascii="Arial" w:hAnsi="Arial" w:cs="Arial"/>
          <w:color w:val="000000"/>
        </w:rPr>
        <w:t>the</w:t>
      </w:r>
      <w:r>
        <w:rPr>
          <w:rFonts w:ascii="Arial" w:hAnsi="Arial" w:cs="Arial"/>
          <w:color w:val="000000"/>
        </w:rPr>
        <w:t xml:space="preserve"> octapeptide a</w:t>
      </w:r>
      <w:r w:rsidRPr="00553B32">
        <w:rPr>
          <w:rFonts w:ascii="Arial" w:hAnsi="Arial" w:cs="Arial"/>
          <w:color w:val="000000"/>
        </w:rPr>
        <w:t>mylin</w:t>
      </w:r>
      <w:proofErr w:type="gramStart"/>
      <w:r>
        <w:rPr>
          <w:rFonts w:ascii="Arial" w:hAnsi="Arial" w:cs="Arial"/>
          <w:color w:val="000000"/>
        </w:rPr>
        <w:t>-(</w:t>
      </w:r>
      <w:proofErr w:type="gramEnd"/>
      <w:r>
        <w:rPr>
          <w:rFonts w:ascii="Arial" w:hAnsi="Arial" w:cs="Arial"/>
          <w:color w:val="000000"/>
        </w:rPr>
        <w:t>1-8)</w:t>
      </w:r>
      <w:r w:rsidRPr="00553B32">
        <w:rPr>
          <w:rFonts w:ascii="Arial" w:hAnsi="Arial" w:cs="Arial"/>
          <w:color w:val="000000"/>
        </w:rPr>
        <w:t xml:space="preserve"> </w:t>
      </w:r>
      <w:r>
        <w:rPr>
          <w:rFonts w:ascii="Arial" w:hAnsi="Arial" w:cs="Arial"/>
          <w:color w:val="000000"/>
        </w:rPr>
        <w:t xml:space="preserve">exerted osteogenic effects increasing bone volume and cortical thickness in male mice </w:t>
      </w:r>
      <w:r w:rsidR="00DB040D">
        <w:rPr>
          <w:rFonts w:ascii="Arial" w:hAnsi="Arial" w:cs="Arial"/>
          <w:color w:val="000000"/>
        </w:rPr>
        <w:fldChar w:fldCharType="begin"/>
      </w:r>
      <w:r w:rsidR="00DB040D">
        <w:rPr>
          <w:rFonts w:ascii="Arial" w:hAnsi="Arial" w:cs="Arial"/>
          <w:color w:val="000000"/>
        </w:rPr>
        <w:instrText xml:space="preserve"> ADDIN EN.CITE &lt;EndNote&gt;&lt;Cite&gt;&lt;Author&gt;Cornish&lt;/Author&gt;&lt;Year&gt;2000&lt;/Year&gt;&lt;RecNum&gt;654&lt;/RecNum&gt;&lt;DisplayText&gt;(Cornish et al., 2000)&lt;/DisplayText&gt;&lt;record&gt;&lt;rec-number&gt;654&lt;/rec-number&gt;&lt;foreign-keys&gt;&lt;key app="EN" db-id="ae9rewfrpdttrheppfxxv0p4950wpd25r09x" timestamp="1521254295"&gt;654&lt;/key&gt;&lt;/foreign-keys&gt;&lt;ref-type name="Journal Article"&gt;17&lt;/ref-type&gt;&lt;contributors&gt;&lt;authors&gt;&lt;author&gt;Cornish, Jillian&lt;/author&gt;&lt;author&gt;Callon, Karen E.&lt;/author&gt;&lt;author&gt;Bava, Usha&lt;/author&gt;&lt;author&gt;Coy, David H.&lt;/author&gt;&lt;author&gt;Cooper, Garth J. S.&lt;/author&gt;&lt;author&gt;Reid, Ian R.&lt;/author&gt;&lt;author&gt;Gasser, Juerg A.&lt;/author&gt;&lt;author&gt;Gardiner, Edith M.&lt;/author&gt;&lt;/authors&gt;&lt;/contributors&gt;&lt;titles&gt;&lt;title&gt;Systemic administration of a novel octapeptide, amylin-( 1- 8), increases bone volume in male mice&lt;/title&gt;&lt;secondary-title&gt;American Journal of Physiology - Endocrinology and Metabolism&lt;/secondary-title&gt;&lt;/titles&gt;&lt;periodical&gt;&lt;full-title&gt;American Journal of Physiology - Endocrinology and Metabolism&lt;/full-title&gt;&lt;/periodical&gt;&lt;pages&gt;E730-E735&lt;/pages&gt;&lt;volume&gt;279&lt;/volume&gt;&lt;number&gt;4&lt;/number&gt;&lt;keywords&gt;&lt;keyword&gt;Amylin&lt;/keyword&gt;&lt;keyword&gt;Bone Growth&lt;/keyword&gt;&lt;keyword&gt;Osteoblast&lt;/keyword&gt;&lt;keyword&gt;Osteoporosis&lt;/keyword&gt;&lt;keyword&gt;Peptide Hormones&lt;/keyword&gt;&lt;/keywords&gt;&lt;dates&gt;&lt;year&gt;2000&lt;/year&gt;&lt;/dates&gt;&lt;isbn&gt;01931849&lt;/isbn&gt;&lt;urls&gt;&lt;/urls&gt;&lt;electronic-resource-num&gt;10.1152/ajpendo.2000.279.4.E730&lt;/electronic-resource-num&gt;&lt;/record&gt;&lt;/Cite&gt;&lt;/EndNote&gt;</w:instrText>
      </w:r>
      <w:r w:rsidR="00DB040D">
        <w:rPr>
          <w:rFonts w:ascii="Arial" w:hAnsi="Arial" w:cs="Arial"/>
          <w:color w:val="000000"/>
        </w:rPr>
        <w:fldChar w:fldCharType="separate"/>
      </w:r>
      <w:r w:rsidR="00DB040D">
        <w:rPr>
          <w:rFonts w:ascii="Arial" w:hAnsi="Arial" w:cs="Arial"/>
          <w:noProof/>
          <w:color w:val="000000"/>
        </w:rPr>
        <w:t>(Cornish et al., 2000)</w:t>
      </w:r>
      <w:r w:rsidR="00DB040D">
        <w:rPr>
          <w:rFonts w:ascii="Arial" w:hAnsi="Arial" w:cs="Arial"/>
          <w:color w:val="000000"/>
        </w:rPr>
        <w:fldChar w:fldCharType="end"/>
      </w:r>
      <w:r>
        <w:rPr>
          <w:rFonts w:ascii="Arial" w:hAnsi="Arial" w:cs="Arial"/>
          <w:color w:val="000000"/>
        </w:rPr>
        <w:t xml:space="preserve">. </w:t>
      </w:r>
      <w:r w:rsidR="00860359">
        <w:rPr>
          <w:rFonts w:ascii="Arial" w:hAnsi="Arial" w:cs="Arial"/>
          <w:color w:val="000000"/>
        </w:rPr>
        <w:t>In addition, whilst t</w:t>
      </w:r>
      <w:r>
        <w:rPr>
          <w:rFonts w:ascii="Arial" w:hAnsi="Arial" w:cs="Arial"/>
          <w:color w:val="000000"/>
        </w:rPr>
        <w:t>herapeutically or experimentally induced increase in plasma insulin concentrations may</w:t>
      </w:r>
      <w:r w:rsidR="00860359">
        <w:rPr>
          <w:rFonts w:ascii="Arial" w:hAnsi="Arial" w:cs="Arial"/>
          <w:color w:val="000000"/>
        </w:rPr>
        <w:t xml:space="preserve"> result in hypoglycemia,</w:t>
      </w:r>
      <w:r>
        <w:rPr>
          <w:rFonts w:ascii="Arial" w:hAnsi="Arial" w:cs="Arial"/>
          <w:color w:val="000000"/>
        </w:rPr>
        <w:t xml:space="preserve"> low doses of systematically administrated insulin did not elicit hypoglycemia in rodents </w:t>
      </w:r>
      <w:r w:rsidR="00DB040D">
        <w:rPr>
          <w:rFonts w:ascii="Arial" w:hAnsi="Arial" w:cs="Arial"/>
          <w:color w:val="000000"/>
        </w:rPr>
        <w:fldChar w:fldCharType="begin"/>
      </w:r>
      <w:r w:rsidR="0000415D">
        <w:rPr>
          <w:rFonts w:ascii="Arial" w:hAnsi="Arial" w:cs="Arial"/>
          <w:color w:val="000000"/>
        </w:rPr>
        <w:instrText xml:space="preserve"> ADDIN EN.CITE &lt;EndNote&gt;&lt;Cite&gt;&lt;Author&gt;Vanderweele&lt;/Author&gt;&lt;Year&gt;1982&lt;/Year&gt;&lt;RecNum&gt;656&lt;/RecNum&gt;&lt;DisplayText&gt;(Vanderweele et al., 1982)&lt;/DisplayText&gt;&lt;record&gt;&lt;rec-number&gt;656&lt;/rec-number&gt;&lt;foreign-keys&gt;&lt;key app="EN" db-id="ae9rewfrpdttrheppfxxv0p4950wpd25r09x" timestamp="1521254524"&gt;656&lt;/key&gt;&lt;/foreign-keys&gt;&lt;ref-type name="Journal Article"&gt;17&lt;/ref-type&gt;&lt;contributors&gt;&lt;authors&gt;&lt;author&gt;Vanderweele, D. A.&lt;/author&gt;&lt;author&gt;Haraczkiewicz, E.&lt;/author&gt;&lt;author&gt;Van Itallie, T. B.&lt;/author&gt;&lt;/authors&gt;&lt;/contributors&gt;&lt;titles&gt;&lt;title&gt;Elevated insulin and satiety in obese and normal-weight rats&lt;/title&gt;&lt;secondary-title&gt;Appetite&lt;/secondary-title&gt;&lt;/titles&gt;&lt;periodical&gt;&lt;full-title&gt;Appetite&lt;/full-title&gt;&lt;/periodical&gt;&lt;pages&gt;99-109&lt;/pages&gt;&lt;volume&gt;3&lt;/volume&gt;&lt;number&gt;2&lt;/number&gt;&lt;keywords&gt;&lt;keyword&gt;Feeding Behavior -- Drug Effects&lt;/keyword&gt;&lt;keyword&gt;Hyperinsulinism -- Physiopathology&lt;/keyword&gt;&lt;keyword&gt;Insulin -- Pharmacology&lt;/keyword&gt;&lt;keyword&gt;Obesity -- Physiopathology&lt;/keyword&gt;&lt;keyword&gt;Satiation -- Drug Effects&lt;/keyword&gt;&lt;/keywords&gt;&lt;dates&gt;&lt;year&gt;1982&lt;/year&gt;&lt;/dates&gt;&lt;isbn&gt;0195-6663&lt;/isbn&gt;&lt;urls&gt;&lt;/urls&gt;&lt;electronic-resource-num&gt;10.1016/S0195-6663(82)80003-2&lt;/electronic-resource-num&gt;&lt;/record&gt;&lt;/Cite&gt;&lt;/EndNote&gt;</w:instrText>
      </w:r>
      <w:r w:rsidR="00DB040D">
        <w:rPr>
          <w:rFonts w:ascii="Arial" w:hAnsi="Arial" w:cs="Arial"/>
          <w:color w:val="000000"/>
        </w:rPr>
        <w:fldChar w:fldCharType="separate"/>
      </w:r>
      <w:r w:rsidR="00DB040D">
        <w:rPr>
          <w:rFonts w:ascii="Arial" w:hAnsi="Arial" w:cs="Arial"/>
          <w:noProof/>
          <w:color w:val="000000"/>
        </w:rPr>
        <w:t>(Vanderweele et al., 1982)</w:t>
      </w:r>
      <w:r w:rsidR="00DB040D">
        <w:rPr>
          <w:rFonts w:ascii="Arial" w:hAnsi="Arial" w:cs="Arial"/>
          <w:color w:val="000000"/>
        </w:rPr>
        <w:fldChar w:fldCharType="end"/>
      </w:r>
      <w:r>
        <w:rPr>
          <w:rFonts w:ascii="Arial" w:hAnsi="Arial" w:cs="Arial"/>
          <w:color w:val="000000"/>
        </w:rPr>
        <w:t>. In addition to its direct ef</w:t>
      </w:r>
      <w:r w:rsidR="005C3A23">
        <w:rPr>
          <w:rFonts w:ascii="Arial" w:hAnsi="Arial" w:cs="Arial"/>
          <w:color w:val="000000"/>
        </w:rPr>
        <w:t xml:space="preserve">fects on bone cells, insulin </w:t>
      </w:r>
      <w:r>
        <w:rPr>
          <w:rFonts w:ascii="Arial" w:hAnsi="Arial" w:cs="Arial"/>
          <w:color w:val="000000"/>
        </w:rPr>
        <w:t xml:space="preserve">exerts its osteogenic effect </w:t>
      </w:r>
      <w:r w:rsidR="00AB2652">
        <w:rPr>
          <w:rFonts w:ascii="Arial" w:hAnsi="Arial" w:cs="Arial"/>
          <w:color w:val="000000"/>
        </w:rPr>
        <w:t xml:space="preserve">through interaction with </w:t>
      </w:r>
      <w:r>
        <w:rPr>
          <w:rFonts w:ascii="Arial" w:hAnsi="Arial" w:cs="Arial"/>
          <w:color w:val="000000"/>
        </w:rPr>
        <w:t xml:space="preserve">other anabolic hormones including </w:t>
      </w:r>
      <w:r w:rsidRPr="00782391">
        <w:rPr>
          <w:rFonts w:ascii="Arial" w:hAnsi="Arial" w:cs="Arial"/>
          <w:bCs/>
        </w:rPr>
        <w:t>IGF1 and PTH</w:t>
      </w:r>
      <w:r>
        <w:rPr>
          <w:rFonts w:ascii="Arial" w:hAnsi="Arial" w:cs="Arial"/>
          <w:bCs/>
        </w:rPr>
        <w:t xml:space="preserve"> </w:t>
      </w:r>
      <w:r w:rsidR="00DB040D">
        <w:rPr>
          <w:rFonts w:ascii="Arial" w:hAnsi="Arial" w:cs="Arial"/>
          <w:bCs/>
        </w:rPr>
        <w:fldChar w:fldCharType="begin"/>
      </w:r>
      <w:r w:rsidR="00DB040D">
        <w:rPr>
          <w:rFonts w:ascii="Arial" w:hAnsi="Arial" w:cs="Arial"/>
          <w:bCs/>
        </w:rPr>
        <w:instrText xml:space="preserve"> ADDIN EN.CITE &lt;EndNote&gt;&lt;Cite&gt;&lt;Author&gt;Thrailkill&lt;/Author&gt;&lt;Year&gt;2005&lt;/Year&gt;&lt;RecNum&gt;624&lt;/RecNum&gt;&lt;DisplayText&gt;(Thrailkill et al., 2005)&lt;/DisplayText&gt;&lt;record&gt;&lt;rec-number&gt;624&lt;/rec-number&gt;&lt;foreign-keys&gt;&lt;key app="EN" db-id="ae9rewfrpdttrheppfxxv0p4950wpd25r09x" timestamp="1521142375"&gt;624&lt;/key&gt;&lt;/foreign-keys&gt;&lt;ref-type name="Journal Article"&gt;17&lt;/ref-type&gt;&lt;contributors&gt;&lt;authors&gt;&lt;author&gt;Thrailkill, K. M.&lt;/author&gt;&lt;author&gt;Lumpkin Jr, C. K.&lt;/author&gt;&lt;author&gt;Bunn, R. C.&lt;/author&gt;&lt;author&gt;Kemp, S. F.&lt;/author&gt;&lt;author&gt;Fowlkes, J. L.&lt;/author&gt;&lt;/authors&gt;&lt;/contributors&gt;&lt;titles&gt;&lt;title&gt;Is insulin an anabolic agent in bone? Dissecting the diabetic bone for clues&lt;/title&gt;&lt;secondary-title&gt;American Journal of Physiology - Endocrinology and Metabolism&lt;/secondary-title&gt;&lt;/titles&gt;&lt;periodical&gt;&lt;full-title&gt;American Journal of Physiology - Endocrinology and Metabolism&lt;/full-title&gt;&lt;/periodical&gt;&lt;pages&gt;E735-E745&lt;/pages&gt;&lt;volume&gt;289&lt;/volume&gt;&lt;number&gt;5&lt;/number&gt;&lt;keywords&gt;&lt;keyword&gt;Hyperinsulinism&lt;/keyword&gt;&lt;keyword&gt;Insulin Receptors&lt;/keyword&gt;&lt;keyword&gt;Osteoblasts&lt;/keyword&gt;&lt;keyword&gt;Osteoporosis&lt;/keyword&gt;&lt;keyword&gt;Type 1 Diabetes Mellitus&lt;/keyword&gt;&lt;keyword&gt;Type 2 Diabetes Mellitus&lt;/keyword&gt;&lt;/keywords&gt;&lt;dates&gt;&lt;year&gt;2005&lt;/year&gt;&lt;/dates&gt;&lt;isbn&gt;01931849&lt;/isbn&gt;&lt;urls&gt;&lt;/urls&gt;&lt;electronic-resource-num&gt;10.1152/ajpendo.00159.2005&lt;/electronic-resource-num&gt;&lt;/record&gt;&lt;/Cite&gt;&lt;/EndNote&gt;</w:instrText>
      </w:r>
      <w:r w:rsidR="00DB040D">
        <w:rPr>
          <w:rFonts w:ascii="Arial" w:hAnsi="Arial" w:cs="Arial"/>
          <w:bCs/>
        </w:rPr>
        <w:fldChar w:fldCharType="separate"/>
      </w:r>
      <w:r w:rsidR="00DB040D">
        <w:rPr>
          <w:rFonts w:ascii="Arial" w:hAnsi="Arial" w:cs="Arial"/>
          <w:bCs/>
          <w:noProof/>
        </w:rPr>
        <w:t>(Thrailkill et al., 2005)</w:t>
      </w:r>
      <w:r w:rsidR="00DB040D">
        <w:rPr>
          <w:rFonts w:ascii="Arial" w:hAnsi="Arial" w:cs="Arial"/>
          <w:bCs/>
        </w:rPr>
        <w:fldChar w:fldCharType="end"/>
      </w:r>
      <w:r>
        <w:rPr>
          <w:rFonts w:ascii="Arial" w:hAnsi="Arial" w:cs="Arial"/>
          <w:bCs/>
        </w:rPr>
        <w:t xml:space="preserve">. Therefore, it will be interesting to explore further the </w:t>
      </w:r>
      <w:r w:rsidR="004C5B86">
        <w:rPr>
          <w:rFonts w:ascii="Arial" w:hAnsi="Arial" w:cs="Arial"/>
          <w:bCs/>
        </w:rPr>
        <w:t xml:space="preserve">interactions </w:t>
      </w:r>
      <w:r>
        <w:rPr>
          <w:rFonts w:ascii="Arial" w:hAnsi="Arial" w:cs="Arial"/>
          <w:bCs/>
        </w:rPr>
        <w:t xml:space="preserve">between </w:t>
      </w:r>
      <w:r w:rsidR="00571738">
        <w:rPr>
          <w:rFonts w:ascii="Arial" w:hAnsi="Arial" w:cs="Arial"/>
          <w:bCs/>
        </w:rPr>
        <w:t xml:space="preserve">different </w:t>
      </w:r>
      <w:r>
        <w:rPr>
          <w:rFonts w:ascii="Arial" w:hAnsi="Arial" w:cs="Arial"/>
          <w:bCs/>
        </w:rPr>
        <w:t xml:space="preserve">hormones </w:t>
      </w:r>
      <w:r w:rsidR="004C5B86">
        <w:rPr>
          <w:rFonts w:ascii="Arial" w:hAnsi="Arial" w:cs="Arial"/>
          <w:bCs/>
        </w:rPr>
        <w:t xml:space="preserve">in exerting </w:t>
      </w:r>
      <w:r w:rsidR="00571738">
        <w:rPr>
          <w:rFonts w:ascii="Arial" w:hAnsi="Arial" w:cs="Arial"/>
          <w:bCs/>
        </w:rPr>
        <w:t xml:space="preserve">their </w:t>
      </w:r>
      <w:r w:rsidR="004C5B86">
        <w:rPr>
          <w:rFonts w:ascii="Arial" w:hAnsi="Arial" w:cs="Arial"/>
          <w:bCs/>
        </w:rPr>
        <w:t>anabolic</w:t>
      </w:r>
      <w:r>
        <w:rPr>
          <w:rFonts w:ascii="Arial" w:hAnsi="Arial" w:cs="Arial"/>
          <w:bCs/>
        </w:rPr>
        <w:t xml:space="preserve"> </w:t>
      </w:r>
      <w:r w:rsidR="004C5B86">
        <w:rPr>
          <w:rFonts w:ascii="Arial" w:hAnsi="Arial" w:cs="Arial"/>
          <w:bCs/>
        </w:rPr>
        <w:t xml:space="preserve">effects on </w:t>
      </w:r>
      <w:r>
        <w:rPr>
          <w:rFonts w:ascii="Arial" w:hAnsi="Arial" w:cs="Arial"/>
          <w:bCs/>
        </w:rPr>
        <w:t>bone cells</w:t>
      </w:r>
      <w:r w:rsidR="004C5B86">
        <w:rPr>
          <w:rFonts w:ascii="Arial" w:hAnsi="Arial" w:cs="Arial"/>
          <w:bCs/>
        </w:rPr>
        <w:t>,</w:t>
      </w:r>
      <w:r>
        <w:rPr>
          <w:rFonts w:ascii="Arial" w:hAnsi="Arial" w:cs="Arial"/>
          <w:bCs/>
        </w:rPr>
        <w:t xml:space="preserve"> </w:t>
      </w:r>
      <w:r w:rsidR="004C5B86">
        <w:rPr>
          <w:rFonts w:ascii="Arial" w:hAnsi="Arial" w:cs="Arial"/>
          <w:bCs/>
        </w:rPr>
        <w:t>since</w:t>
      </w:r>
      <w:r>
        <w:rPr>
          <w:rFonts w:ascii="Arial" w:hAnsi="Arial" w:cs="Arial"/>
          <w:bCs/>
        </w:rPr>
        <w:t xml:space="preserve"> synergis</w:t>
      </w:r>
      <w:r w:rsidR="004C5B86">
        <w:rPr>
          <w:rFonts w:ascii="Arial" w:hAnsi="Arial" w:cs="Arial"/>
          <w:bCs/>
        </w:rPr>
        <w:t>m may be an essential feature in</w:t>
      </w:r>
      <w:r>
        <w:rPr>
          <w:rFonts w:ascii="Arial" w:hAnsi="Arial" w:cs="Arial"/>
          <w:bCs/>
        </w:rPr>
        <w:t xml:space="preserve"> potentiating actions of </w:t>
      </w:r>
      <w:r w:rsidR="00571738">
        <w:rPr>
          <w:rFonts w:ascii="Arial" w:hAnsi="Arial" w:cs="Arial"/>
          <w:bCs/>
        </w:rPr>
        <w:t xml:space="preserve">the </w:t>
      </w:r>
      <w:r>
        <w:rPr>
          <w:rFonts w:ascii="Arial" w:hAnsi="Arial" w:cs="Arial"/>
          <w:bCs/>
        </w:rPr>
        <w:t xml:space="preserve">metabolic hormones on bone homeostasis. </w:t>
      </w:r>
    </w:p>
    <w:p w14:paraId="4B0EF074" w14:textId="77777777" w:rsidR="004816E2" w:rsidRDefault="004816E2" w:rsidP="00277A87">
      <w:pPr>
        <w:tabs>
          <w:tab w:val="left" w:pos="5670"/>
        </w:tabs>
        <w:spacing w:line="480" w:lineRule="auto"/>
        <w:jc w:val="both"/>
        <w:rPr>
          <w:rFonts w:ascii="Arial" w:hAnsi="Arial" w:cs="Arial"/>
          <w:bCs/>
        </w:rPr>
      </w:pPr>
    </w:p>
    <w:p w14:paraId="172B7F77" w14:textId="77777777" w:rsidR="00E01D75" w:rsidRDefault="004816E2" w:rsidP="00277A87">
      <w:pPr>
        <w:tabs>
          <w:tab w:val="left" w:pos="5670"/>
        </w:tabs>
        <w:spacing w:line="480" w:lineRule="auto"/>
        <w:jc w:val="both"/>
        <w:rPr>
          <w:rFonts w:ascii="Arial" w:hAnsi="Arial" w:cs="Arial"/>
          <w:bCs/>
        </w:rPr>
      </w:pPr>
      <w:r>
        <w:rPr>
          <w:rFonts w:ascii="Arial" w:hAnsi="Arial" w:cs="Arial"/>
          <w:bCs/>
        </w:rPr>
        <w:t xml:space="preserve">Given the integrated nature of the musculoskeletal system, it is highly likely </w:t>
      </w:r>
      <w:r w:rsidR="00AF4987">
        <w:rPr>
          <w:rFonts w:ascii="Arial" w:hAnsi="Arial" w:cs="Arial"/>
          <w:bCs/>
        </w:rPr>
        <w:t xml:space="preserve">that intervention with nutrition </w:t>
      </w:r>
      <w:r w:rsidR="006A42CC">
        <w:rPr>
          <w:rFonts w:ascii="Arial" w:hAnsi="Arial" w:cs="Arial"/>
          <w:bCs/>
        </w:rPr>
        <w:t>and physical activity</w:t>
      </w:r>
      <w:r w:rsidR="0054362A">
        <w:rPr>
          <w:rFonts w:ascii="Arial" w:hAnsi="Arial" w:cs="Arial"/>
          <w:bCs/>
        </w:rPr>
        <w:t>,</w:t>
      </w:r>
      <w:r w:rsidR="006A42CC">
        <w:rPr>
          <w:rFonts w:ascii="Arial" w:hAnsi="Arial" w:cs="Arial"/>
          <w:bCs/>
        </w:rPr>
        <w:t xml:space="preserve"> which benefit bone</w:t>
      </w:r>
      <w:r w:rsidR="00E01D75">
        <w:rPr>
          <w:rFonts w:ascii="Arial" w:hAnsi="Arial" w:cs="Arial"/>
          <w:bCs/>
        </w:rPr>
        <w:t>,</w:t>
      </w:r>
      <w:r w:rsidR="006A42CC">
        <w:rPr>
          <w:rFonts w:ascii="Arial" w:hAnsi="Arial" w:cs="Arial"/>
          <w:bCs/>
        </w:rPr>
        <w:t xml:space="preserve"> will also benefit muscle and other musculoskeletal tissues. </w:t>
      </w:r>
      <w:r w:rsidR="0054362A">
        <w:rPr>
          <w:rFonts w:ascii="Arial" w:hAnsi="Arial" w:cs="Arial"/>
          <w:bCs/>
        </w:rPr>
        <w:t>There is evidence that age-related loss of muscle mass</w:t>
      </w:r>
      <w:r w:rsidR="00156405">
        <w:rPr>
          <w:rFonts w:ascii="Arial" w:hAnsi="Arial" w:cs="Arial"/>
          <w:bCs/>
        </w:rPr>
        <w:t xml:space="preserve"> </w:t>
      </w:r>
      <w:r w:rsidR="0054362A">
        <w:rPr>
          <w:rFonts w:ascii="Arial" w:hAnsi="Arial" w:cs="Arial"/>
          <w:bCs/>
        </w:rPr>
        <w:t>(</w:t>
      </w:r>
      <w:r w:rsidR="00156405">
        <w:rPr>
          <w:rFonts w:ascii="Arial" w:hAnsi="Arial" w:cs="Arial"/>
          <w:bCs/>
        </w:rPr>
        <w:t>sarcopenia</w:t>
      </w:r>
      <w:r w:rsidR="0054362A">
        <w:rPr>
          <w:rFonts w:ascii="Arial" w:hAnsi="Arial" w:cs="Arial"/>
          <w:bCs/>
        </w:rPr>
        <w:t>)</w:t>
      </w:r>
      <w:r w:rsidR="00156405">
        <w:rPr>
          <w:rFonts w:ascii="Arial" w:hAnsi="Arial" w:cs="Arial"/>
          <w:bCs/>
        </w:rPr>
        <w:t xml:space="preserve"> </w:t>
      </w:r>
      <w:r w:rsidR="00E566AE">
        <w:rPr>
          <w:rFonts w:ascii="Arial" w:hAnsi="Arial" w:cs="Arial"/>
          <w:bCs/>
        </w:rPr>
        <w:t>is</w:t>
      </w:r>
      <w:r w:rsidR="00156405">
        <w:rPr>
          <w:rFonts w:ascii="Arial" w:hAnsi="Arial" w:cs="Arial"/>
          <w:bCs/>
        </w:rPr>
        <w:t xml:space="preserve"> linked to subsequent osteoporosis </w:t>
      </w:r>
      <w:r w:rsidR="00E566AE">
        <w:rPr>
          <w:rFonts w:ascii="Arial" w:hAnsi="Arial" w:cs="Arial"/>
          <w:bCs/>
        </w:rPr>
        <w:t xml:space="preserve">risk </w:t>
      </w:r>
      <w:r w:rsidR="00DB040D">
        <w:rPr>
          <w:rFonts w:ascii="Arial" w:hAnsi="Arial" w:cs="Arial"/>
          <w:bCs/>
        </w:rPr>
        <w:fldChar w:fldCharType="begin">
          <w:fldData xml:space="preserve">PEVuZE5vdGU+PENpdGU+PEF1dGhvcj5Hb2xkc3Bpbms8L0F1dGhvcj48WWVhcj4yMDEyPC9ZZWFy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</w:fldData>
        </w:fldChar>
      </w:r>
      <w:r w:rsidR="00651EFF">
        <w:rPr>
          <w:rFonts w:ascii="Arial" w:hAnsi="Arial" w:cs="Arial"/>
          <w:bCs/>
        </w:rPr>
        <w:instrText xml:space="preserve"> ADDIN EN.CITE </w:instrText>
      </w:r>
      <w:r w:rsidR="00651EFF">
        <w:rPr>
          <w:rFonts w:ascii="Arial" w:hAnsi="Arial" w:cs="Arial"/>
          <w:bCs/>
        </w:rPr>
        <w:fldChar w:fldCharType="begin">
          <w:fldData xml:space="preserve">PEVuZE5vdGU+PENpdGU+PEF1dGhvcj5Hb2xkc3Bpbms8L0F1dGhvcj48WWVhcj4yMDEyPC9ZZWFy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</w:fldData>
        </w:fldChar>
      </w:r>
      <w:r w:rsidR="00651EFF">
        <w:rPr>
          <w:rFonts w:ascii="Arial" w:hAnsi="Arial" w:cs="Arial"/>
          <w:bCs/>
        </w:rPr>
        <w:instrText xml:space="preserve"> ADDIN EN.CITE.DATA </w:instrText>
      </w:r>
      <w:r w:rsidR="00651EFF">
        <w:rPr>
          <w:rFonts w:ascii="Arial" w:hAnsi="Arial" w:cs="Arial"/>
          <w:bCs/>
        </w:rPr>
      </w:r>
      <w:r w:rsidR="00651EFF">
        <w:rPr>
          <w:rFonts w:ascii="Arial" w:hAnsi="Arial" w:cs="Arial"/>
          <w:bCs/>
        </w:rPr>
        <w:fldChar w:fldCharType="end"/>
      </w:r>
      <w:r w:rsidR="00DB040D">
        <w:rPr>
          <w:rFonts w:ascii="Arial" w:hAnsi="Arial" w:cs="Arial"/>
          <w:bCs/>
        </w:rPr>
      </w:r>
      <w:r w:rsidR="00DB040D">
        <w:rPr>
          <w:rFonts w:ascii="Arial" w:hAnsi="Arial" w:cs="Arial"/>
          <w:bCs/>
        </w:rPr>
        <w:fldChar w:fldCharType="separate"/>
      </w:r>
      <w:r w:rsidR="00DB040D">
        <w:rPr>
          <w:rFonts w:ascii="Arial" w:hAnsi="Arial" w:cs="Arial"/>
          <w:bCs/>
          <w:noProof/>
        </w:rPr>
        <w:t>(Goldspink, 2012, Paccou et al., 2012)</w:t>
      </w:r>
      <w:r w:rsidR="00DB040D">
        <w:rPr>
          <w:rFonts w:ascii="Arial" w:hAnsi="Arial" w:cs="Arial"/>
          <w:bCs/>
        </w:rPr>
        <w:fldChar w:fldCharType="end"/>
      </w:r>
      <w:r w:rsidR="00156405">
        <w:rPr>
          <w:rFonts w:ascii="Arial" w:hAnsi="Arial" w:cs="Arial"/>
          <w:bCs/>
        </w:rPr>
        <w:t xml:space="preserve">. </w:t>
      </w:r>
      <w:r w:rsidR="00E01D75">
        <w:rPr>
          <w:rFonts w:ascii="Arial" w:hAnsi="Arial" w:cs="Arial"/>
          <w:bCs/>
        </w:rPr>
        <w:t>This relationship may be mediated by the cross-talk involving molecules released by the skeletal muscle, which affect bone, and osteokin</w:t>
      </w:r>
      <w:r w:rsidR="00043001">
        <w:rPr>
          <w:rFonts w:ascii="Arial" w:hAnsi="Arial" w:cs="Arial"/>
          <w:bCs/>
        </w:rPr>
        <w:t>e</w:t>
      </w:r>
      <w:r w:rsidR="00E01D75">
        <w:rPr>
          <w:rFonts w:ascii="Arial" w:hAnsi="Arial" w:cs="Arial"/>
          <w:bCs/>
        </w:rPr>
        <w:t xml:space="preserve">s secreted by the osteoblasts and osteocytes, which affect muscle cells </w:t>
      </w:r>
      <w:r w:rsidR="00DA0DFD">
        <w:rPr>
          <w:rFonts w:ascii="Arial" w:hAnsi="Arial" w:cs="Arial"/>
          <w:bCs/>
        </w:rPr>
        <w:fldChar w:fldCharType="begin"/>
      </w:r>
      <w:r w:rsidR="00DA0DFD">
        <w:rPr>
          <w:rFonts w:ascii="Arial" w:hAnsi="Arial" w:cs="Arial"/>
          <w:bCs/>
        </w:rPr>
        <w:instrText xml:space="preserve"> ADDIN EN.CITE &lt;EndNote&gt;&lt;Cite&gt;&lt;Author&gt;Reginster&lt;/Author&gt;&lt;Year&gt;2015&lt;/Year&gt;&lt;RecNum&gt;665&lt;/RecNum&gt;&lt;DisplayText&gt;(Reginster et al., 2015)&lt;/DisplayText&gt;&lt;record&gt;&lt;rec-number&gt;665&lt;/rec-number&gt;&lt;foreign-keys&gt;&lt;key app="EN" db-id="ae9rewfrpdttrheppfxxv0p4950wpd25r09x" timestamp="1521576788"&gt;665&lt;/key&gt;&lt;/foreign-keys&gt;&lt;ref-type name="Journal Article"&gt;17&lt;/ref-type&gt;&lt;contributors&gt;&lt;authors&gt;&lt;author&gt;Reginster, J-Y.,&lt;/author&gt;&lt;author&gt;Beaudart, C.,&lt;/author&gt;&lt;author&gt;Buckinx, F.,&lt;/author&gt;&lt;author&gt;Bruyere, O.&lt;/author&gt;&lt;/authors&gt;&lt;/contributors&gt;&lt;titles&gt;&lt;title&gt;Osteoporosis and sarcopenia: two diseases or one?&lt;/title&gt;&lt;secondary-title&gt;Current Opinion in Clinical Nutrition and Metabolic Care&lt;/secondary-title&gt;&lt;/titles&gt;&lt;periodical&gt;&lt;full-title&gt;Current Opinion in Clinical Nutrition and Metabolic Care&lt;/full-title&gt;&lt;/periodical&gt;&lt;pages&gt;31-36&lt;/pages&gt;&lt;volume&gt;19&lt;/volume&gt;&lt;dates&gt;&lt;year&gt;2015&lt;/year&gt;&lt;/dates&gt;&lt;urls&gt;&lt;/urls&gt;&lt;/record&gt;&lt;/Cite&gt;&lt;/EndNote&gt;</w:instrText>
      </w:r>
      <w:r w:rsidR="00DA0DFD">
        <w:rPr>
          <w:rFonts w:ascii="Arial" w:hAnsi="Arial" w:cs="Arial"/>
          <w:bCs/>
        </w:rPr>
        <w:fldChar w:fldCharType="separate"/>
      </w:r>
      <w:r w:rsidR="00DA0DFD">
        <w:rPr>
          <w:rFonts w:ascii="Arial" w:hAnsi="Arial" w:cs="Arial"/>
          <w:bCs/>
          <w:noProof/>
        </w:rPr>
        <w:t>(Reginster et al., 2015)</w:t>
      </w:r>
      <w:r w:rsidR="00DA0DFD">
        <w:rPr>
          <w:rFonts w:ascii="Arial" w:hAnsi="Arial" w:cs="Arial"/>
          <w:bCs/>
        </w:rPr>
        <w:fldChar w:fldCharType="end"/>
      </w:r>
      <w:r w:rsidR="00F9646D">
        <w:rPr>
          <w:rFonts w:ascii="Arial" w:hAnsi="Arial" w:cs="Arial"/>
          <w:bCs/>
        </w:rPr>
        <w:t xml:space="preserve">. Consequently, future studies of the beneficial effects of combinations of nutrition and exercise in humans should be expanded to include investigation of effects on multiple musculoskeletal tissues since such interventions are likely to have pervasive effects. </w:t>
      </w:r>
    </w:p>
    <w:p w14:paraId="7AC5AC3A" w14:textId="77777777" w:rsidR="00832AB1" w:rsidRDefault="00832AB1" w:rsidP="00277A87">
      <w:pPr>
        <w:tabs>
          <w:tab w:val="left" w:pos="5670"/>
        </w:tabs>
        <w:spacing w:line="480" w:lineRule="auto"/>
        <w:jc w:val="both"/>
        <w:rPr>
          <w:rFonts w:ascii="Arial" w:hAnsi="Arial" w:cs="Arial"/>
          <w:bCs/>
        </w:rPr>
      </w:pPr>
    </w:p>
    <w:p w14:paraId="0C6D2F86" w14:textId="77777777" w:rsidR="00331A8B" w:rsidRDefault="00156405" w:rsidP="001341AF">
      <w:pPr>
        <w:tabs>
          <w:tab w:val="left" w:pos="5670"/>
        </w:tabs>
        <w:spacing w:line="480" w:lineRule="auto"/>
        <w:jc w:val="both"/>
        <w:rPr>
          <w:rFonts w:ascii="Arial" w:hAnsi="Arial" w:cs="Arial"/>
          <w:bCs/>
        </w:rPr>
      </w:pPr>
      <w:r>
        <w:rPr>
          <w:rFonts w:ascii="Arial" w:hAnsi="Arial" w:cs="Arial"/>
          <w:bCs/>
        </w:rPr>
        <w:lastRenderedPageBreak/>
        <w:t xml:space="preserve">Taken together, clinical, </w:t>
      </w:r>
      <w:r w:rsidRPr="00176696">
        <w:rPr>
          <w:rFonts w:ascii="Arial" w:hAnsi="Arial" w:cs="Arial"/>
          <w:bCs/>
          <w:i/>
        </w:rPr>
        <w:t>in vivo</w:t>
      </w:r>
      <w:r>
        <w:rPr>
          <w:rFonts w:ascii="Arial" w:hAnsi="Arial" w:cs="Arial"/>
          <w:bCs/>
        </w:rPr>
        <w:t xml:space="preserve"> animal and </w:t>
      </w:r>
      <w:r w:rsidRPr="00176696">
        <w:rPr>
          <w:rFonts w:ascii="Arial" w:hAnsi="Arial" w:cs="Arial"/>
          <w:bCs/>
          <w:i/>
        </w:rPr>
        <w:t>in vitro</w:t>
      </w:r>
      <w:r>
        <w:rPr>
          <w:rFonts w:ascii="Arial" w:hAnsi="Arial" w:cs="Arial"/>
          <w:bCs/>
        </w:rPr>
        <w:t xml:space="preserve"> studies suggest strong anabolic role of </w:t>
      </w:r>
      <w:r w:rsidR="00F9646D">
        <w:rPr>
          <w:rFonts w:ascii="Arial" w:hAnsi="Arial" w:cs="Arial"/>
          <w:bCs/>
        </w:rPr>
        <w:t>metabolic hormones o</w:t>
      </w:r>
      <w:r>
        <w:rPr>
          <w:rFonts w:ascii="Arial" w:hAnsi="Arial" w:cs="Arial"/>
          <w:bCs/>
        </w:rPr>
        <w:t xml:space="preserve">n bone, and further studies are needed to </w:t>
      </w:r>
      <w:r w:rsidR="00F9646D">
        <w:rPr>
          <w:rFonts w:ascii="Arial" w:hAnsi="Arial" w:cs="Arial"/>
          <w:bCs/>
        </w:rPr>
        <w:t>elucidate</w:t>
      </w:r>
      <w:r>
        <w:rPr>
          <w:rFonts w:ascii="Arial" w:hAnsi="Arial" w:cs="Arial"/>
          <w:bCs/>
        </w:rPr>
        <w:t xml:space="preserve"> the mechanisms underlying the observed potentiating effects of the hormones regulated by timing of feeding. </w:t>
      </w:r>
    </w:p>
    <w:p w14:paraId="53C4E44C" w14:textId="77777777" w:rsidR="00815290" w:rsidRDefault="00156405" w:rsidP="00D40E59">
      <w:pPr>
        <w:pStyle w:val="Heading2"/>
      </w:pPr>
      <w:bookmarkStart w:id="186" w:name="_Toc383723942"/>
      <w:r>
        <w:t xml:space="preserve">8.3 </w:t>
      </w:r>
      <w:r w:rsidRPr="000D51F9">
        <w:t>Conclusions and implications</w:t>
      </w:r>
      <w:bookmarkEnd w:id="186"/>
    </w:p>
    <w:p w14:paraId="43770F6D" w14:textId="77777777" w:rsidR="00156405" w:rsidRDefault="00156405" w:rsidP="00277A87">
      <w:pPr>
        <w:tabs>
          <w:tab w:val="left" w:pos="5670"/>
        </w:tabs>
        <w:spacing w:line="480" w:lineRule="auto"/>
        <w:jc w:val="both"/>
        <w:rPr>
          <w:rFonts w:ascii="Arial" w:hAnsi="Arial"/>
        </w:rPr>
      </w:pPr>
      <w:r w:rsidRPr="00815290">
        <w:rPr>
          <w:rFonts w:ascii="Arial" w:hAnsi="Arial"/>
        </w:rPr>
        <w:t>The studies discussed in this thesis provide evidence that bone’s adaptive response to loading depends on the timing of feeding. Food ingestion for 2 hours following overnight 16-hour fast potentiates bone’s response to osteogenic mechanical loading in young adult, but not aged mice. Changing timing of feeding turns ineffective mechanical loading that does not normall</w:t>
      </w:r>
      <w:r w:rsidR="006E1E12">
        <w:rPr>
          <w:rFonts w:ascii="Arial" w:hAnsi="Arial"/>
        </w:rPr>
        <w:t>y cause bone formation, into an effective intervention</w:t>
      </w:r>
      <w:r w:rsidRPr="00815290">
        <w:rPr>
          <w:rFonts w:ascii="Arial" w:hAnsi="Arial"/>
        </w:rPr>
        <w:t xml:space="preserve"> and enhances bone’s response to loading. </w:t>
      </w:r>
    </w:p>
    <w:p w14:paraId="49979DF1" w14:textId="77777777" w:rsidR="00815290" w:rsidRPr="00815290" w:rsidRDefault="00815290" w:rsidP="00277A87">
      <w:pPr>
        <w:tabs>
          <w:tab w:val="left" w:pos="5670"/>
        </w:tabs>
        <w:spacing w:line="480" w:lineRule="auto"/>
        <w:jc w:val="both"/>
        <w:rPr>
          <w:rFonts w:ascii="Arial" w:hAnsi="Arial"/>
          <w:color w:val="000000" w:themeColor="text1"/>
        </w:rPr>
      </w:pPr>
    </w:p>
    <w:p w14:paraId="5892FC1E" w14:textId="77777777" w:rsidR="00156405" w:rsidRPr="00815290" w:rsidRDefault="00156405" w:rsidP="00277A87">
      <w:pPr>
        <w:tabs>
          <w:tab w:val="left" w:pos="5670"/>
        </w:tabs>
        <w:spacing w:line="480" w:lineRule="auto"/>
        <w:jc w:val="both"/>
        <w:rPr>
          <w:rFonts w:ascii="Arial" w:hAnsi="Arial"/>
        </w:rPr>
      </w:pPr>
      <w:r w:rsidRPr="00815290">
        <w:rPr>
          <w:rFonts w:ascii="Arial" w:hAnsi="Arial"/>
        </w:rPr>
        <w:t xml:space="preserve">The assessment of metabolic hormone concentrations in fasted and fed states regulated by timing of feeding provides </w:t>
      </w:r>
      <w:r w:rsidR="006E1E12">
        <w:rPr>
          <w:rFonts w:ascii="Arial" w:hAnsi="Arial"/>
        </w:rPr>
        <w:t>novel insight into the possible mechanisms,</w:t>
      </w:r>
      <w:r w:rsidRPr="00815290">
        <w:rPr>
          <w:rFonts w:ascii="Arial" w:hAnsi="Arial"/>
        </w:rPr>
        <w:t xml:space="preserve"> which may underlie bone’s potentiated response to loading. It expands our understanding of the synergies between anabolic osteotropic factors influenced by timing of feeding and bone homeostasis, and the effect of ageing on mediators of bone’s adaptive response to loading. </w:t>
      </w:r>
    </w:p>
    <w:p w14:paraId="19DEF560" w14:textId="77777777" w:rsidR="00156405" w:rsidRPr="00815290" w:rsidRDefault="00156405" w:rsidP="00277A87">
      <w:pPr>
        <w:tabs>
          <w:tab w:val="left" w:pos="5670"/>
        </w:tabs>
        <w:spacing w:line="480" w:lineRule="auto"/>
        <w:jc w:val="both"/>
        <w:rPr>
          <w:rFonts w:ascii="Arial" w:hAnsi="Arial"/>
        </w:rPr>
      </w:pPr>
    </w:p>
    <w:p w14:paraId="19781BA0" w14:textId="77777777" w:rsidR="00156405" w:rsidRPr="006E1E12" w:rsidRDefault="00156405" w:rsidP="00277A87">
      <w:pPr>
        <w:tabs>
          <w:tab w:val="left" w:pos="5670"/>
        </w:tabs>
        <w:spacing w:line="480" w:lineRule="auto"/>
        <w:jc w:val="both"/>
        <w:rPr>
          <w:rFonts w:ascii="Arial" w:hAnsi="Arial" w:cs="Arial"/>
        </w:rPr>
      </w:pPr>
      <w:r w:rsidRPr="00815290">
        <w:rPr>
          <w:rFonts w:ascii="Arial" w:hAnsi="Arial" w:cs="Arial"/>
        </w:rPr>
        <w:t xml:space="preserve">These findings have implications for skeletal health </w:t>
      </w:r>
      <w:r w:rsidR="006E1E12">
        <w:rPr>
          <w:rFonts w:ascii="Arial" w:hAnsi="Arial" w:cs="Arial"/>
        </w:rPr>
        <w:t>throughout the</w:t>
      </w:r>
      <w:r w:rsidRPr="00815290">
        <w:rPr>
          <w:rFonts w:ascii="Arial" w:hAnsi="Arial" w:cs="Arial"/>
        </w:rPr>
        <w:t xml:space="preserve"> life</w:t>
      </w:r>
      <w:r w:rsidR="006E1E12">
        <w:rPr>
          <w:rFonts w:ascii="Arial" w:hAnsi="Arial" w:cs="Arial"/>
        </w:rPr>
        <w:t>-</w:t>
      </w:r>
      <w:r w:rsidRPr="00815290">
        <w:rPr>
          <w:rFonts w:ascii="Arial" w:hAnsi="Arial" w:cs="Arial"/>
        </w:rPr>
        <w:t>course</w:t>
      </w:r>
      <w:r w:rsidR="006E1E12">
        <w:rPr>
          <w:rFonts w:ascii="Arial" w:hAnsi="Arial" w:cs="Arial"/>
        </w:rPr>
        <w:t xml:space="preserve">. However, the observations made in mice in the present study will need to be confirmed by direct experimentation in humans, especially in elderly adults, before it will be possible to provide evidence-based advice on lifestyle choices in humans for example about when </w:t>
      </w:r>
      <w:r w:rsidRPr="00815290">
        <w:rPr>
          <w:rFonts w:ascii="Arial" w:eastAsiaTheme="minorHAnsi" w:hAnsi="Arial"/>
          <w:bCs/>
        </w:rPr>
        <w:t xml:space="preserve">to exercise in relation to meals.  </w:t>
      </w:r>
      <w:r w:rsidRPr="00815290">
        <w:rPr>
          <w:rFonts w:ascii="Arial" w:hAnsi="Arial" w:cs="Arial"/>
          <w:bCs/>
        </w:rPr>
        <w:t xml:space="preserve">Endocrine mediators of how bone responds to </w:t>
      </w:r>
      <w:r w:rsidR="006E1E12">
        <w:rPr>
          <w:rFonts w:ascii="Arial" w:hAnsi="Arial" w:cs="Arial"/>
          <w:bCs/>
        </w:rPr>
        <w:t xml:space="preserve">mechanical </w:t>
      </w:r>
      <w:r w:rsidRPr="00815290">
        <w:rPr>
          <w:rFonts w:ascii="Arial" w:hAnsi="Arial" w:cs="Arial"/>
          <w:bCs/>
        </w:rPr>
        <w:t xml:space="preserve">loading may be potential therapeutic targets for the treatment of osteoporosis. Thus, the findings from this group of studies form a strong platform to expand the studies into humans with </w:t>
      </w:r>
      <w:r w:rsidRPr="00815290">
        <w:rPr>
          <w:rFonts w:ascii="Arial" w:hAnsi="Arial" w:cs="Arial"/>
          <w:bCs/>
        </w:rPr>
        <w:lastRenderedPageBreak/>
        <w:t xml:space="preserve">potential clinical applications on bone and other musculoskeletal tissues and </w:t>
      </w:r>
      <w:r w:rsidR="006E1E12">
        <w:rPr>
          <w:rFonts w:ascii="Arial" w:hAnsi="Arial" w:cs="Arial"/>
          <w:bCs/>
        </w:rPr>
        <w:t xml:space="preserve">for the development of </w:t>
      </w:r>
      <w:r w:rsidRPr="00815290">
        <w:rPr>
          <w:rFonts w:ascii="Arial" w:hAnsi="Arial" w:cs="Arial"/>
          <w:bCs/>
        </w:rPr>
        <w:t>effective intervention</w:t>
      </w:r>
      <w:r w:rsidR="006E1E12">
        <w:rPr>
          <w:rFonts w:ascii="Arial" w:hAnsi="Arial" w:cs="Arial"/>
          <w:bCs/>
        </w:rPr>
        <w:t>s</w:t>
      </w:r>
      <w:r w:rsidRPr="00815290">
        <w:rPr>
          <w:rFonts w:ascii="Arial" w:hAnsi="Arial" w:cs="Arial"/>
          <w:bCs/>
        </w:rPr>
        <w:t xml:space="preserve"> to enhance the beneficial effects of exercise.</w:t>
      </w:r>
    </w:p>
    <w:p w14:paraId="2FC881FF" w14:textId="77777777" w:rsidR="000F514C" w:rsidRDefault="000F514C" w:rsidP="007A1FC4"/>
    <w:p w14:paraId="3A2FE84E" w14:textId="77777777" w:rsidR="007A1FC4" w:rsidRDefault="007A1FC4" w:rsidP="007A1FC4"/>
    <w:p w14:paraId="5AEFDBEA" w14:textId="77777777" w:rsidR="007A1FC4" w:rsidRDefault="007A1FC4" w:rsidP="007A1FC4"/>
    <w:p w14:paraId="3ED48935" w14:textId="77777777" w:rsidR="00AD13C5" w:rsidRDefault="00AD13C5" w:rsidP="007A1FC4"/>
    <w:p w14:paraId="7AA090FD" w14:textId="77777777" w:rsidR="00AD13C5" w:rsidRDefault="00AD13C5" w:rsidP="007A1FC4"/>
    <w:p w14:paraId="7CE738D6" w14:textId="77777777" w:rsidR="00AD13C5" w:rsidRDefault="00AD13C5" w:rsidP="007A1FC4"/>
    <w:p w14:paraId="4D7C5E8E" w14:textId="77777777" w:rsidR="00AD13C5" w:rsidRDefault="00AD13C5" w:rsidP="007A1FC4"/>
    <w:p w14:paraId="37444E52" w14:textId="77777777" w:rsidR="00AB70D9" w:rsidRDefault="00AB70D9" w:rsidP="007A1FC4"/>
    <w:p w14:paraId="527D665F" w14:textId="77777777" w:rsidR="00AB70D9" w:rsidRDefault="00AB70D9" w:rsidP="007A1FC4"/>
    <w:p w14:paraId="2FCD2866" w14:textId="77777777" w:rsidR="00AB70D9" w:rsidRDefault="00AB70D9" w:rsidP="007A1FC4"/>
    <w:p w14:paraId="6C939B62" w14:textId="77777777" w:rsidR="00AB70D9" w:rsidRDefault="00AB70D9" w:rsidP="007A1FC4"/>
    <w:p w14:paraId="75BCDFA1" w14:textId="77777777" w:rsidR="00AB70D9" w:rsidRDefault="00AB70D9" w:rsidP="007A1FC4"/>
    <w:p w14:paraId="69DC2C61" w14:textId="77777777" w:rsidR="00AB70D9" w:rsidRDefault="00AB70D9" w:rsidP="007A1FC4"/>
    <w:p w14:paraId="3E9F800C" w14:textId="77777777" w:rsidR="00AB70D9" w:rsidRDefault="00AB70D9" w:rsidP="007A1FC4"/>
    <w:p w14:paraId="08001B0A" w14:textId="77777777" w:rsidR="00AB70D9" w:rsidRDefault="00AB70D9" w:rsidP="007A1FC4"/>
    <w:p w14:paraId="0719F779" w14:textId="77777777" w:rsidR="00AB70D9" w:rsidRDefault="00AB70D9" w:rsidP="007A1FC4"/>
    <w:p w14:paraId="0A379036" w14:textId="77777777" w:rsidR="00AB70D9" w:rsidRDefault="00AB70D9" w:rsidP="007A1FC4"/>
    <w:p w14:paraId="10A42463" w14:textId="77777777" w:rsidR="00AB70D9" w:rsidRDefault="00AB70D9" w:rsidP="007A1FC4"/>
    <w:p w14:paraId="0414A95C" w14:textId="77777777" w:rsidR="00AB70D9" w:rsidRDefault="00AB70D9" w:rsidP="007A1FC4"/>
    <w:p w14:paraId="27B1D529" w14:textId="77777777" w:rsidR="00AB70D9" w:rsidRDefault="00AB70D9" w:rsidP="007A1FC4"/>
    <w:p w14:paraId="6C4B5C36" w14:textId="77777777" w:rsidR="00AB70D9" w:rsidRDefault="00AB70D9" w:rsidP="007A1FC4"/>
    <w:p w14:paraId="221D670D" w14:textId="77777777" w:rsidR="00AB70D9" w:rsidRDefault="00AB70D9" w:rsidP="007A1FC4"/>
    <w:p w14:paraId="5D0712B2" w14:textId="77777777" w:rsidR="00AB70D9" w:rsidRDefault="00AB70D9" w:rsidP="007A1FC4"/>
    <w:p w14:paraId="7365209C" w14:textId="77777777" w:rsidR="00AB70D9" w:rsidRDefault="00AB70D9" w:rsidP="007A1FC4"/>
    <w:p w14:paraId="09A0FABC" w14:textId="77777777" w:rsidR="00AB70D9" w:rsidRDefault="00AB70D9" w:rsidP="007A1FC4"/>
    <w:p w14:paraId="7FBFADB9" w14:textId="77777777" w:rsidR="00AB70D9" w:rsidRDefault="00AB70D9" w:rsidP="007A1FC4"/>
    <w:p w14:paraId="77789195" w14:textId="77777777" w:rsidR="00AB70D9" w:rsidRDefault="00AB70D9" w:rsidP="007A1FC4"/>
    <w:p w14:paraId="6775F93D" w14:textId="77777777" w:rsidR="00AB70D9" w:rsidRDefault="00AB70D9" w:rsidP="007A1FC4"/>
    <w:p w14:paraId="33E77998" w14:textId="77777777" w:rsidR="00AB70D9" w:rsidRDefault="00AB70D9" w:rsidP="007A1FC4"/>
    <w:p w14:paraId="52308D4A" w14:textId="77777777" w:rsidR="00AB70D9" w:rsidRDefault="00AB70D9" w:rsidP="007A1FC4"/>
    <w:p w14:paraId="2BA93E41" w14:textId="77777777" w:rsidR="00AB70D9" w:rsidRDefault="00AB70D9" w:rsidP="007A1FC4"/>
    <w:p w14:paraId="16C60C72" w14:textId="77777777" w:rsidR="00AB70D9" w:rsidRDefault="00AB70D9" w:rsidP="007A1FC4"/>
    <w:p w14:paraId="46D83A2B" w14:textId="77777777" w:rsidR="00AB70D9" w:rsidRDefault="00AB70D9" w:rsidP="007A1FC4"/>
    <w:p w14:paraId="703C6BC5" w14:textId="77777777" w:rsidR="00AB70D9" w:rsidRDefault="00AB70D9" w:rsidP="007A1FC4"/>
    <w:p w14:paraId="58FF50D6" w14:textId="77777777" w:rsidR="00AB70D9" w:rsidRDefault="00AB70D9" w:rsidP="007A1FC4"/>
    <w:p w14:paraId="55CD0DB6" w14:textId="77777777" w:rsidR="00AB70D9" w:rsidRDefault="00AB70D9" w:rsidP="007A1FC4"/>
    <w:p w14:paraId="3693F581" w14:textId="77777777" w:rsidR="00AB70D9" w:rsidRDefault="00AB70D9" w:rsidP="007A1FC4"/>
    <w:p w14:paraId="653E2F67" w14:textId="77777777" w:rsidR="00D90096" w:rsidRDefault="00D90096" w:rsidP="007A1FC4"/>
    <w:p w14:paraId="1DAD5E95" w14:textId="77777777" w:rsidR="00D90096" w:rsidRDefault="00D90096" w:rsidP="007A1FC4"/>
    <w:p w14:paraId="1F123DA4" w14:textId="77777777" w:rsidR="00D90096" w:rsidRDefault="00D90096" w:rsidP="007A1FC4"/>
    <w:p w14:paraId="19D3894F" w14:textId="77777777" w:rsidR="00D90096" w:rsidRDefault="00D90096" w:rsidP="007A1FC4"/>
    <w:p w14:paraId="63474F2C" w14:textId="77777777" w:rsidR="00D90096" w:rsidRDefault="00D90096" w:rsidP="007A1FC4"/>
    <w:p w14:paraId="41B54305" w14:textId="77777777" w:rsidR="00D90096" w:rsidRDefault="00D90096" w:rsidP="007A1FC4"/>
    <w:p w14:paraId="61D8F034" w14:textId="77777777" w:rsidR="00406487" w:rsidRDefault="00406487" w:rsidP="007A1FC4"/>
    <w:p w14:paraId="5A83EF7A" w14:textId="77777777" w:rsidR="007A1FC4" w:rsidRPr="007A1FC4" w:rsidRDefault="00A72FBA" w:rsidP="00204988">
      <w:pPr>
        <w:pStyle w:val="Heading1"/>
      </w:pPr>
      <w:bookmarkStart w:id="187" w:name="_Toc381045580"/>
      <w:bookmarkStart w:id="188" w:name="_Toc383723943"/>
      <w:r w:rsidRPr="00D34460">
        <w:lastRenderedPageBreak/>
        <w:t>Bibliography</w:t>
      </w:r>
      <w:bookmarkEnd w:id="187"/>
      <w:bookmarkEnd w:id="188"/>
    </w:p>
    <w:p w14:paraId="12870D70" w14:textId="77777777" w:rsidR="00217472" w:rsidRPr="00217472" w:rsidRDefault="002F245D" w:rsidP="002F245D">
      <w:pPr>
        <w:tabs>
          <w:tab w:val="left" w:pos="5680"/>
        </w:tabs>
      </w:pPr>
      <w:r>
        <w:tab/>
      </w:r>
    </w:p>
    <w:p w14:paraId="621B4DAA" w14:textId="77777777" w:rsidR="00B32AAB" w:rsidRPr="000A6777" w:rsidRDefault="00580FF9" w:rsidP="000A6777">
      <w:pPr>
        <w:pStyle w:val="EndNoteBibliography"/>
        <w:ind w:left="720" w:hanging="720"/>
        <w:jc w:val="both"/>
        <w:rPr>
          <w:noProof/>
        </w:rPr>
      </w:pPr>
      <w:r w:rsidRPr="000A6777">
        <w:fldChar w:fldCharType="begin"/>
      </w:r>
      <w:r w:rsidRPr="000A6777">
        <w:instrText xml:space="preserve"> ADDIN EN.REFLIST </w:instrText>
      </w:r>
      <w:r w:rsidRPr="000A6777">
        <w:fldChar w:fldCharType="separate"/>
      </w:r>
      <w:r w:rsidR="00B32AAB" w:rsidRPr="000A6777">
        <w:rPr>
          <w:noProof/>
        </w:rPr>
        <w:t xml:space="preserve">Abdallah, B. M., Kassem, M. (2009) The use of mesenchymal (skeletal) stem cells for treatment of degenerative diseases: Current status and future perspectives. </w:t>
      </w:r>
      <w:r w:rsidR="00B32AAB" w:rsidRPr="000A6777">
        <w:rPr>
          <w:i/>
          <w:noProof/>
        </w:rPr>
        <w:t>Journal of Cellular Physiology,</w:t>
      </w:r>
      <w:r w:rsidR="00B32AAB" w:rsidRPr="000A6777">
        <w:rPr>
          <w:noProof/>
        </w:rPr>
        <w:t xml:space="preserve"> 218</w:t>
      </w:r>
      <w:r w:rsidR="00B32AAB" w:rsidRPr="000A6777">
        <w:rPr>
          <w:b/>
          <w:noProof/>
        </w:rPr>
        <w:t>:</w:t>
      </w:r>
      <w:r w:rsidR="00B32AAB" w:rsidRPr="000A6777">
        <w:rPr>
          <w:noProof/>
        </w:rPr>
        <w:t xml:space="preserve"> 9-12.</w:t>
      </w:r>
    </w:p>
    <w:p w14:paraId="4C7F53A4" w14:textId="77777777" w:rsidR="00B32AAB" w:rsidRPr="000A6777" w:rsidRDefault="00B32AAB" w:rsidP="000A6777">
      <w:pPr>
        <w:pStyle w:val="EndNoteBibliography"/>
        <w:ind w:left="720" w:hanging="720"/>
        <w:jc w:val="both"/>
        <w:rPr>
          <w:noProof/>
        </w:rPr>
      </w:pPr>
      <w:r w:rsidRPr="000A6777">
        <w:rPr>
          <w:noProof/>
        </w:rPr>
        <w:t xml:space="preserve">Agouni, A., Owen, C., Czopek, A., Mody, N., Delibegovic, M. (2010) In vivo differential effects of fasting, re- feeding, insulin and insulin stimulation time course on insulin signaling pathway components in peripheral tissues. </w:t>
      </w:r>
      <w:r w:rsidRPr="000A6777">
        <w:rPr>
          <w:i/>
          <w:noProof/>
        </w:rPr>
        <w:t>Biochemical and Biophysical Research Communications,</w:t>
      </w:r>
      <w:r w:rsidRPr="000A6777">
        <w:rPr>
          <w:noProof/>
        </w:rPr>
        <w:t xml:space="preserve"> 401</w:t>
      </w:r>
      <w:r w:rsidRPr="000A6777">
        <w:rPr>
          <w:b/>
          <w:noProof/>
        </w:rPr>
        <w:t>:</w:t>
      </w:r>
      <w:r w:rsidRPr="000A6777">
        <w:rPr>
          <w:noProof/>
        </w:rPr>
        <w:t xml:space="preserve"> 104-111.</w:t>
      </w:r>
    </w:p>
    <w:p w14:paraId="4BB88F19" w14:textId="77777777" w:rsidR="00B32AAB" w:rsidRPr="000A6777" w:rsidRDefault="00B32AAB" w:rsidP="000A6777">
      <w:pPr>
        <w:pStyle w:val="EndNoteBibliography"/>
        <w:ind w:left="720" w:hanging="720"/>
        <w:jc w:val="both"/>
        <w:rPr>
          <w:noProof/>
        </w:rPr>
      </w:pPr>
      <w:r w:rsidRPr="000A6777">
        <w:rPr>
          <w:noProof/>
        </w:rPr>
        <w:t xml:space="preserve">Akhter, M. P., Cullen, D. M., Pedersen, E. A., Kimmel, D. B., Recker, R. R. (1998) Bone response to in vivo mechanical loading in two breeds of mice. </w:t>
      </w:r>
      <w:r w:rsidRPr="000A6777">
        <w:rPr>
          <w:i/>
          <w:noProof/>
        </w:rPr>
        <w:t>Calcified Tissue International,</w:t>
      </w:r>
      <w:r w:rsidRPr="000A6777">
        <w:rPr>
          <w:noProof/>
        </w:rPr>
        <w:t xml:space="preserve"> 63</w:t>
      </w:r>
      <w:r w:rsidRPr="000A6777">
        <w:rPr>
          <w:b/>
          <w:noProof/>
        </w:rPr>
        <w:t>:</w:t>
      </w:r>
      <w:r w:rsidRPr="000A6777">
        <w:rPr>
          <w:noProof/>
        </w:rPr>
        <w:t xml:space="preserve"> 442-449.</w:t>
      </w:r>
    </w:p>
    <w:p w14:paraId="025687BB" w14:textId="77777777" w:rsidR="00B32AAB" w:rsidRPr="000A6777" w:rsidRDefault="00B32AAB" w:rsidP="000A6777">
      <w:pPr>
        <w:pStyle w:val="EndNoteBibliography"/>
        <w:ind w:left="720" w:hanging="720"/>
        <w:jc w:val="both"/>
        <w:rPr>
          <w:noProof/>
        </w:rPr>
      </w:pPr>
      <w:r w:rsidRPr="000A6777">
        <w:rPr>
          <w:noProof/>
        </w:rPr>
        <w:t xml:space="preserve">Alam, A. S. M. T., Moonga, B. S., Bevis, P. J. R., Huang, C. L. H., Zaidi, M. (1993) Amylin inhibits bone resorption by a direct effect on the motility of rat osteoclasts. </w:t>
      </w:r>
      <w:r w:rsidRPr="000A6777">
        <w:rPr>
          <w:i/>
          <w:noProof/>
        </w:rPr>
        <w:t>Experimental Physiology,</w:t>
      </w:r>
      <w:r w:rsidRPr="000A6777">
        <w:rPr>
          <w:noProof/>
        </w:rPr>
        <w:t xml:space="preserve"> 78</w:t>
      </w:r>
      <w:r w:rsidRPr="000A6777">
        <w:rPr>
          <w:b/>
          <w:noProof/>
        </w:rPr>
        <w:t>:</w:t>
      </w:r>
      <w:r w:rsidRPr="000A6777">
        <w:rPr>
          <w:noProof/>
        </w:rPr>
        <w:t xml:space="preserve"> 183-196.</w:t>
      </w:r>
    </w:p>
    <w:p w14:paraId="4CA1B5A6" w14:textId="77777777" w:rsidR="00B32AAB" w:rsidRPr="000A6777" w:rsidRDefault="00B32AAB" w:rsidP="000A6777">
      <w:pPr>
        <w:pStyle w:val="EndNoteBibliography"/>
        <w:ind w:left="720" w:hanging="720"/>
        <w:jc w:val="both"/>
        <w:rPr>
          <w:noProof/>
        </w:rPr>
      </w:pPr>
      <w:r w:rsidRPr="000A6777">
        <w:rPr>
          <w:noProof/>
        </w:rPr>
        <w:t xml:space="preserve">Albers, J., Keller, J., Baranowsky, A., Beil, F. T., Catala-Lehnen, P., Schulze, J., Amling, M., Schinke, T. (2013) Canonical Wnt signaling inhibits osteoclastogenesis independent of osteoprotegerin. </w:t>
      </w:r>
      <w:r w:rsidRPr="000A6777">
        <w:rPr>
          <w:i/>
          <w:noProof/>
        </w:rPr>
        <w:t>Journal of Cell Biology,</w:t>
      </w:r>
      <w:r w:rsidRPr="000A6777">
        <w:rPr>
          <w:noProof/>
        </w:rPr>
        <w:t xml:space="preserve"> 200</w:t>
      </w:r>
      <w:r w:rsidRPr="000A6777">
        <w:rPr>
          <w:b/>
          <w:noProof/>
        </w:rPr>
        <w:t>:</w:t>
      </w:r>
      <w:r w:rsidRPr="000A6777">
        <w:rPr>
          <w:noProof/>
        </w:rPr>
        <w:t xml:space="preserve"> 537-549.</w:t>
      </w:r>
    </w:p>
    <w:p w14:paraId="72C27B4B" w14:textId="77777777" w:rsidR="00B32AAB" w:rsidRPr="000A6777" w:rsidRDefault="00B32AAB" w:rsidP="000A6777">
      <w:pPr>
        <w:pStyle w:val="EndNoteBibliography"/>
        <w:ind w:left="720" w:hanging="720"/>
        <w:jc w:val="both"/>
        <w:rPr>
          <w:noProof/>
        </w:rPr>
      </w:pPr>
      <w:r w:rsidRPr="000A6777">
        <w:rPr>
          <w:noProof/>
        </w:rPr>
        <w:t xml:space="preserve">Almeida, M., Han, L., Martin-Millan, M., Brien, C. A., Manolagas, S. C. (2007a) Oxidative stress antagonizes Wnt signaling in osteoblast precursors by diverting beta- catenin from T cell factor- to forkhead box O- mediated transcription. </w:t>
      </w:r>
      <w:r w:rsidRPr="000A6777">
        <w:rPr>
          <w:i/>
          <w:noProof/>
        </w:rPr>
        <w:t>Journal of Biological Chemistry,</w:t>
      </w:r>
      <w:r w:rsidRPr="000A6777">
        <w:rPr>
          <w:noProof/>
        </w:rPr>
        <w:t xml:space="preserve"> 282</w:t>
      </w:r>
      <w:r w:rsidRPr="000A6777">
        <w:rPr>
          <w:b/>
          <w:noProof/>
        </w:rPr>
        <w:t>:</w:t>
      </w:r>
      <w:r w:rsidRPr="000A6777">
        <w:rPr>
          <w:noProof/>
        </w:rPr>
        <w:t xml:space="preserve"> 27298-27305.</w:t>
      </w:r>
    </w:p>
    <w:p w14:paraId="2A00E2DC" w14:textId="77777777" w:rsidR="00B32AAB" w:rsidRPr="000A6777" w:rsidRDefault="00B32AAB" w:rsidP="000A6777">
      <w:pPr>
        <w:pStyle w:val="EndNoteBibliography"/>
        <w:ind w:left="720" w:hanging="720"/>
        <w:jc w:val="both"/>
        <w:rPr>
          <w:noProof/>
        </w:rPr>
      </w:pPr>
      <w:r w:rsidRPr="000A6777">
        <w:rPr>
          <w:noProof/>
        </w:rPr>
        <w:t xml:space="preserve">Almeida, M., Han, L., Martin-Millan, M., Plotkin, L., Stewart, S., Roberson, P., Kousteni, S., Brien, C., Bellido, T., Parfitt, A., Weinstein, R., Jilka, R., Manolagas, S. (2007b) Skeletal Involution by Age- associated Oxidative Stress and Its Acceleration by Loss of Sex Steroids. </w:t>
      </w:r>
      <w:r w:rsidRPr="000A6777">
        <w:rPr>
          <w:i/>
          <w:noProof/>
        </w:rPr>
        <w:t>Journal of Biological Chemistry,</w:t>
      </w:r>
      <w:r w:rsidRPr="000A6777">
        <w:rPr>
          <w:noProof/>
        </w:rPr>
        <w:t xml:space="preserve"> 282</w:t>
      </w:r>
      <w:r w:rsidRPr="000A6777">
        <w:rPr>
          <w:b/>
          <w:noProof/>
        </w:rPr>
        <w:t>:</w:t>
      </w:r>
      <w:r w:rsidRPr="000A6777">
        <w:rPr>
          <w:noProof/>
        </w:rPr>
        <w:t xml:space="preserve"> 27285-27297.</w:t>
      </w:r>
    </w:p>
    <w:p w14:paraId="7F0BDA13" w14:textId="77777777" w:rsidR="00B32AAB" w:rsidRPr="000A6777" w:rsidRDefault="00B32AAB" w:rsidP="000A6777">
      <w:pPr>
        <w:pStyle w:val="EndNoteBibliography"/>
        <w:ind w:left="720" w:hanging="720"/>
        <w:jc w:val="both"/>
        <w:rPr>
          <w:noProof/>
        </w:rPr>
      </w:pPr>
      <w:r w:rsidRPr="000A6777">
        <w:rPr>
          <w:noProof/>
        </w:rPr>
        <w:t xml:space="preserve">Almeida, M., O’Brien, C. A. (2013) Basic Biology of Skeletal Aging: Role of Stress Response Pathways. </w:t>
      </w:r>
      <w:r w:rsidRPr="000A6777">
        <w:rPr>
          <w:i/>
          <w:noProof/>
        </w:rPr>
        <w:t>The Journals of Gerontology. Series A, Biological Sciences and Medical Sciences,</w:t>
      </w:r>
      <w:r w:rsidRPr="000A6777">
        <w:rPr>
          <w:noProof/>
        </w:rPr>
        <w:t xml:space="preserve"> 68</w:t>
      </w:r>
      <w:r w:rsidRPr="000A6777">
        <w:rPr>
          <w:b/>
          <w:noProof/>
        </w:rPr>
        <w:t>:</w:t>
      </w:r>
      <w:r w:rsidRPr="000A6777">
        <w:rPr>
          <w:noProof/>
        </w:rPr>
        <w:t xml:space="preserve"> 1197-1208.</w:t>
      </w:r>
    </w:p>
    <w:p w14:paraId="04BA0809" w14:textId="77777777" w:rsidR="00B32AAB" w:rsidRPr="000A6777" w:rsidRDefault="00B32AAB" w:rsidP="000A6777">
      <w:pPr>
        <w:pStyle w:val="EndNoteBibliography"/>
        <w:ind w:left="720" w:hanging="720"/>
        <w:jc w:val="both"/>
        <w:rPr>
          <w:noProof/>
        </w:rPr>
      </w:pPr>
      <w:r w:rsidRPr="000A6777">
        <w:rPr>
          <w:noProof/>
        </w:rPr>
        <w:t xml:space="preserve">Amaral, R. S. (2010) Use of Alternative Matrices to Monitor Steroid Hormones in Aquatic Mammals: A Review. </w:t>
      </w:r>
      <w:r w:rsidRPr="000A6777">
        <w:rPr>
          <w:i/>
          <w:noProof/>
        </w:rPr>
        <w:t>Aquatic Mammals,</w:t>
      </w:r>
      <w:r w:rsidRPr="000A6777">
        <w:rPr>
          <w:noProof/>
        </w:rPr>
        <w:t xml:space="preserve"> 36</w:t>
      </w:r>
      <w:r w:rsidRPr="000A6777">
        <w:rPr>
          <w:b/>
          <w:noProof/>
        </w:rPr>
        <w:t>:</w:t>
      </w:r>
      <w:r w:rsidRPr="000A6777">
        <w:rPr>
          <w:noProof/>
        </w:rPr>
        <w:t xml:space="preserve"> 162-171.</w:t>
      </w:r>
    </w:p>
    <w:p w14:paraId="6FD301EE" w14:textId="77777777" w:rsidR="00B32AAB" w:rsidRPr="000A6777" w:rsidRDefault="00B32AAB" w:rsidP="000A6777">
      <w:pPr>
        <w:pStyle w:val="EndNoteBibliography"/>
        <w:ind w:left="720" w:hanging="720"/>
        <w:jc w:val="both"/>
        <w:rPr>
          <w:noProof/>
        </w:rPr>
      </w:pPr>
      <w:r w:rsidRPr="000A6777">
        <w:rPr>
          <w:noProof/>
        </w:rPr>
        <w:t xml:space="preserve">Amini, P., Cahill, F., Wadden, D., Ji, Y., Pedram, P., Vidyasankar, S., Yi, Y., Gulliver, W., Paterno, G., Zhang, H., Rideout, A., Sun, G. (2013) Beneficial association of serum ghrelin and peptide YY with bone mineral density in the Newfoundland population. </w:t>
      </w:r>
      <w:r w:rsidR="000A6777">
        <w:rPr>
          <w:i/>
          <w:noProof/>
        </w:rPr>
        <w:t>BMC Endocrine D</w:t>
      </w:r>
      <w:r w:rsidRPr="000A6777">
        <w:rPr>
          <w:i/>
          <w:noProof/>
        </w:rPr>
        <w:t>isorders,</w:t>
      </w:r>
      <w:r w:rsidRPr="000A6777">
        <w:rPr>
          <w:noProof/>
        </w:rPr>
        <w:t xml:space="preserve"> 13</w:t>
      </w:r>
      <w:r w:rsidRPr="000A6777">
        <w:rPr>
          <w:b/>
          <w:noProof/>
        </w:rPr>
        <w:t>:</w:t>
      </w:r>
      <w:r w:rsidRPr="000A6777">
        <w:rPr>
          <w:noProof/>
        </w:rPr>
        <w:t xml:space="preserve"> 1-8.</w:t>
      </w:r>
    </w:p>
    <w:p w14:paraId="0CFDFE4D" w14:textId="77777777" w:rsidR="00B32AAB" w:rsidRPr="000A6777" w:rsidRDefault="00B32AAB" w:rsidP="000A6777">
      <w:pPr>
        <w:pStyle w:val="EndNoteBibliography"/>
        <w:ind w:left="720" w:hanging="720"/>
        <w:jc w:val="both"/>
        <w:rPr>
          <w:noProof/>
        </w:rPr>
      </w:pPr>
      <w:r w:rsidRPr="000A6777">
        <w:rPr>
          <w:noProof/>
        </w:rPr>
        <w:lastRenderedPageBreak/>
        <w:t>Ammann, P., Bourrin, S., Bonjour, J. p., Meyer, J. m., Rizzoli, R. (2000) Protein Undernutrition</w:t>
      </w:r>
      <w:r w:rsidRPr="000A6777">
        <w:rPr>
          <w:rFonts w:ascii="American Typewriter Condensed" w:hAnsi="American Typewriter Condensed" w:cs="American Typewriter Condensed"/>
          <w:noProof/>
        </w:rPr>
        <w:t>‐</w:t>
      </w:r>
      <w:r w:rsidRPr="000A6777">
        <w:rPr>
          <w:noProof/>
        </w:rPr>
        <w:t xml:space="preserve"> Induced Bone Loss Is Associated with Decreased IGF</w:t>
      </w:r>
      <w:r w:rsidRPr="000A6777">
        <w:rPr>
          <w:rFonts w:ascii="American Typewriter Condensed" w:hAnsi="American Typewriter Condensed" w:cs="American Typewriter Condensed"/>
          <w:noProof/>
        </w:rPr>
        <w:t>‐</w:t>
      </w:r>
      <w:r w:rsidRPr="000A6777">
        <w:rPr>
          <w:noProof/>
        </w:rPr>
        <w:t xml:space="preserve"> I Levels and Estrogen Deficiency. </w:t>
      </w:r>
      <w:r w:rsidRPr="000A6777">
        <w:rPr>
          <w:i/>
          <w:noProof/>
        </w:rPr>
        <w:t>Journal of Bone and Mineral Research,</w:t>
      </w:r>
      <w:r w:rsidRPr="000A6777">
        <w:rPr>
          <w:noProof/>
        </w:rPr>
        <w:t xml:space="preserve"> 15</w:t>
      </w:r>
      <w:r w:rsidRPr="000A6777">
        <w:rPr>
          <w:b/>
          <w:noProof/>
        </w:rPr>
        <w:t>:</w:t>
      </w:r>
      <w:r w:rsidRPr="000A6777">
        <w:rPr>
          <w:noProof/>
        </w:rPr>
        <w:t xml:space="preserve"> 683-690.</w:t>
      </w:r>
    </w:p>
    <w:p w14:paraId="071186C0" w14:textId="77777777" w:rsidR="00B32AAB" w:rsidRPr="000A6777" w:rsidRDefault="00B32AAB" w:rsidP="000A6777">
      <w:pPr>
        <w:pStyle w:val="EndNoteBibliography"/>
        <w:ind w:left="720" w:hanging="720"/>
        <w:jc w:val="both"/>
        <w:rPr>
          <w:noProof/>
        </w:rPr>
      </w:pPr>
      <w:r w:rsidRPr="000A6777">
        <w:rPr>
          <w:noProof/>
        </w:rPr>
        <w:t xml:space="preserve">Andrikopoulos, S., Blair, A. R., Deluca, N., Fam, B. C., Proietto, J. (2008) Evaluating the glucose tolerance test in mice. </w:t>
      </w:r>
      <w:r w:rsidRPr="000A6777">
        <w:rPr>
          <w:i/>
          <w:noProof/>
        </w:rPr>
        <w:t>American Journal of Physiology</w:t>
      </w:r>
      <w:r w:rsidR="00955F7F">
        <w:rPr>
          <w:i/>
          <w:noProof/>
        </w:rPr>
        <w:t xml:space="preserve"> </w:t>
      </w:r>
      <w:r w:rsidRPr="000A6777">
        <w:rPr>
          <w:i/>
          <w:noProof/>
        </w:rPr>
        <w:t>-</w:t>
      </w:r>
      <w:r w:rsidR="00955F7F">
        <w:rPr>
          <w:i/>
          <w:noProof/>
        </w:rPr>
        <w:t xml:space="preserve"> </w:t>
      </w:r>
      <w:r w:rsidRPr="000A6777">
        <w:rPr>
          <w:i/>
          <w:noProof/>
        </w:rPr>
        <w:t>Endocrinology and Metabolusm,</w:t>
      </w:r>
      <w:r w:rsidRPr="000A6777">
        <w:rPr>
          <w:noProof/>
        </w:rPr>
        <w:t xml:space="preserve"> 295</w:t>
      </w:r>
      <w:r w:rsidRPr="000A6777">
        <w:rPr>
          <w:b/>
          <w:noProof/>
        </w:rPr>
        <w:t>:</w:t>
      </w:r>
      <w:r w:rsidRPr="000A6777">
        <w:rPr>
          <w:noProof/>
        </w:rPr>
        <w:t xml:space="preserve"> E1323-E1332.</w:t>
      </w:r>
    </w:p>
    <w:p w14:paraId="466B1EC2" w14:textId="77777777" w:rsidR="00B32AAB" w:rsidRPr="000A6777" w:rsidRDefault="00B32AAB" w:rsidP="000A6777">
      <w:pPr>
        <w:pStyle w:val="EndNoteBibliography"/>
        <w:ind w:left="720" w:hanging="720"/>
        <w:jc w:val="both"/>
        <w:rPr>
          <w:noProof/>
        </w:rPr>
      </w:pPr>
      <w:r w:rsidRPr="000A6777">
        <w:rPr>
          <w:noProof/>
        </w:rPr>
        <w:t xml:space="preserve">Asakawa, A., Inui, A., Kaga, O., Yuzuriha, H., Nagata, T., Ueno, N., Makino, S., Fujimiya, M., Niijima, A., Fujino, M. A., Kasuga, M. (2001) Ghrelin is an appetite-stimulatory signal from stomach with structural resemblance to motilin. </w:t>
      </w:r>
      <w:r w:rsidRPr="000A6777">
        <w:rPr>
          <w:i/>
          <w:noProof/>
        </w:rPr>
        <w:t>Gastroenterology,</w:t>
      </w:r>
      <w:r w:rsidRPr="000A6777">
        <w:rPr>
          <w:noProof/>
        </w:rPr>
        <w:t xml:space="preserve"> 120</w:t>
      </w:r>
      <w:r w:rsidRPr="000A6777">
        <w:rPr>
          <w:b/>
          <w:noProof/>
        </w:rPr>
        <w:t>:</w:t>
      </w:r>
      <w:r w:rsidRPr="000A6777">
        <w:rPr>
          <w:noProof/>
        </w:rPr>
        <w:t xml:space="preserve"> 337-345.</w:t>
      </w:r>
    </w:p>
    <w:p w14:paraId="1687DC5C" w14:textId="77777777" w:rsidR="00B32AAB" w:rsidRPr="000A6777" w:rsidRDefault="00B32AAB" w:rsidP="000A6777">
      <w:pPr>
        <w:pStyle w:val="EndNoteBibliography"/>
        <w:ind w:left="720" w:hanging="720"/>
        <w:jc w:val="both"/>
        <w:rPr>
          <w:noProof/>
        </w:rPr>
      </w:pPr>
      <w:r w:rsidRPr="000A6777">
        <w:rPr>
          <w:noProof/>
        </w:rPr>
        <w:t xml:space="preserve">Asarian, L. (2006) Membrane estrogen receptors and energy homeostasis. </w:t>
      </w:r>
      <w:r w:rsidRPr="000A6777">
        <w:rPr>
          <w:i/>
          <w:noProof/>
        </w:rPr>
        <w:t>Journal of Neuroscience,</w:t>
      </w:r>
      <w:r w:rsidRPr="000A6777">
        <w:rPr>
          <w:noProof/>
        </w:rPr>
        <w:t xml:space="preserve"> 26</w:t>
      </w:r>
      <w:r w:rsidRPr="000A6777">
        <w:rPr>
          <w:b/>
          <w:noProof/>
        </w:rPr>
        <w:t>:</w:t>
      </w:r>
      <w:r w:rsidRPr="000A6777">
        <w:rPr>
          <w:noProof/>
        </w:rPr>
        <w:t xml:space="preserve"> 11255-11256.</w:t>
      </w:r>
    </w:p>
    <w:p w14:paraId="751D6DC4" w14:textId="77777777" w:rsidR="00B32AAB" w:rsidRPr="000A6777" w:rsidRDefault="00B32AAB" w:rsidP="000A6777">
      <w:pPr>
        <w:pStyle w:val="EndNoteBibliography"/>
        <w:ind w:left="720" w:hanging="720"/>
        <w:jc w:val="both"/>
        <w:rPr>
          <w:noProof/>
        </w:rPr>
      </w:pPr>
      <w:r w:rsidRPr="000A6777">
        <w:rPr>
          <w:noProof/>
        </w:rPr>
        <w:t xml:space="preserve">Atalayer, D., Rowland, N. E. (2012) Effects of meal frequency and snacking on food demand in mice. </w:t>
      </w:r>
      <w:r w:rsidRPr="000A6777">
        <w:rPr>
          <w:i/>
          <w:noProof/>
        </w:rPr>
        <w:t>Appetite,</w:t>
      </w:r>
      <w:r w:rsidRPr="000A6777">
        <w:rPr>
          <w:noProof/>
        </w:rPr>
        <w:t xml:space="preserve"> 58</w:t>
      </w:r>
      <w:r w:rsidRPr="000A6777">
        <w:rPr>
          <w:b/>
          <w:noProof/>
        </w:rPr>
        <w:t>:</w:t>
      </w:r>
      <w:r w:rsidRPr="000A6777">
        <w:rPr>
          <w:noProof/>
        </w:rPr>
        <w:t xml:space="preserve"> 117-123.</w:t>
      </w:r>
    </w:p>
    <w:p w14:paraId="0508E8D3" w14:textId="77777777" w:rsidR="00B32AAB" w:rsidRPr="000A6777" w:rsidRDefault="00B32AAB" w:rsidP="000A6777">
      <w:pPr>
        <w:pStyle w:val="EndNoteBibliography"/>
        <w:ind w:left="720" w:hanging="720"/>
        <w:jc w:val="both"/>
        <w:rPr>
          <w:noProof/>
        </w:rPr>
      </w:pPr>
      <w:r w:rsidRPr="000A6777">
        <w:rPr>
          <w:noProof/>
        </w:rPr>
        <w:t xml:space="preserve">Atkins, G. J., Findlay, D. M. (2012) Osteocyte regulation of bone mineral: A little give and take. </w:t>
      </w:r>
      <w:r w:rsidR="000A455D">
        <w:rPr>
          <w:i/>
          <w:noProof/>
        </w:rPr>
        <w:t>Osteoporosis Internationa</w:t>
      </w:r>
      <w:r w:rsidRPr="000A6777">
        <w:rPr>
          <w:i/>
          <w:noProof/>
        </w:rPr>
        <w:t>l,</w:t>
      </w:r>
      <w:r w:rsidRPr="000A6777">
        <w:rPr>
          <w:noProof/>
        </w:rPr>
        <w:t xml:space="preserve"> 23</w:t>
      </w:r>
      <w:r w:rsidRPr="000A6777">
        <w:rPr>
          <w:b/>
          <w:noProof/>
        </w:rPr>
        <w:t>:</w:t>
      </w:r>
      <w:r w:rsidRPr="000A6777">
        <w:rPr>
          <w:noProof/>
        </w:rPr>
        <w:t xml:space="preserve"> 2067-2079.</w:t>
      </w:r>
    </w:p>
    <w:p w14:paraId="41D89A6E" w14:textId="77777777" w:rsidR="00B32AAB" w:rsidRPr="000A6777" w:rsidRDefault="00B32AAB" w:rsidP="000A6777">
      <w:pPr>
        <w:pStyle w:val="EndNoteBibliography"/>
        <w:ind w:left="720" w:hanging="720"/>
        <w:jc w:val="both"/>
        <w:rPr>
          <w:noProof/>
        </w:rPr>
      </w:pPr>
      <w:r w:rsidRPr="000A6777">
        <w:rPr>
          <w:noProof/>
        </w:rPr>
        <w:t xml:space="preserve">Ayala, J., Bracy, D., McGuinness, O., Wasserman, D. (2006) Considerations in the design of hyperinsulinemic-euglycemic clamps in the conscious mouse. </w:t>
      </w:r>
      <w:r w:rsidRPr="000A6777">
        <w:rPr>
          <w:i/>
          <w:noProof/>
        </w:rPr>
        <w:t>Diabetes,</w:t>
      </w:r>
      <w:r w:rsidRPr="000A6777">
        <w:rPr>
          <w:noProof/>
        </w:rPr>
        <w:t xml:space="preserve"> 55</w:t>
      </w:r>
      <w:r w:rsidRPr="000A6777">
        <w:rPr>
          <w:b/>
          <w:noProof/>
        </w:rPr>
        <w:t>:</w:t>
      </w:r>
      <w:r w:rsidRPr="000A6777">
        <w:rPr>
          <w:noProof/>
        </w:rPr>
        <w:t xml:space="preserve"> 390-397.</w:t>
      </w:r>
    </w:p>
    <w:p w14:paraId="2DA93525" w14:textId="77777777" w:rsidR="00B32AAB" w:rsidRPr="000A6777" w:rsidRDefault="00B32AAB" w:rsidP="000A6777">
      <w:pPr>
        <w:pStyle w:val="EndNoteBibliography"/>
        <w:ind w:left="720" w:hanging="720"/>
        <w:jc w:val="both"/>
        <w:rPr>
          <w:noProof/>
        </w:rPr>
      </w:pPr>
      <w:r w:rsidRPr="000A6777">
        <w:rPr>
          <w:noProof/>
        </w:rPr>
        <w:t xml:space="preserve">Ayala, J. E., Samuel, V. T., Morton, G. J., Obici, S., Croniger, C. M., Shulman, G. I., Wasserman, D. H., McGuinness, O. P. (2010) Standard operating procedures for describing and performing metabolic tests of glucose homeostasis in mice. </w:t>
      </w:r>
      <w:r w:rsidRPr="000A6777">
        <w:rPr>
          <w:i/>
          <w:noProof/>
        </w:rPr>
        <w:t>Disease Models and Mechanisms,</w:t>
      </w:r>
      <w:r w:rsidRPr="000A6777">
        <w:rPr>
          <w:noProof/>
        </w:rPr>
        <w:t xml:space="preserve"> 3</w:t>
      </w:r>
      <w:r w:rsidRPr="000A6777">
        <w:rPr>
          <w:b/>
          <w:noProof/>
        </w:rPr>
        <w:t>:</w:t>
      </w:r>
      <w:r w:rsidRPr="000A6777">
        <w:rPr>
          <w:noProof/>
        </w:rPr>
        <w:t xml:space="preserve"> 525-534.</w:t>
      </w:r>
    </w:p>
    <w:p w14:paraId="4F689559" w14:textId="77777777" w:rsidR="00B32AAB" w:rsidRPr="000A6777" w:rsidRDefault="00B32AAB" w:rsidP="000A6777">
      <w:pPr>
        <w:pStyle w:val="EndNoteBibliography"/>
        <w:ind w:left="720" w:hanging="720"/>
        <w:jc w:val="both"/>
        <w:rPr>
          <w:noProof/>
        </w:rPr>
      </w:pPr>
      <w:r w:rsidRPr="000A6777">
        <w:rPr>
          <w:noProof/>
        </w:rPr>
        <w:t xml:space="preserve">Barriga, C., Martín, M. I., Tabla, R., Ortega, E., Rodríguez, A. B. (2001) Circadian rhythm of melatonin, corticosterone and phagocytosis: effect of stress. </w:t>
      </w:r>
      <w:r w:rsidRPr="000A6777">
        <w:rPr>
          <w:i/>
          <w:noProof/>
        </w:rPr>
        <w:t>Journal of Pineal Research,</w:t>
      </w:r>
      <w:r w:rsidRPr="000A6777">
        <w:rPr>
          <w:noProof/>
        </w:rPr>
        <w:t xml:space="preserve"> 30</w:t>
      </w:r>
      <w:r w:rsidRPr="000A6777">
        <w:rPr>
          <w:b/>
          <w:noProof/>
        </w:rPr>
        <w:t>:</w:t>
      </w:r>
      <w:r w:rsidRPr="000A6777">
        <w:rPr>
          <w:noProof/>
        </w:rPr>
        <w:t xml:space="preserve"> 180-187.</w:t>
      </w:r>
    </w:p>
    <w:p w14:paraId="7A36470D" w14:textId="77777777" w:rsidR="00B32AAB" w:rsidRPr="000A6777" w:rsidRDefault="00B32AAB" w:rsidP="000A6777">
      <w:pPr>
        <w:pStyle w:val="EndNoteBibliography"/>
        <w:ind w:left="720" w:hanging="720"/>
        <w:jc w:val="both"/>
        <w:rPr>
          <w:noProof/>
        </w:rPr>
      </w:pPr>
      <w:r w:rsidRPr="000A6777">
        <w:rPr>
          <w:noProof/>
        </w:rPr>
        <w:t xml:space="preserve">Bass, S. L., Eser, P., Daly, R. (2005) The effect of exercise and nutrition on the mechanostat. </w:t>
      </w:r>
      <w:r w:rsidR="00955F7F">
        <w:rPr>
          <w:i/>
          <w:noProof/>
        </w:rPr>
        <w:t>Journal of Musculoskeletal a</w:t>
      </w:r>
      <w:r w:rsidRPr="000A6777">
        <w:rPr>
          <w:i/>
          <w:noProof/>
        </w:rPr>
        <w:t>nd Neuronal Interactions,</w:t>
      </w:r>
      <w:r w:rsidRPr="000A6777">
        <w:rPr>
          <w:noProof/>
        </w:rPr>
        <w:t xml:space="preserve"> 5</w:t>
      </w:r>
      <w:r w:rsidRPr="000A6777">
        <w:rPr>
          <w:b/>
          <w:noProof/>
        </w:rPr>
        <w:t>:</w:t>
      </w:r>
      <w:r w:rsidRPr="000A6777">
        <w:rPr>
          <w:noProof/>
        </w:rPr>
        <w:t xml:space="preserve"> 239-254.</w:t>
      </w:r>
    </w:p>
    <w:p w14:paraId="0F50C81E" w14:textId="77777777" w:rsidR="00B32AAB" w:rsidRPr="000A6777" w:rsidRDefault="00B32AAB" w:rsidP="000A6777">
      <w:pPr>
        <w:pStyle w:val="EndNoteBibliography"/>
        <w:ind w:left="720" w:hanging="720"/>
        <w:jc w:val="both"/>
        <w:rPr>
          <w:noProof/>
        </w:rPr>
      </w:pPr>
      <w:r w:rsidRPr="000A6777">
        <w:rPr>
          <w:noProof/>
        </w:rPr>
        <w:t xml:space="preserve">Bassey, E., Ramsdale, S. (1994) Increase in femoral bone density in young women following high- impact exercise. </w:t>
      </w:r>
      <w:r w:rsidR="000A455D">
        <w:rPr>
          <w:i/>
          <w:noProof/>
        </w:rPr>
        <w:t>Osteoporosis Internationa</w:t>
      </w:r>
      <w:r w:rsidRPr="000A6777">
        <w:rPr>
          <w:i/>
          <w:noProof/>
        </w:rPr>
        <w:t>l,</w:t>
      </w:r>
      <w:r w:rsidRPr="000A6777">
        <w:rPr>
          <w:noProof/>
        </w:rPr>
        <w:t xml:space="preserve"> 4</w:t>
      </w:r>
      <w:r w:rsidRPr="000A6777">
        <w:rPr>
          <w:b/>
          <w:noProof/>
        </w:rPr>
        <w:t>:</w:t>
      </w:r>
      <w:r w:rsidRPr="000A6777">
        <w:rPr>
          <w:noProof/>
        </w:rPr>
        <w:t xml:space="preserve"> 72-75.</w:t>
      </w:r>
    </w:p>
    <w:p w14:paraId="2919ED42" w14:textId="77777777" w:rsidR="00B32AAB" w:rsidRPr="000A6777" w:rsidRDefault="00B32AAB" w:rsidP="000A6777">
      <w:pPr>
        <w:pStyle w:val="EndNoteBibliography"/>
        <w:ind w:left="720" w:hanging="720"/>
        <w:jc w:val="both"/>
        <w:rPr>
          <w:noProof/>
        </w:rPr>
      </w:pPr>
      <w:r w:rsidRPr="000A6777">
        <w:rPr>
          <w:noProof/>
        </w:rPr>
        <w:t xml:space="preserve">Baylink, D. J., Wergedal, J. E. (1971) Bone formation by osteocytes. </w:t>
      </w:r>
      <w:r w:rsidRPr="000A6777">
        <w:rPr>
          <w:i/>
          <w:noProof/>
        </w:rPr>
        <w:t xml:space="preserve">The American Journal of </w:t>
      </w:r>
      <w:r w:rsidR="000A455D">
        <w:rPr>
          <w:i/>
          <w:noProof/>
        </w:rPr>
        <w:t>Physiolog</w:t>
      </w:r>
      <w:r w:rsidRPr="000A6777">
        <w:rPr>
          <w:i/>
          <w:noProof/>
        </w:rPr>
        <w:t>y,</w:t>
      </w:r>
      <w:r w:rsidRPr="000A6777">
        <w:rPr>
          <w:noProof/>
        </w:rPr>
        <w:t xml:space="preserve"> 221</w:t>
      </w:r>
      <w:r w:rsidRPr="000A6777">
        <w:rPr>
          <w:b/>
          <w:noProof/>
        </w:rPr>
        <w:t>:</w:t>
      </w:r>
      <w:r w:rsidRPr="000A6777">
        <w:rPr>
          <w:noProof/>
        </w:rPr>
        <w:t xml:space="preserve"> 669.</w:t>
      </w:r>
    </w:p>
    <w:p w14:paraId="62AFC5F4" w14:textId="77777777" w:rsidR="00B32AAB" w:rsidRPr="000A6777" w:rsidRDefault="00B32AAB" w:rsidP="000A6777">
      <w:pPr>
        <w:pStyle w:val="EndNoteBibliography"/>
        <w:ind w:left="720" w:hanging="720"/>
        <w:jc w:val="both"/>
        <w:rPr>
          <w:noProof/>
        </w:rPr>
      </w:pPr>
      <w:r w:rsidRPr="000A6777">
        <w:rPr>
          <w:noProof/>
        </w:rPr>
        <w:t xml:space="preserve">Bayliss, J., Andrews, Z. (2016) Ghrelin is the metabolic link connecting calorie restriction to neuroprotection. </w:t>
      </w:r>
      <w:r w:rsidRPr="000A6777">
        <w:rPr>
          <w:i/>
          <w:noProof/>
        </w:rPr>
        <w:t>Neural Regeneration Research,</w:t>
      </w:r>
      <w:r w:rsidRPr="000A6777">
        <w:rPr>
          <w:noProof/>
        </w:rPr>
        <w:t xml:space="preserve"> 11</w:t>
      </w:r>
      <w:r w:rsidRPr="000A6777">
        <w:rPr>
          <w:b/>
          <w:noProof/>
        </w:rPr>
        <w:t>:</w:t>
      </w:r>
      <w:r w:rsidRPr="000A6777">
        <w:rPr>
          <w:noProof/>
        </w:rPr>
        <w:t xml:space="preserve"> 1228-1229.</w:t>
      </w:r>
    </w:p>
    <w:p w14:paraId="0C4A1EB3" w14:textId="77777777" w:rsidR="00B32AAB" w:rsidRPr="000A6777" w:rsidRDefault="00B32AAB" w:rsidP="000A6777">
      <w:pPr>
        <w:pStyle w:val="EndNoteBibliography"/>
        <w:ind w:left="720" w:hanging="720"/>
        <w:jc w:val="both"/>
        <w:rPr>
          <w:noProof/>
        </w:rPr>
      </w:pPr>
      <w:r w:rsidRPr="000A6777">
        <w:rPr>
          <w:noProof/>
        </w:rPr>
        <w:lastRenderedPageBreak/>
        <w:t xml:space="preserve">Beck, B., Max, J.-P. (1983) Gastric inhibitory polypeptide enhancement of the insulin effect on fatty acid incorporation into adipose tissue in the rat. </w:t>
      </w:r>
      <w:r w:rsidRPr="000A6777">
        <w:rPr>
          <w:i/>
          <w:noProof/>
        </w:rPr>
        <w:t>Regulatory Peptides,</w:t>
      </w:r>
      <w:r w:rsidRPr="000A6777">
        <w:rPr>
          <w:noProof/>
        </w:rPr>
        <w:t xml:space="preserve"> 7</w:t>
      </w:r>
      <w:r w:rsidRPr="000A6777">
        <w:rPr>
          <w:b/>
          <w:noProof/>
        </w:rPr>
        <w:t>:</w:t>
      </w:r>
      <w:r w:rsidRPr="000A6777">
        <w:rPr>
          <w:noProof/>
        </w:rPr>
        <w:t xml:space="preserve"> 3-8.</w:t>
      </w:r>
    </w:p>
    <w:p w14:paraId="12887293" w14:textId="77777777" w:rsidR="00B32AAB" w:rsidRPr="000A6777" w:rsidRDefault="00B32AAB" w:rsidP="000A6777">
      <w:pPr>
        <w:pStyle w:val="EndNoteBibliography"/>
        <w:ind w:left="720" w:hanging="720"/>
        <w:jc w:val="both"/>
        <w:rPr>
          <w:noProof/>
        </w:rPr>
      </w:pPr>
      <w:r w:rsidRPr="000A6777">
        <w:rPr>
          <w:noProof/>
        </w:rPr>
        <w:t xml:space="preserve">Begg, D. P., Woods, S. C. (2013) The endocrinology of food intake. </w:t>
      </w:r>
      <w:r w:rsidRPr="000A6777">
        <w:rPr>
          <w:i/>
          <w:noProof/>
        </w:rPr>
        <w:t>Nature Reviews Endocrinology,</w:t>
      </w:r>
      <w:r w:rsidRPr="000A6777">
        <w:rPr>
          <w:noProof/>
        </w:rPr>
        <w:t xml:space="preserve"> 9</w:t>
      </w:r>
      <w:r w:rsidRPr="000A6777">
        <w:rPr>
          <w:b/>
          <w:noProof/>
        </w:rPr>
        <w:t>:</w:t>
      </w:r>
      <w:r w:rsidRPr="000A6777">
        <w:rPr>
          <w:noProof/>
        </w:rPr>
        <w:t xml:space="preserve"> 584-597.</w:t>
      </w:r>
    </w:p>
    <w:p w14:paraId="17A03810" w14:textId="77777777" w:rsidR="00B32AAB" w:rsidRPr="000A6777" w:rsidRDefault="00B32AAB" w:rsidP="000A6777">
      <w:pPr>
        <w:pStyle w:val="EndNoteBibliography"/>
        <w:ind w:left="720" w:hanging="720"/>
        <w:jc w:val="both"/>
        <w:rPr>
          <w:noProof/>
        </w:rPr>
      </w:pPr>
      <w:r w:rsidRPr="000A6777">
        <w:rPr>
          <w:noProof/>
        </w:rPr>
        <w:t xml:space="preserve">Bélanger, L. F. (1969) Osteocytic osteolysis. </w:t>
      </w:r>
      <w:r w:rsidR="000A455D">
        <w:rPr>
          <w:i/>
          <w:noProof/>
        </w:rPr>
        <w:t>Calcified Tissue R</w:t>
      </w:r>
      <w:r w:rsidRPr="000A6777">
        <w:rPr>
          <w:i/>
          <w:noProof/>
        </w:rPr>
        <w:t>esearch,</w:t>
      </w:r>
      <w:r w:rsidRPr="000A6777">
        <w:rPr>
          <w:noProof/>
        </w:rPr>
        <w:t xml:space="preserve"> 4</w:t>
      </w:r>
      <w:r w:rsidRPr="000A6777">
        <w:rPr>
          <w:b/>
          <w:noProof/>
        </w:rPr>
        <w:t>:</w:t>
      </w:r>
      <w:r w:rsidRPr="000A6777">
        <w:rPr>
          <w:noProof/>
        </w:rPr>
        <w:t xml:space="preserve"> 1-12.</w:t>
      </w:r>
    </w:p>
    <w:p w14:paraId="78937C4D" w14:textId="77777777" w:rsidR="00B32AAB" w:rsidRPr="000A6777" w:rsidRDefault="00B32AAB" w:rsidP="000A6777">
      <w:pPr>
        <w:pStyle w:val="EndNoteBibliography"/>
        <w:ind w:left="720" w:hanging="720"/>
        <w:jc w:val="both"/>
        <w:rPr>
          <w:noProof/>
        </w:rPr>
      </w:pPr>
      <w:r w:rsidRPr="000A6777">
        <w:rPr>
          <w:noProof/>
        </w:rPr>
        <w:t xml:space="preserve">Belanger, L. F., Robichon, J. (1964) Parathormone- Induced Osteolysis In Dogs. A Microradiographic And Alpharadiographic Survey. </w:t>
      </w:r>
      <w:r w:rsidR="000A455D">
        <w:rPr>
          <w:i/>
          <w:noProof/>
        </w:rPr>
        <w:t>The Journal of Bone and Joint S</w:t>
      </w:r>
      <w:r w:rsidRPr="000A6777">
        <w:rPr>
          <w:i/>
          <w:noProof/>
        </w:rPr>
        <w:t>urgery. American volume,</w:t>
      </w:r>
      <w:r w:rsidRPr="000A6777">
        <w:rPr>
          <w:noProof/>
        </w:rPr>
        <w:t xml:space="preserve"> 46</w:t>
      </w:r>
      <w:r w:rsidRPr="000A6777">
        <w:rPr>
          <w:b/>
          <w:noProof/>
        </w:rPr>
        <w:t>:</w:t>
      </w:r>
      <w:r w:rsidRPr="000A6777">
        <w:rPr>
          <w:noProof/>
        </w:rPr>
        <w:t xml:space="preserve"> 1008-1012.</w:t>
      </w:r>
    </w:p>
    <w:p w14:paraId="4D14828B" w14:textId="77777777" w:rsidR="00B32AAB" w:rsidRPr="000A6777" w:rsidRDefault="00B32AAB" w:rsidP="000A6777">
      <w:pPr>
        <w:pStyle w:val="EndNoteBibliography"/>
        <w:ind w:left="720" w:hanging="720"/>
        <w:jc w:val="both"/>
        <w:rPr>
          <w:noProof/>
        </w:rPr>
      </w:pPr>
      <w:r w:rsidRPr="000A6777">
        <w:rPr>
          <w:noProof/>
        </w:rPr>
        <w:t xml:space="preserve">Bennett, C. N., Longo, K. A., Wright, W. S., Suva, L. J., Lane, T. F., Hankenson, K. D., Macdougald, O. A. (2005) Regulation of osteoblastogenesis and bone mass by Wnt10b. </w:t>
      </w:r>
      <w:r w:rsidRPr="000A6777">
        <w:rPr>
          <w:i/>
          <w:noProof/>
        </w:rPr>
        <w:t>Proceedings of the National Academy of Sciences of the United States of America,</w:t>
      </w:r>
      <w:r w:rsidRPr="000A6777">
        <w:rPr>
          <w:noProof/>
        </w:rPr>
        <w:t xml:space="preserve"> 102</w:t>
      </w:r>
      <w:r w:rsidRPr="000A6777">
        <w:rPr>
          <w:b/>
          <w:noProof/>
        </w:rPr>
        <w:t>:</w:t>
      </w:r>
      <w:r w:rsidRPr="000A6777">
        <w:rPr>
          <w:noProof/>
        </w:rPr>
        <w:t xml:space="preserve"> 3324-3329.</w:t>
      </w:r>
    </w:p>
    <w:p w14:paraId="26E0EFFB" w14:textId="77777777" w:rsidR="00B32AAB" w:rsidRPr="000A6777" w:rsidRDefault="00B32AAB" w:rsidP="000A6777">
      <w:pPr>
        <w:pStyle w:val="EndNoteBibliography"/>
        <w:ind w:left="720" w:hanging="720"/>
        <w:jc w:val="both"/>
        <w:rPr>
          <w:noProof/>
        </w:rPr>
      </w:pPr>
      <w:r w:rsidRPr="000A6777">
        <w:rPr>
          <w:noProof/>
        </w:rPr>
        <w:t xml:space="preserve">Bergwitz, C., Jüppner, H. (2010) Regulation of Phosphate Homeostasis by PTH, Vitamin D, and FGF23. </w:t>
      </w:r>
      <w:r w:rsidRPr="000A6777">
        <w:rPr>
          <w:i/>
          <w:noProof/>
        </w:rPr>
        <w:t>Annual Review of  Medicine,</w:t>
      </w:r>
      <w:r w:rsidRPr="000A6777">
        <w:rPr>
          <w:noProof/>
        </w:rPr>
        <w:t xml:space="preserve"> 61</w:t>
      </w:r>
      <w:r w:rsidRPr="000A6777">
        <w:rPr>
          <w:b/>
          <w:noProof/>
        </w:rPr>
        <w:t>:</w:t>
      </w:r>
      <w:r w:rsidRPr="000A6777">
        <w:rPr>
          <w:noProof/>
        </w:rPr>
        <w:t xml:space="preserve"> 91-104.</w:t>
      </w:r>
    </w:p>
    <w:p w14:paraId="1E632FBA" w14:textId="77777777" w:rsidR="00B32AAB" w:rsidRPr="000A6777" w:rsidRDefault="00B32AAB" w:rsidP="000A6777">
      <w:pPr>
        <w:pStyle w:val="EndNoteBibliography"/>
        <w:ind w:left="720" w:hanging="720"/>
        <w:jc w:val="both"/>
        <w:rPr>
          <w:noProof/>
        </w:rPr>
      </w:pPr>
      <w:r w:rsidRPr="000A6777">
        <w:rPr>
          <w:noProof/>
        </w:rPr>
        <w:t xml:space="preserve">Bernstein, C. N., Leslie, W. D. (2003) The pathophysiology of bone disease in gastrointestinal disease. </w:t>
      </w:r>
      <w:r w:rsidRPr="000A6777">
        <w:rPr>
          <w:i/>
          <w:noProof/>
        </w:rPr>
        <w:t>European Journal Gastroenterology and Hepatology,</w:t>
      </w:r>
      <w:r w:rsidRPr="000A6777">
        <w:rPr>
          <w:noProof/>
        </w:rPr>
        <w:t xml:space="preserve"> 15(8)</w:t>
      </w:r>
      <w:r w:rsidRPr="000A6777">
        <w:rPr>
          <w:b/>
          <w:noProof/>
        </w:rPr>
        <w:t>:</w:t>
      </w:r>
      <w:r w:rsidRPr="000A6777">
        <w:rPr>
          <w:noProof/>
        </w:rPr>
        <w:t xml:space="preserve"> 857-864.</w:t>
      </w:r>
    </w:p>
    <w:p w14:paraId="5E2AA73E" w14:textId="77777777" w:rsidR="00B32AAB" w:rsidRPr="000A6777" w:rsidRDefault="00B32AAB" w:rsidP="000A6777">
      <w:pPr>
        <w:pStyle w:val="EndNoteBibliography"/>
        <w:ind w:left="720" w:hanging="720"/>
        <w:jc w:val="both"/>
        <w:rPr>
          <w:noProof/>
        </w:rPr>
      </w:pPr>
      <w:r w:rsidRPr="000A6777">
        <w:rPr>
          <w:noProof/>
        </w:rPr>
        <w:t xml:space="preserve">Berthoud, H., Bereiter, D., Trimble, E., Siegel, E., Jeanrenaud, B. (1981) Cephalic phase, reflex insulin secretion neuroanatomical and physiological characterization. </w:t>
      </w:r>
      <w:r w:rsidRPr="000A6777">
        <w:rPr>
          <w:i/>
          <w:noProof/>
        </w:rPr>
        <w:t>Clinical and Experimental Diabetes and Metabolism,</w:t>
      </w:r>
      <w:r w:rsidRPr="000A6777">
        <w:rPr>
          <w:noProof/>
        </w:rPr>
        <w:t xml:space="preserve"> 20</w:t>
      </w:r>
      <w:r w:rsidRPr="000A6777">
        <w:rPr>
          <w:b/>
          <w:noProof/>
        </w:rPr>
        <w:t>:</w:t>
      </w:r>
      <w:r w:rsidRPr="000A6777">
        <w:rPr>
          <w:noProof/>
        </w:rPr>
        <w:t xml:space="preserve"> 393-401.</w:t>
      </w:r>
    </w:p>
    <w:p w14:paraId="255EE9F7" w14:textId="77777777" w:rsidR="00B32AAB" w:rsidRPr="000A6777" w:rsidRDefault="00B32AAB" w:rsidP="000A6777">
      <w:pPr>
        <w:pStyle w:val="EndNoteBibliography"/>
        <w:ind w:left="720" w:hanging="720"/>
        <w:jc w:val="both"/>
        <w:rPr>
          <w:noProof/>
        </w:rPr>
      </w:pPr>
      <w:r w:rsidRPr="000A6777">
        <w:rPr>
          <w:noProof/>
        </w:rPr>
        <w:t xml:space="preserve">Berthoud, H.-R. (2002) Multiple neural systems controlling food intake and body weight. </w:t>
      </w:r>
      <w:r w:rsidRPr="000A6777">
        <w:rPr>
          <w:i/>
          <w:noProof/>
        </w:rPr>
        <w:t>Neuroscience and Biobehavioral Reviews,</w:t>
      </w:r>
      <w:r w:rsidRPr="000A6777">
        <w:rPr>
          <w:noProof/>
        </w:rPr>
        <w:t xml:space="preserve"> 26</w:t>
      </w:r>
      <w:r w:rsidRPr="000A6777">
        <w:rPr>
          <w:b/>
          <w:noProof/>
        </w:rPr>
        <w:t>:</w:t>
      </w:r>
      <w:r w:rsidRPr="000A6777">
        <w:rPr>
          <w:noProof/>
        </w:rPr>
        <w:t xml:space="preserve"> 393-428.</w:t>
      </w:r>
    </w:p>
    <w:p w14:paraId="4542668C" w14:textId="77777777" w:rsidR="00B32AAB" w:rsidRPr="000A6777" w:rsidRDefault="00B32AAB" w:rsidP="000A6777">
      <w:pPr>
        <w:pStyle w:val="EndNoteBibliography"/>
        <w:ind w:left="720" w:hanging="720"/>
        <w:jc w:val="both"/>
        <w:rPr>
          <w:noProof/>
        </w:rPr>
      </w:pPr>
      <w:r w:rsidRPr="000A6777">
        <w:rPr>
          <w:noProof/>
        </w:rPr>
        <w:t>Bilezikian, J. P., Khan, A., Potts, J. T., Brandi, M. L., Clarke, B. L., Shoback, D., Jüppner, H., Amour, P., Fox, J., Rejnmark, L., Mosekilde, L., Rubin, M. R., Dempster, D., Gafni, R., Collins, M. T., Sliney, J., Sanders, J. (2011) Hypoparathyroidism in the adult: Epidemiology, diagnosis, pathophysiology, target</w:t>
      </w:r>
      <w:r w:rsidRPr="000A6777">
        <w:rPr>
          <w:rFonts w:ascii="American Typewriter Condensed" w:hAnsi="American Typewriter Condensed" w:cs="American Typewriter Condensed"/>
          <w:noProof/>
        </w:rPr>
        <w:t>‐</w:t>
      </w:r>
      <w:r w:rsidRPr="000A6777">
        <w:rPr>
          <w:noProof/>
        </w:rPr>
        <w:t xml:space="preserve"> organ involvement, treatment, and challenges for future research. </w:t>
      </w:r>
      <w:r w:rsidRPr="000A6777">
        <w:rPr>
          <w:i/>
          <w:noProof/>
        </w:rPr>
        <w:t>Journal of Bone and Mineral Research,</w:t>
      </w:r>
      <w:r w:rsidRPr="000A6777">
        <w:rPr>
          <w:noProof/>
        </w:rPr>
        <w:t xml:space="preserve"> 26</w:t>
      </w:r>
      <w:r w:rsidRPr="000A6777">
        <w:rPr>
          <w:b/>
          <w:noProof/>
        </w:rPr>
        <w:t>:</w:t>
      </w:r>
      <w:r w:rsidRPr="000A6777">
        <w:rPr>
          <w:noProof/>
        </w:rPr>
        <w:t xml:space="preserve"> 2317-2337.</w:t>
      </w:r>
    </w:p>
    <w:p w14:paraId="1F64DD15" w14:textId="77777777" w:rsidR="00B32AAB" w:rsidRPr="000A6777" w:rsidRDefault="00B32AAB" w:rsidP="000A6777">
      <w:pPr>
        <w:pStyle w:val="EndNoteBibliography"/>
        <w:ind w:left="720" w:hanging="720"/>
        <w:jc w:val="both"/>
        <w:rPr>
          <w:noProof/>
        </w:rPr>
      </w:pPr>
      <w:r w:rsidRPr="000A6777">
        <w:rPr>
          <w:noProof/>
        </w:rPr>
        <w:t xml:space="preserve">Bilezikian, P. J., Brandi, L. M., Cusano, E. N., Mannstadt, R. M., Rejnmark, K. L., Rizzoli, A. R., Rubin, T. M., Winer, T. K., Liberman, T. U., Potts, T. J. (2016) Management of Hypoparathyroidism: Present and Future. </w:t>
      </w:r>
      <w:r w:rsidR="000A455D">
        <w:rPr>
          <w:i/>
          <w:noProof/>
        </w:rPr>
        <w:t>The Journal of Clinical Endocrinology and M</w:t>
      </w:r>
      <w:r w:rsidRPr="000A6777">
        <w:rPr>
          <w:i/>
          <w:noProof/>
        </w:rPr>
        <w:t>etabolism,</w:t>
      </w:r>
      <w:r w:rsidRPr="000A6777">
        <w:rPr>
          <w:noProof/>
        </w:rPr>
        <w:t xml:space="preserve"> 101</w:t>
      </w:r>
      <w:r w:rsidRPr="000A6777">
        <w:rPr>
          <w:b/>
          <w:noProof/>
        </w:rPr>
        <w:t>:</w:t>
      </w:r>
      <w:r w:rsidRPr="000A6777">
        <w:rPr>
          <w:noProof/>
        </w:rPr>
        <w:t xml:space="preserve"> 2313-2324.</w:t>
      </w:r>
    </w:p>
    <w:p w14:paraId="7B822865" w14:textId="77777777" w:rsidR="00B32AAB" w:rsidRPr="000A6777" w:rsidRDefault="00B32AAB" w:rsidP="000A6777">
      <w:pPr>
        <w:pStyle w:val="EndNoteBibliography"/>
        <w:ind w:left="720" w:hanging="720"/>
        <w:jc w:val="both"/>
        <w:rPr>
          <w:noProof/>
        </w:rPr>
      </w:pPr>
      <w:r w:rsidRPr="000A6777">
        <w:rPr>
          <w:noProof/>
        </w:rPr>
        <w:lastRenderedPageBreak/>
        <w:t xml:space="preserve">Bjarnason, N., Henriksen, E. E. G., Alexandersen, P., Christgau, S., Henriksen, D., Christiansen, C. (2002) Mechanism of circadian variation in bone resorption. </w:t>
      </w:r>
      <w:r w:rsidRPr="000A6777">
        <w:rPr>
          <w:i/>
          <w:noProof/>
        </w:rPr>
        <w:t>Bone,</w:t>
      </w:r>
      <w:r w:rsidRPr="000A6777">
        <w:rPr>
          <w:noProof/>
        </w:rPr>
        <w:t xml:space="preserve"> 30</w:t>
      </w:r>
      <w:r w:rsidRPr="000A6777">
        <w:rPr>
          <w:b/>
          <w:noProof/>
        </w:rPr>
        <w:t>:</w:t>
      </w:r>
      <w:r w:rsidRPr="000A6777">
        <w:rPr>
          <w:noProof/>
        </w:rPr>
        <w:t xml:space="preserve"> 307-313.</w:t>
      </w:r>
    </w:p>
    <w:p w14:paraId="4B54AC9E" w14:textId="77777777" w:rsidR="00B32AAB" w:rsidRPr="000A6777" w:rsidRDefault="00B32AAB" w:rsidP="000A6777">
      <w:pPr>
        <w:pStyle w:val="EndNoteBibliography"/>
        <w:ind w:left="720" w:hanging="720"/>
        <w:jc w:val="both"/>
        <w:rPr>
          <w:noProof/>
        </w:rPr>
      </w:pPr>
      <w:r w:rsidRPr="000A6777">
        <w:rPr>
          <w:noProof/>
        </w:rPr>
        <w:t xml:space="preserve">Blumsohn, A., Herrington, K., Hannon, R. A., Shao, P., Eyre, D. R., Eastell, R. (1994) The effect of calcium supplementation on the circadian rhythm of bone resorption. </w:t>
      </w:r>
      <w:r w:rsidR="003C7EA9">
        <w:rPr>
          <w:i/>
          <w:noProof/>
        </w:rPr>
        <w:t>The Journal of Clinical E</w:t>
      </w:r>
      <w:r w:rsidRPr="000A6777">
        <w:rPr>
          <w:i/>
          <w:noProof/>
        </w:rPr>
        <w:t>ndocrinology</w:t>
      </w:r>
      <w:r w:rsidR="003C7EA9">
        <w:rPr>
          <w:i/>
          <w:noProof/>
        </w:rPr>
        <w:t xml:space="preserve"> and M</w:t>
      </w:r>
      <w:r w:rsidRPr="000A6777">
        <w:rPr>
          <w:i/>
          <w:noProof/>
        </w:rPr>
        <w:t>etabolism,</w:t>
      </w:r>
      <w:r w:rsidRPr="000A6777">
        <w:rPr>
          <w:noProof/>
        </w:rPr>
        <w:t xml:space="preserve"> 79</w:t>
      </w:r>
      <w:r w:rsidRPr="000A6777">
        <w:rPr>
          <w:b/>
          <w:noProof/>
        </w:rPr>
        <w:t>:</w:t>
      </w:r>
      <w:r w:rsidRPr="000A6777">
        <w:rPr>
          <w:noProof/>
        </w:rPr>
        <w:t xml:space="preserve"> 730.</w:t>
      </w:r>
    </w:p>
    <w:p w14:paraId="0A6F020B" w14:textId="77777777" w:rsidR="00B32AAB" w:rsidRPr="000A6777" w:rsidRDefault="00B32AAB" w:rsidP="000A6777">
      <w:pPr>
        <w:pStyle w:val="EndNoteBibliography"/>
        <w:ind w:left="720" w:hanging="720"/>
        <w:jc w:val="both"/>
        <w:rPr>
          <w:noProof/>
        </w:rPr>
      </w:pPr>
      <w:r w:rsidRPr="000A6777">
        <w:rPr>
          <w:noProof/>
        </w:rPr>
        <w:t xml:space="preserve">BOA-BGS (2007) </w:t>
      </w:r>
      <w:r w:rsidRPr="000A6777">
        <w:rPr>
          <w:i/>
          <w:noProof/>
        </w:rPr>
        <w:t xml:space="preserve">The care of patients with fragility fracture, </w:t>
      </w:r>
      <w:r w:rsidRPr="000A6777">
        <w:rPr>
          <w:noProof/>
        </w:rPr>
        <w:t>London, UK, British Orthopaedic Association.</w:t>
      </w:r>
    </w:p>
    <w:p w14:paraId="5FAE0EE6" w14:textId="77777777" w:rsidR="00B32AAB" w:rsidRPr="000A6777" w:rsidRDefault="00B32AAB" w:rsidP="000A6777">
      <w:pPr>
        <w:pStyle w:val="EndNoteBibliography"/>
        <w:ind w:left="720" w:hanging="720"/>
        <w:jc w:val="both"/>
        <w:rPr>
          <w:noProof/>
        </w:rPr>
      </w:pPr>
      <w:r w:rsidRPr="000A6777">
        <w:rPr>
          <w:noProof/>
        </w:rPr>
        <w:t xml:space="preserve">Bodnar, M., Skalicky, M., Viidik, A., Erben, R. G. (2012) Interaction between Exercise, Dietary Restriction and Age-Related Bone Loss in a Rodent Model of Male Senile Osteoporosis. </w:t>
      </w:r>
      <w:r w:rsidRPr="000A6777">
        <w:rPr>
          <w:i/>
          <w:noProof/>
        </w:rPr>
        <w:t>Gerontology,</w:t>
      </w:r>
      <w:r w:rsidRPr="000A6777">
        <w:rPr>
          <w:noProof/>
        </w:rPr>
        <w:t xml:space="preserve"> 58</w:t>
      </w:r>
      <w:r w:rsidRPr="000A6777">
        <w:rPr>
          <w:b/>
          <w:noProof/>
        </w:rPr>
        <w:t>:</w:t>
      </w:r>
      <w:r w:rsidRPr="000A6777">
        <w:rPr>
          <w:noProof/>
        </w:rPr>
        <w:t xml:space="preserve"> 139-149.</w:t>
      </w:r>
    </w:p>
    <w:p w14:paraId="337E8285" w14:textId="77777777" w:rsidR="00B32AAB" w:rsidRPr="000A6777" w:rsidRDefault="00B32AAB" w:rsidP="000A6777">
      <w:pPr>
        <w:pStyle w:val="EndNoteBibliography"/>
        <w:ind w:left="720" w:hanging="720"/>
        <w:jc w:val="both"/>
        <w:rPr>
          <w:noProof/>
        </w:rPr>
      </w:pPr>
      <w:r w:rsidRPr="000A6777">
        <w:rPr>
          <w:noProof/>
        </w:rPr>
        <w:t xml:space="preserve">Boerckel, J. D., Mason, D., McDermott, A., Alsberg, E. (2014) Microcomputed tomography: approaches and applications in bioengineering. </w:t>
      </w:r>
      <w:r w:rsidRPr="000A6777">
        <w:rPr>
          <w:i/>
          <w:noProof/>
        </w:rPr>
        <w:t>Stem Cell Research and Therapy,</w:t>
      </w:r>
      <w:r w:rsidRPr="000A6777">
        <w:rPr>
          <w:noProof/>
        </w:rPr>
        <w:t xml:space="preserve"> 5</w:t>
      </w:r>
      <w:r w:rsidRPr="000A6777">
        <w:rPr>
          <w:b/>
          <w:noProof/>
        </w:rPr>
        <w:t>:</w:t>
      </w:r>
      <w:r w:rsidRPr="000A6777">
        <w:rPr>
          <w:noProof/>
        </w:rPr>
        <w:t xml:space="preserve"> 1-12.</w:t>
      </w:r>
    </w:p>
    <w:p w14:paraId="1761F08D" w14:textId="77777777" w:rsidR="00B32AAB" w:rsidRPr="000A6777" w:rsidRDefault="00B32AAB" w:rsidP="000A6777">
      <w:pPr>
        <w:pStyle w:val="EndNoteBibliography"/>
        <w:ind w:left="720" w:hanging="720"/>
        <w:jc w:val="both"/>
        <w:rPr>
          <w:noProof/>
        </w:rPr>
      </w:pPr>
      <w:r w:rsidRPr="000A6777">
        <w:rPr>
          <w:noProof/>
        </w:rPr>
        <w:t xml:space="preserve">Bollag, R. J., Zhong, Q., Ding, K. H., Phillips, P., Zhong, L., Qin, F., Cranford, J., Mulloy, A. L., Cameron, R., Isales, C. M. (2001) Glucose- dependent insulinotropic peptide is an integrative hormone with osteotropic effects. </w:t>
      </w:r>
      <w:r w:rsidRPr="000A6777">
        <w:rPr>
          <w:i/>
          <w:noProof/>
        </w:rPr>
        <w:t>Molecular and Cellular Endocrinology,</w:t>
      </w:r>
      <w:r w:rsidRPr="000A6777">
        <w:rPr>
          <w:noProof/>
        </w:rPr>
        <w:t xml:space="preserve"> 177</w:t>
      </w:r>
      <w:r w:rsidRPr="000A6777">
        <w:rPr>
          <w:b/>
          <w:noProof/>
        </w:rPr>
        <w:t>:</w:t>
      </w:r>
      <w:r w:rsidRPr="000A6777">
        <w:rPr>
          <w:noProof/>
        </w:rPr>
        <w:t xml:space="preserve"> 35-41.</w:t>
      </w:r>
    </w:p>
    <w:p w14:paraId="23560899" w14:textId="77777777" w:rsidR="00B32AAB" w:rsidRPr="000A6777" w:rsidRDefault="00B32AAB" w:rsidP="000A6777">
      <w:pPr>
        <w:pStyle w:val="EndNoteBibliography"/>
        <w:ind w:left="720" w:hanging="720"/>
        <w:jc w:val="both"/>
        <w:rPr>
          <w:noProof/>
        </w:rPr>
      </w:pPr>
      <w:r w:rsidRPr="000A6777">
        <w:rPr>
          <w:noProof/>
        </w:rPr>
        <w:t xml:space="preserve">Bollag, R. J., Zhong, Q., Phillips, P., Min, L., Zhong, L., Cameron, R., Mulloy, A. L., Rasmussen, H., Qin, F., Ding, K. H., Isales, C. M. (2000) Osteoblast-derived cells express functional glucose dependent insulinotropic peptide receptors. </w:t>
      </w:r>
      <w:r w:rsidRPr="000A6777">
        <w:rPr>
          <w:i/>
          <w:noProof/>
        </w:rPr>
        <w:t>Endocrinology,</w:t>
      </w:r>
      <w:r w:rsidRPr="000A6777">
        <w:rPr>
          <w:noProof/>
        </w:rPr>
        <w:t xml:space="preserve"> 141</w:t>
      </w:r>
      <w:r w:rsidRPr="000A6777">
        <w:rPr>
          <w:b/>
          <w:noProof/>
        </w:rPr>
        <w:t>:</w:t>
      </w:r>
      <w:r w:rsidRPr="000A6777">
        <w:rPr>
          <w:noProof/>
        </w:rPr>
        <w:t xml:space="preserve"> 1228-1235.</w:t>
      </w:r>
    </w:p>
    <w:p w14:paraId="369491FA" w14:textId="77777777" w:rsidR="00B32AAB" w:rsidRPr="000A6777" w:rsidRDefault="00B32AAB" w:rsidP="000A6777">
      <w:pPr>
        <w:pStyle w:val="EndNoteBibliography"/>
        <w:ind w:left="720" w:hanging="720"/>
        <w:jc w:val="both"/>
        <w:rPr>
          <w:noProof/>
        </w:rPr>
      </w:pPr>
      <w:r w:rsidRPr="000A6777">
        <w:rPr>
          <w:noProof/>
        </w:rPr>
        <w:t xml:space="preserve">Bonewald, L. F. (2010) Cell–Cell and Cell–Matrix Interactions in Bone. </w:t>
      </w:r>
      <w:r w:rsidRPr="000A6777">
        <w:rPr>
          <w:i/>
          <w:noProof/>
        </w:rPr>
        <w:t>In:</w:t>
      </w:r>
      <w:r w:rsidRPr="000A6777">
        <w:rPr>
          <w:noProof/>
        </w:rPr>
        <w:t xml:space="preserve"> Bradshaw, R. A., Dennis, E. A. (eds.) </w:t>
      </w:r>
      <w:r w:rsidRPr="000A6777">
        <w:rPr>
          <w:i/>
          <w:noProof/>
        </w:rPr>
        <w:t xml:space="preserve">Handbook of Cell Signaling (Second Edition). </w:t>
      </w:r>
      <w:r w:rsidRPr="000A6777">
        <w:rPr>
          <w:noProof/>
        </w:rPr>
        <w:t>Second ed.: Elsevier Inc. 3: 2647–2662.</w:t>
      </w:r>
    </w:p>
    <w:p w14:paraId="7CB0E6BA" w14:textId="77777777" w:rsidR="00B32AAB" w:rsidRPr="000A6777" w:rsidRDefault="00B32AAB" w:rsidP="000A6777">
      <w:pPr>
        <w:pStyle w:val="EndNoteBibliography"/>
        <w:ind w:left="720" w:hanging="720"/>
        <w:jc w:val="both"/>
        <w:rPr>
          <w:noProof/>
        </w:rPr>
      </w:pPr>
      <w:r w:rsidRPr="000A6777">
        <w:rPr>
          <w:noProof/>
        </w:rPr>
        <w:t xml:space="preserve">Bonewald, L. F. (2011) The amazing osteocyte. </w:t>
      </w:r>
      <w:r w:rsidRPr="000A6777">
        <w:rPr>
          <w:i/>
          <w:noProof/>
        </w:rPr>
        <w:t>Journal of Bone and Mineral Research,</w:t>
      </w:r>
      <w:r w:rsidRPr="000A6777">
        <w:rPr>
          <w:noProof/>
        </w:rPr>
        <w:t xml:space="preserve"> 26</w:t>
      </w:r>
      <w:r w:rsidRPr="000A6777">
        <w:rPr>
          <w:b/>
          <w:noProof/>
        </w:rPr>
        <w:t>:</w:t>
      </w:r>
      <w:r w:rsidRPr="000A6777">
        <w:rPr>
          <w:noProof/>
        </w:rPr>
        <w:t xml:space="preserve"> 229-238.</w:t>
      </w:r>
    </w:p>
    <w:p w14:paraId="299075A4" w14:textId="77777777" w:rsidR="00B32AAB" w:rsidRPr="000A6777" w:rsidRDefault="00B32AAB" w:rsidP="000A6777">
      <w:pPr>
        <w:pStyle w:val="EndNoteBibliography"/>
        <w:ind w:left="720" w:hanging="720"/>
        <w:jc w:val="both"/>
        <w:rPr>
          <w:noProof/>
        </w:rPr>
      </w:pPr>
      <w:r w:rsidRPr="000A6777">
        <w:rPr>
          <w:noProof/>
        </w:rPr>
        <w:t xml:space="preserve">Booth, L., Amanda, C., Steven, R. S., Caren, G. (2012) The role of osteocalcin in human glucose metabolism: marker or mediator? </w:t>
      </w:r>
      <w:r w:rsidRPr="000A6777">
        <w:rPr>
          <w:i/>
          <w:noProof/>
        </w:rPr>
        <w:t>Nature Reviews Endocrinology,</w:t>
      </w:r>
      <w:r w:rsidRPr="000A6777">
        <w:rPr>
          <w:noProof/>
        </w:rPr>
        <w:t xml:space="preserve"> 9</w:t>
      </w:r>
      <w:r w:rsidRPr="000A6777">
        <w:rPr>
          <w:b/>
          <w:noProof/>
        </w:rPr>
        <w:t>:</w:t>
      </w:r>
      <w:r w:rsidRPr="000A6777">
        <w:rPr>
          <w:noProof/>
        </w:rPr>
        <w:t xml:space="preserve"> 43-55.</w:t>
      </w:r>
    </w:p>
    <w:p w14:paraId="25FDE906" w14:textId="77777777" w:rsidR="00B32AAB" w:rsidRPr="000A6777" w:rsidRDefault="00B32AAB" w:rsidP="000A6777">
      <w:pPr>
        <w:pStyle w:val="EndNoteBibliography"/>
        <w:ind w:left="720" w:hanging="720"/>
        <w:jc w:val="both"/>
        <w:rPr>
          <w:noProof/>
        </w:rPr>
      </w:pPr>
      <w:r w:rsidRPr="000A6777">
        <w:rPr>
          <w:noProof/>
        </w:rPr>
        <w:t xml:space="preserve">Boskey, A. L., Coleman, R. (2010) Aging and Bone. </w:t>
      </w:r>
      <w:r w:rsidRPr="000A6777">
        <w:rPr>
          <w:i/>
          <w:noProof/>
        </w:rPr>
        <w:t>Journal of Dental Research,</w:t>
      </w:r>
      <w:r w:rsidRPr="000A6777">
        <w:rPr>
          <w:noProof/>
        </w:rPr>
        <w:t xml:space="preserve"> 89</w:t>
      </w:r>
      <w:r w:rsidRPr="000A6777">
        <w:rPr>
          <w:b/>
          <w:noProof/>
        </w:rPr>
        <w:t>:</w:t>
      </w:r>
      <w:r w:rsidRPr="000A6777">
        <w:rPr>
          <w:noProof/>
        </w:rPr>
        <w:t xml:space="preserve"> 1333-1348.</w:t>
      </w:r>
    </w:p>
    <w:p w14:paraId="18E159DB" w14:textId="77777777" w:rsidR="00B32AAB" w:rsidRPr="000A6777" w:rsidRDefault="00B32AAB" w:rsidP="000A6777">
      <w:pPr>
        <w:pStyle w:val="EndNoteBibliography"/>
        <w:ind w:left="720" w:hanging="720"/>
        <w:jc w:val="both"/>
        <w:rPr>
          <w:noProof/>
        </w:rPr>
      </w:pPr>
      <w:r w:rsidRPr="000A6777">
        <w:rPr>
          <w:noProof/>
        </w:rPr>
        <w:t xml:space="preserve">Bourrin, S., Palle, S., Pupier, R., Vico, L., Alexandre, C. (1995) Effect of physical training on bone adaptation in three zones of the rat tibia. </w:t>
      </w:r>
      <w:r w:rsidRPr="000A6777">
        <w:rPr>
          <w:i/>
          <w:noProof/>
        </w:rPr>
        <w:t>Journal of Bone and Mineral Research,</w:t>
      </w:r>
      <w:r w:rsidRPr="000A6777">
        <w:rPr>
          <w:noProof/>
        </w:rPr>
        <w:t xml:space="preserve"> 10</w:t>
      </w:r>
      <w:r w:rsidRPr="000A6777">
        <w:rPr>
          <w:b/>
          <w:noProof/>
        </w:rPr>
        <w:t>:</w:t>
      </w:r>
      <w:r w:rsidRPr="000A6777">
        <w:rPr>
          <w:noProof/>
        </w:rPr>
        <w:t xml:space="preserve"> 1745-1752.</w:t>
      </w:r>
    </w:p>
    <w:p w14:paraId="1840F5C3" w14:textId="77777777" w:rsidR="00B32AAB" w:rsidRPr="000A6777" w:rsidRDefault="00B32AAB" w:rsidP="000A6777">
      <w:pPr>
        <w:pStyle w:val="EndNoteBibliography"/>
        <w:ind w:left="720" w:hanging="720"/>
        <w:jc w:val="both"/>
        <w:rPr>
          <w:noProof/>
        </w:rPr>
      </w:pPr>
      <w:r w:rsidRPr="000A6777">
        <w:rPr>
          <w:noProof/>
        </w:rPr>
        <w:lastRenderedPageBreak/>
        <w:t xml:space="preserve">Bouxsein, M. L., Christiansen, B. A., Boyd, S. K., Guldberg, R. E., Jepsen, K. J., Müller, R. (2010) Guidelines for assessment of bone microstructure in rodents using micro-computed tomography. </w:t>
      </w:r>
      <w:r w:rsidRPr="000A6777">
        <w:rPr>
          <w:i/>
          <w:noProof/>
        </w:rPr>
        <w:t>Journal of Bone and Mineral Research,</w:t>
      </w:r>
      <w:r w:rsidRPr="000A6777">
        <w:rPr>
          <w:noProof/>
        </w:rPr>
        <w:t xml:space="preserve"> 25</w:t>
      </w:r>
      <w:r w:rsidRPr="000A6777">
        <w:rPr>
          <w:b/>
          <w:noProof/>
        </w:rPr>
        <w:t>:</w:t>
      </w:r>
      <w:r w:rsidRPr="000A6777">
        <w:rPr>
          <w:noProof/>
        </w:rPr>
        <w:t xml:space="preserve"> 1468-1486.</w:t>
      </w:r>
    </w:p>
    <w:p w14:paraId="0F20ED18" w14:textId="77777777" w:rsidR="00B32AAB" w:rsidRPr="000A6777" w:rsidRDefault="00B32AAB" w:rsidP="000A6777">
      <w:pPr>
        <w:pStyle w:val="EndNoteBibliography"/>
        <w:ind w:left="720" w:hanging="720"/>
        <w:jc w:val="both"/>
        <w:rPr>
          <w:noProof/>
        </w:rPr>
      </w:pPr>
      <w:r w:rsidRPr="000A6777">
        <w:rPr>
          <w:noProof/>
        </w:rPr>
        <w:t xml:space="preserve">Boyce, B. F., Yao, Z., Xing, L. (2009) Osteoclasts have multiple roles in bone in addition to bone resorption. </w:t>
      </w:r>
      <w:r w:rsidRPr="000A6777">
        <w:rPr>
          <w:i/>
          <w:noProof/>
        </w:rPr>
        <w:t>Crit</w:t>
      </w:r>
      <w:r w:rsidR="00515E17">
        <w:rPr>
          <w:i/>
          <w:noProof/>
        </w:rPr>
        <w:t>ical</w:t>
      </w:r>
      <w:r w:rsidRPr="000A6777">
        <w:rPr>
          <w:i/>
          <w:noProof/>
        </w:rPr>
        <w:t xml:space="preserve"> Rev</w:t>
      </w:r>
      <w:r w:rsidR="00515E17">
        <w:rPr>
          <w:i/>
          <w:noProof/>
        </w:rPr>
        <w:t>iews in</w:t>
      </w:r>
      <w:r w:rsidRPr="000A6777">
        <w:rPr>
          <w:i/>
          <w:noProof/>
        </w:rPr>
        <w:t xml:space="preserve"> Eukaryot</w:t>
      </w:r>
      <w:r w:rsidR="00515E17">
        <w:rPr>
          <w:i/>
          <w:noProof/>
        </w:rPr>
        <w:t>ic</w:t>
      </w:r>
      <w:r w:rsidRPr="000A6777">
        <w:rPr>
          <w:i/>
          <w:noProof/>
        </w:rPr>
        <w:t xml:space="preserve"> Gene Expr</w:t>
      </w:r>
      <w:r w:rsidR="00515E17">
        <w:rPr>
          <w:i/>
          <w:noProof/>
        </w:rPr>
        <w:t>ession</w:t>
      </w:r>
      <w:r w:rsidRPr="000A6777">
        <w:rPr>
          <w:i/>
          <w:noProof/>
        </w:rPr>
        <w:t>,</w:t>
      </w:r>
      <w:r w:rsidRPr="000A6777">
        <w:rPr>
          <w:noProof/>
        </w:rPr>
        <w:t xml:space="preserve"> 19(3)</w:t>
      </w:r>
      <w:r w:rsidRPr="000A6777">
        <w:rPr>
          <w:b/>
          <w:noProof/>
        </w:rPr>
        <w:t>:</w:t>
      </w:r>
      <w:r w:rsidRPr="000A6777">
        <w:rPr>
          <w:noProof/>
        </w:rPr>
        <w:t xml:space="preserve"> 171-180.</w:t>
      </w:r>
    </w:p>
    <w:p w14:paraId="7D346E7B" w14:textId="77777777" w:rsidR="00B32AAB" w:rsidRPr="000A6777" w:rsidRDefault="00B32AAB" w:rsidP="000A6777">
      <w:pPr>
        <w:pStyle w:val="EndNoteBibliography"/>
        <w:ind w:left="720" w:hanging="720"/>
        <w:jc w:val="both"/>
        <w:rPr>
          <w:noProof/>
        </w:rPr>
      </w:pPr>
      <w:r w:rsidRPr="000A6777">
        <w:rPr>
          <w:noProof/>
        </w:rPr>
        <w:t>Brodt, M. D., Silva, M. J. (2010) Aged mice have enhanced endocortical response and normal periosteal response compared with young</w:t>
      </w:r>
      <w:r w:rsidRPr="000A6777">
        <w:rPr>
          <w:rFonts w:ascii="American Typewriter Condensed" w:hAnsi="American Typewriter Condensed" w:cs="American Typewriter Condensed"/>
          <w:noProof/>
        </w:rPr>
        <w:t>‐</w:t>
      </w:r>
      <w:r w:rsidRPr="000A6777">
        <w:rPr>
          <w:noProof/>
        </w:rPr>
        <w:t xml:space="preserve">adult mice following 1 week of axial tibial compression. </w:t>
      </w:r>
      <w:r w:rsidRPr="000A6777">
        <w:rPr>
          <w:i/>
          <w:noProof/>
        </w:rPr>
        <w:t>Journal of Bone and Mineral Research,</w:t>
      </w:r>
      <w:r w:rsidRPr="000A6777">
        <w:rPr>
          <w:noProof/>
        </w:rPr>
        <w:t xml:space="preserve"> 25</w:t>
      </w:r>
      <w:r w:rsidRPr="000A6777">
        <w:rPr>
          <w:b/>
          <w:noProof/>
        </w:rPr>
        <w:t>:</w:t>
      </w:r>
      <w:r w:rsidRPr="000A6777">
        <w:rPr>
          <w:noProof/>
        </w:rPr>
        <w:t xml:space="preserve"> 2006-2015.</w:t>
      </w:r>
    </w:p>
    <w:p w14:paraId="5F7F70CC" w14:textId="77777777" w:rsidR="00B32AAB" w:rsidRPr="000A6777" w:rsidRDefault="00B32AAB" w:rsidP="000A6777">
      <w:pPr>
        <w:pStyle w:val="EndNoteBibliography"/>
        <w:ind w:left="720" w:hanging="720"/>
        <w:jc w:val="both"/>
        <w:rPr>
          <w:noProof/>
        </w:rPr>
      </w:pPr>
      <w:r w:rsidRPr="000A6777">
        <w:rPr>
          <w:noProof/>
        </w:rPr>
        <w:t xml:space="preserve">Bronsky, J., Prusa, R. (2004) Amylin fasting plasma levels are decreased in patients with osteoporosis. </w:t>
      </w:r>
      <w:r w:rsidR="00515E17">
        <w:rPr>
          <w:i/>
          <w:noProof/>
        </w:rPr>
        <w:t>Osteoporosis Internationa</w:t>
      </w:r>
      <w:r w:rsidRPr="000A6777">
        <w:rPr>
          <w:i/>
          <w:noProof/>
        </w:rPr>
        <w:t>l,</w:t>
      </w:r>
      <w:r w:rsidRPr="000A6777">
        <w:rPr>
          <w:noProof/>
        </w:rPr>
        <w:t xml:space="preserve"> 15</w:t>
      </w:r>
      <w:r w:rsidRPr="000A6777">
        <w:rPr>
          <w:b/>
          <w:noProof/>
        </w:rPr>
        <w:t>:</w:t>
      </w:r>
      <w:r w:rsidRPr="000A6777">
        <w:rPr>
          <w:noProof/>
        </w:rPr>
        <w:t xml:space="preserve"> 243-247.</w:t>
      </w:r>
    </w:p>
    <w:p w14:paraId="371735B9" w14:textId="77777777" w:rsidR="00B32AAB" w:rsidRPr="000A6777" w:rsidRDefault="00B32AAB" w:rsidP="000A6777">
      <w:pPr>
        <w:pStyle w:val="EndNoteBibliography"/>
        <w:ind w:left="720" w:hanging="720"/>
        <w:jc w:val="both"/>
        <w:rPr>
          <w:noProof/>
        </w:rPr>
      </w:pPr>
      <w:r w:rsidRPr="000A6777">
        <w:rPr>
          <w:noProof/>
        </w:rPr>
        <w:t xml:space="preserve">Bronský, J., Průša, R., Nevoral, J. (2006) The role of amylin and related peptides in osteoporosis. </w:t>
      </w:r>
      <w:r w:rsidRPr="000A6777">
        <w:rPr>
          <w:i/>
          <w:noProof/>
        </w:rPr>
        <w:t>Clinica Chimica Acta,</w:t>
      </w:r>
      <w:r w:rsidRPr="000A6777">
        <w:rPr>
          <w:noProof/>
        </w:rPr>
        <w:t xml:space="preserve"> 373</w:t>
      </w:r>
      <w:r w:rsidRPr="000A6777">
        <w:rPr>
          <w:b/>
          <w:noProof/>
        </w:rPr>
        <w:t>:</w:t>
      </w:r>
      <w:r w:rsidRPr="000A6777">
        <w:rPr>
          <w:noProof/>
        </w:rPr>
        <w:t xml:space="preserve"> 9-16.</w:t>
      </w:r>
    </w:p>
    <w:p w14:paraId="1074DE77" w14:textId="77777777" w:rsidR="00B32AAB" w:rsidRPr="000A6777" w:rsidRDefault="00B32AAB" w:rsidP="000A6777">
      <w:pPr>
        <w:pStyle w:val="EndNoteBibliography"/>
        <w:ind w:left="720" w:hanging="720"/>
        <w:jc w:val="both"/>
        <w:rPr>
          <w:noProof/>
        </w:rPr>
      </w:pPr>
      <w:r w:rsidRPr="000A6777">
        <w:rPr>
          <w:noProof/>
        </w:rPr>
        <w:t xml:space="preserve">Broom, D. R., Stensel, D. J., Bishop, N. C., Burns, S. F., Miyashita, M. (2007) Exercise-induced suppression of acylated ghrelin in humans. </w:t>
      </w:r>
      <w:r w:rsidR="007D31E2">
        <w:rPr>
          <w:i/>
          <w:noProof/>
        </w:rPr>
        <w:t>Journal of Applied P</w:t>
      </w:r>
      <w:r w:rsidRPr="000A6777">
        <w:rPr>
          <w:i/>
          <w:noProof/>
        </w:rPr>
        <w:t>hysiology (Bethesda, Md. : 1985),</w:t>
      </w:r>
      <w:r w:rsidRPr="000A6777">
        <w:rPr>
          <w:noProof/>
        </w:rPr>
        <w:t xml:space="preserve"> 102</w:t>
      </w:r>
      <w:r w:rsidRPr="000A6777">
        <w:rPr>
          <w:b/>
          <w:noProof/>
        </w:rPr>
        <w:t>:</w:t>
      </w:r>
      <w:r w:rsidRPr="000A6777">
        <w:rPr>
          <w:noProof/>
        </w:rPr>
        <w:t xml:space="preserve"> 2165-2171.</w:t>
      </w:r>
    </w:p>
    <w:p w14:paraId="6E87300D" w14:textId="77777777" w:rsidR="00B32AAB" w:rsidRPr="000A6777" w:rsidRDefault="00B32AAB" w:rsidP="000A6777">
      <w:pPr>
        <w:pStyle w:val="EndNoteBibliography"/>
        <w:ind w:left="720" w:hanging="720"/>
        <w:jc w:val="both"/>
        <w:rPr>
          <w:noProof/>
        </w:rPr>
      </w:pPr>
      <w:r w:rsidRPr="000A6777">
        <w:rPr>
          <w:noProof/>
        </w:rPr>
        <w:t xml:space="preserve">Brubaker, P. L., Anini, Y. (2003) Direct and indirect mechanisms regulating secretion of glucagon-like peptide-1 and glucagon-like peptide-2. </w:t>
      </w:r>
      <w:r w:rsidRPr="000A6777">
        <w:rPr>
          <w:i/>
          <w:noProof/>
        </w:rPr>
        <w:t>Canadian Journal of Physiology and Pharmacology,</w:t>
      </w:r>
      <w:r w:rsidRPr="000A6777">
        <w:rPr>
          <w:noProof/>
        </w:rPr>
        <w:t xml:space="preserve"> 81</w:t>
      </w:r>
      <w:r w:rsidRPr="000A6777">
        <w:rPr>
          <w:b/>
          <w:noProof/>
        </w:rPr>
        <w:t>:</w:t>
      </w:r>
      <w:r w:rsidRPr="000A6777">
        <w:rPr>
          <w:noProof/>
        </w:rPr>
        <w:t xml:space="preserve"> 1005-1012.</w:t>
      </w:r>
    </w:p>
    <w:p w14:paraId="534B6519" w14:textId="77777777" w:rsidR="00B32AAB" w:rsidRPr="000A6777" w:rsidRDefault="00B32AAB" w:rsidP="000A6777">
      <w:pPr>
        <w:pStyle w:val="EndNoteBibliography"/>
        <w:ind w:left="720" w:hanging="720"/>
        <w:jc w:val="both"/>
        <w:rPr>
          <w:noProof/>
        </w:rPr>
      </w:pPr>
      <w:r w:rsidRPr="000A6777">
        <w:rPr>
          <w:noProof/>
        </w:rPr>
        <w:t xml:space="preserve">Brzechffa, P. R., Jakimiuk, A. J., Agarwal, S. K., Weitsman, S. R., Buyalos, R. P., Magoffin, D. A. (1996) Serum immunoreactive leptin concentrations in women with polycystic ovary syndrome. </w:t>
      </w:r>
      <w:r w:rsidR="007D31E2">
        <w:rPr>
          <w:i/>
          <w:noProof/>
        </w:rPr>
        <w:t>The Journal of Clinical Endocrinology and M</w:t>
      </w:r>
      <w:r w:rsidRPr="000A6777">
        <w:rPr>
          <w:i/>
          <w:noProof/>
        </w:rPr>
        <w:t>etabolism,</w:t>
      </w:r>
      <w:r w:rsidRPr="000A6777">
        <w:rPr>
          <w:noProof/>
        </w:rPr>
        <w:t xml:space="preserve"> 81</w:t>
      </w:r>
      <w:r w:rsidRPr="000A6777">
        <w:rPr>
          <w:b/>
          <w:noProof/>
        </w:rPr>
        <w:t>:</w:t>
      </w:r>
      <w:r w:rsidRPr="000A6777">
        <w:rPr>
          <w:noProof/>
        </w:rPr>
        <w:t xml:space="preserve"> 4166-4169.</w:t>
      </w:r>
    </w:p>
    <w:p w14:paraId="0E724C06" w14:textId="77777777" w:rsidR="00B32AAB" w:rsidRPr="000A6777" w:rsidRDefault="00B32AAB" w:rsidP="000A6777">
      <w:pPr>
        <w:pStyle w:val="EndNoteBibliography"/>
        <w:ind w:left="720" w:hanging="720"/>
        <w:jc w:val="both"/>
        <w:rPr>
          <w:noProof/>
        </w:rPr>
      </w:pPr>
      <w:r w:rsidRPr="000A6777">
        <w:rPr>
          <w:noProof/>
        </w:rPr>
        <w:t>Buckley, L., Guyatt, G., Fink, H. A., Cannon, M., Grossman, J., Hansen, K. E., Humphrey, M. B., Lane, N. E., Magrey, M., Miller, M., Morrison, L., Rao, M., Robinson, A. B., Saha, S., Wolver, S., Bannuru, R. R., Vaysbrot, E., Osani, M., Turgunbaev, M., Miller, A. S., McAlindon, T. (2017) 2017 American College of Rheumatology Guideline for the Prevention and Treatment of Glucocorticoid</w:t>
      </w:r>
      <w:r w:rsidRPr="000A6777">
        <w:rPr>
          <w:rFonts w:ascii="American Typewriter Condensed" w:hAnsi="American Typewriter Condensed" w:cs="American Typewriter Condensed"/>
          <w:noProof/>
        </w:rPr>
        <w:t>‐</w:t>
      </w:r>
      <w:r w:rsidRPr="000A6777">
        <w:rPr>
          <w:noProof/>
        </w:rPr>
        <w:t xml:space="preserve">Induced Osteoporosis. </w:t>
      </w:r>
      <w:r w:rsidRPr="000A6777">
        <w:rPr>
          <w:i/>
          <w:noProof/>
        </w:rPr>
        <w:t>Arthritis and Rheumatology,</w:t>
      </w:r>
      <w:r w:rsidRPr="000A6777">
        <w:rPr>
          <w:noProof/>
        </w:rPr>
        <w:t xml:space="preserve"> 69</w:t>
      </w:r>
      <w:r w:rsidRPr="000A6777">
        <w:rPr>
          <w:b/>
          <w:noProof/>
        </w:rPr>
        <w:t>:</w:t>
      </w:r>
      <w:r w:rsidRPr="000A6777">
        <w:rPr>
          <w:noProof/>
        </w:rPr>
        <w:t xml:space="preserve"> 1521-1537.</w:t>
      </w:r>
    </w:p>
    <w:p w14:paraId="51DB30C9" w14:textId="77777777" w:rsidR="00B32AAB" w:rsidRPr="000A6777" w:rsidRDefault="00B32AAB" w:rsidP="000A6777">
      <w:pPr>
        <w:pStyle w:val="EndNoteBibliography"/>
        <w:ind w:left="720" w:hanging="720"/>
        <w:jc w:val="both"/>
        <w:rPr>
          <w:noProof/>
        </w:rPr>
      </w:pPr>
      <w:r w:rsidRPr="000A6777">
        <w:rPr>
          <w:noProof/>
        </w:rPr>
        <w:t xml:space="preserve">Burge, R. T., Worley, D., Johansen, A., Bhattacharyya, S., Bose, U. (2001) The cost of osteoporotic fractures in the UK: projections for 2000–2020. </w:t>
      </w:r>
      <w:r w:rsidRPr="000A6777">
        <w:rPr>
          <w:i/>
          <w:noProof/>
        </w:rPr>
        <w:t>Journal of Medical Economics,</w:t>
      </w:r>
      <w:r w:rsidRPr="000A6777">
        <w:rPr>
          <w:noProof/>
        </w:rPr>
        <w:t xml:space="preserve"> 4</w:t>
      </w:r>
      <w:r w:rsidRPr="000A6777">
        <w:rPr>
          <w:b/>
          <w:noProof/>
        </w:rPr>
        <w:t>:</w:t>
      </w:r>
      <w:r w:rsidRPr="000A6777">
        <w:rPr>
          <w:noProof/>
        </w:rPr>
        <w:t xml:space="preserve"> 51-62.</w:t>
      </w:r>
    </w:p>
    <w:p w14:paraId="60EB681C" w14:textId="77777777" w:rsidR="00B32AAB" w:rsidRPr="000A6777" w:rsidRDefault="00B32AAB" w:rsidP="000A6777">
      <w:pPr>
        <w:pStyle w:val="EndNoteBibliography"/>
        <w:ind w:left="720" w:hanging="720"/>
        <w:jc w:val="both"/>
        <w:rPr>
          <w:noProof/>
        </w:rPr>
      </w:pPr>
      <w:r w:rsidRPr="000A6777">
        <w:rPr>
          <w:noProof/>
        </w:rPr>
        <w:t xml:space="preserve">Burguera, B., Brunetto, A., Garcia-Ocana, A., Teijeiro, R., Esplen, J., Thomas, T., Couce, M. E., Zhao, A. (2006) Leptin increases proliferation of human steosarcoma cells through activation of PI(3)-K and MAR pathways. </w:t>
      </w:r>
      <w:r w:rsidRPr="000A6777">
        <w:rPr>
          <w:i/>
          <w:noProof/>
        </w:rPr>
        <w:t>Medical Science Monitor,</w:t>
      </w:r>
      <w:r w:rsidRPr="000A6777">
        <w:rPr>
          <w:noProof/>
        </w:rPr>
        <w:t xml:space="preserve"> 12</w:t>
      </w:r>
      <w:r w:rsidRPr="000A6777">
        <w:rPr>
          <w:b/>
          <w:noProof/>
        </w:rPr>
        <w:t>:</w:t>
      </w:r>
      <w:r w:rsidRPr="000A6777">
        <w:rPr>
          <w:noProof/>
        </w:rPr>
        <w:t xml:space="preserve"> BR341-BR349.</w:t>
      </w:r>
    </w:p>
    <w:p w14:paraId="4205D2E3" w14:textId="77777777" w:rsidR="00B32AAB" w:rsidRPr="000A6777" w:rsidRDefault="00B32AAB" w:rsidP="000A6777">
      <w:pPr>
        <w:pStyle w:val="EndNoteBibliography"/>
        <w:ind w:left="720" w:hanging="720"/>
        <w:jc w:val="both"/>
        <w:rPr>
          <w:noProof/>
        </w:rPr>
      </w:pPr>
      <w:r w:rsidRPr="000A6777">
        <w:rPr>
          <w:noProof/>
        </w:rPr>
        <w:lastRenderedPageBreak/>
        <w:t xml:space="preserve">Burstein, A., Zika, J., Heiple, K., Klein, L. (1975) Contribution of collagen and mineral to the elastic- plastic properties of bone. </w:t>
      </w:r>
      <w:r w:rsidRPr="000A6777">
        <w:rPr>
          <w:i/>
          <w:noProof/>
        </w:rPr>
        <w:t>The Journal of Bone and Joint Surgery,</w:t>
      </w:r>
      <w:r w:rsidRPr="000A6777">
        <w:rPr>
          <w:noProof/>
        </w:rPr>
        <w:t xml:space="preserve"> 57</w:t>
      </w:r>
      <w:r w:rsidRPr="000A6777">
        <w:rPr>
          <w:b/>
          <w:noProof/>
        </w:rPr>
        <w:t>:</w:t>
      </w:r>
      <w:r w:rsidRPr="000A6777">
        <w:rPr>
          <w:noProof/>
        </w:rPr>
        <w:t xml:space="preserve"> 956-961.</w:t>
      </w:r>
    </w:p>
    <w:p w14:paraId="74782AB3" w14:textId="77777777" w:rsidR="00B32AAB" w:rsidRPr="000A6777" w:rsidRDefault="00B32AAB" w:rsidP="000A6777">
      <w:pPr>
        <w:pStyle w:val="EndNoteBibliography"/>
        <w:ind w:left="720" w:hanging="720"/>
        <w:jc w:val="both"/>
        <w:rPr>
          <w:noProof/>
        </w:rPr>
      </w:pPr>
      <w:r w:rsidRPr="000A6777">
        <w:rPr>
          <w:noProof/>
        </w:rPr>
        <w:t xml:space="preserve">Buskirk, E. R., Anderson, K. L., Brozek, J. (1956) Unilateral Activity and Bone and Muscle Development in the Forearm. </w:t>
      </w:r>
      <w:r w:rsidRPr="000A6777">
        <w:rPr>
          <w:i/>
          <w:noProof/>
        </w:rPr>
        <w:t>Research Quarterly. American Association for Health, Physical Education and Recreation,</w:t>
      </w:r>
      <w:r w:rsidRPr="000A6777">
        <w:rPr>
          <w:noProof/>
        </w:rPr>
        <w:t xml:space="preserve"> 27</w:t>
      </w:r>
      <w:r w:rsidRPr="000A6777">
        <w:rPr>
          <w:b/>
          <w:noProof/>
        </w:rPr>
        <w:t>:</w:t>
      </w:r>
      <w:r w:rsidRPr="000A6777">
        <w:rPr>
          <w:noProof/>
        </w:rPr>
        <w:t xml:space="preserve"> 127-131.</w:t>
      </w:r>
    </w:p>
    <w:p w14:paraId="410B05DF" w14:textId="77777777" w:rsidR="00B32AAB" w:rsidRPr="000A6777" w:rsidRDefault="00B32AAB" w:rsidP="000A6777">
      <w:pPr>
        <w:pStyle w:val="EndNoteBibliography"/>
        <w:ind w:left="720" w:hanging="720"/>
        <w:jc w:val="both"/>
        <w:rPr>
          <w:noProof/>
        </w:rPr>
      </w:pPr>
      <w:r w:rsidRPr="000A6777">
        <w:rPr>
          <w:noProof/>
        </w:rPr>
        <w:t xml:space="preserve">Canalis, E., Mazziotti, G., Giustina, A., Bilezikian, J. (2007) Glucocorticoid- induced osteoporosis: pathophysiology and therapy. </w:t>
      </w:r>
      <w:r w:rsidR="007D31E2">
        <w:rPr>
          <w:i/>
          <w:noProof/>
        </w:rPr>
        <w:t>Osteoporosis Internationa</w:t>
      </w:r>
      <w:r w:rsidRPr="000A6777">
        <w:rPr>
          <w:i/>
          <w:noProof/>
        </w:rPr>
        <w:t>l,</w:t>
      </w:r>
      <w:r w:rsidRPr="000A6777">
        <w:rPr>
          <w:noProof/>
        </w:rPr>
        <w:t xml:space="preserve"> 18</w:t>
      </w:r>
      <w:r w:rsidRPr="000A6777">
        <w:rPr>
          <w:b/>
          <w:noProof/>
        </w:rPr>
        <w:t>:</w:t>
      </w:r>
      <w:r w:rsidRPr="000A6777">
        <w:rPr>
          <w:noProof/>
        </w:rPr>
        <w:t xml:space="preserve"> 1319-1328.</w:t>
      </w:r>
    </w:p>
    <w:p w14:paraId="5EED04C4" w14:textId="77777777" w:rsidR="00B32AAB" w:rsidRPr="000A6777" w:rsidRDefault="00B32AAB" w:rsidP="000A6777">
      <w:pPr>
        <w:pStyle w:val="EndNoteBibliography"/>
        <w:ind w:left="720" w:hanging="720"/>
        <w:jc w:val="both"/>
        <w:rPr>
          <w:noProof/>
        </w:rPr>
      </w:pPr>
      <w:r w:rsidRPr="000A6777">
        <w:rPr>
          <w:noProof/>
        </w:rPr>
        <w:t>Cao, J., Venton, L., Sakata, T., Halloran, B. P. (2003) Expression of RANKL and OPG Correlates With Age</w:t>
      </w:r>
      <w:r w:rsidRPr="000A6777">
        <w:rPr>
          <w:rFonts w:ascii="American Typewriter Condensed" w:hAnsi="American Typewriter Condensed" w:cs="American Typewriter Condensed"/>
          <w:noProof/>
        </w:rPr>
        <w:t>‐</w:t>
      </w:r>
      <w:r w:rsidRPr="000A6777">
        <w:rPr>
          <w:noProof/>
        </w:rPr>
        <w:t xml:space="preserve"> Related Bone Loss in Male C57BL/ 6 Mice. </w:t>
      </w:r>
      <w:r w:rsidRPr="000A6777">
        <w:rPr>
          <w:i/>
          <w:noProof/>
        </w:rPr>
        <w:t>Journal of Bone and Mineral Research,</w:t>
      </w:r>
      <w:r w:rsidRPr="000A6777">
        <w:rPr>
          <w:noProof/>
        </w:rPr>
        <w:t xml:space="preserve"> 18</w:t>
      </w:r>
      <w:r w:rsidRPr="000A6777">
        <w:rPr>
          <w:b/>
          <w:noProof/>
        </w:rPr>
        <w:t>:</w:t>
      </w:r>
      <w:r w:rsidRPr="000A6777">
        <w:rPr>
          <w:noProof/>
        </w:rPr>
        <w:t xml:space="preserve"> 270-277.</w:t>
      </w:r>
    </w:p>
    <w:p w14:paraId="45DCBB5A" w14:textId="77777777" w:rsidR="00B32AAB" w:rsidRPr="000A6777" w:rsidRDefault="00B32AAB" w:rsidP="000A6777">
      <w:pPr>
        <w:pStyle w:val="EndNoteBibliography"/>
        <w:ind w:left="720" w:hanging="720"/>
        <w:jc w:val="both"/>
        <w:rPr>
          <w:noProof/>
        </w:rPr>
      </w:pPr>
      <w:r w:rsidRPr="000A6777">
        <w:rPr>
          <w:noProof/>
        </w:rPr>
        <w:t xml:space="preserve">Cao, X., Chen, D. (2005) The BMP signaling and in vivo bone formation. </w:t>
      </w:r>
      <w:r w:rsidRPr="000A6777">
        <w:rPr>
          <w:i/>
          <w:noProof/>
        </w:rPr>
        <w:t>Gene,</w:t>
      </w:r>
      <w:r w:rsidRPr="000A6777">
        <w:rPr>
          <w:noProof/>
        </w:rPr>
        <w:t xml:space="preserve"> 357</w:t>
      </w:r>
      <w:r w:rsidRPr="000A6777">
        <w:rPr>
          <w:b/>
          <w:noProof/>
        </w:rPr>
        <w:t>:</w:t>
      </w:r>
      <w:r w:rsidRPr="000A6777">
        <w:rPr>
          <w:noProof/>
        </w:rPr>
        <w:t xml:space="preserve"> 1-8.</w:t>
      </w:r>
    </w:p>
    <w:p w14:paraId="400C57F8" w14:textId="77777777" w:rsidR="00B32AAB" w:rsidRPr="000A6777" w:rsidRDefault="00B32AAB" w:rsidP="000A6777">
      <w:pPr>
        <w:pStyle w:val="EndNoteBibliography"/>
        <w:ind w:left="720" w:hanging="720"/>
        <w:jc w:val="both"/>
        <w:rPr>
          <w:noProof/>
        </w:rPr>
      </w:pPr>
      <w:r w:rsidRPr="000A6777">
        <w:rPr>
          <w:noProof/>
        </w:rPr>
        <w:t xml:space="preserve">Carmeliet, G., Vico, L., Bouillon, R. (2001) Space flight: a challenge for normal bone homeostasis. </w:t>
      </w:r>
      <w:r w:rsidRPr="000A6777">
        <w:rPr>
          <w:i/>
          <w:noProof/>
        </w:rPr>
        <w:t>Critical Reviews in Eukaryotic Gene Expression,</w:t>
      </w:r>
      <w:r w:rsidRPr="000A6777">
        <w:rPr>
          <w:noProof/>
        </w:rPr>
        <w:t xml:space="preserve"> 11</w:t>
      </w:r>
      <w:r w:rsidRPr="000A6777">
        <w:rPr>
          <w:b/>
          <w:noProof/>
        </w:rPr>
        <w:t>:</w:t>
      </w:r>
      <w:r w:rsidRPr="000A6777">
        <w:rPr>
          <w:noProof/>
        </w:rPr>
        <w:t xml:space="preserve"> 131-144.</w:t>
      </w:r>
    </w:p>
    <w:p w14:paraId="34978AA1" w14:textId="77777777" w:rsidR="00B32AAB" w:rsidRPr="000A6777" w:rsidRDefault="00B32AAB" w:rsidP="000A6777">
      <w:pPr>
        <w:pStyle w:val="EndNoteBibliography"/>
        <w:ind w:left="720" w:hanging="720"/>
        <w:jc w:val="both"/>
        <w:rPr>
          <w:noProof/>
        </w:rPr>
      </w:pPr>
      <w:r w:rsidRPr="000A6777">
        <w:rPr>
          <w:noProof/>
        </w:rPr>
        <w:t xml:space="preserve">Carvalho, C. R., Brenelli, S. L., Silva, A. C., Nunes, A. L., Velloso, L. A., Saad, M. J. (1996) Effect of aging on insulin receptor, insulin receptor substrate-1, and phosphatidylinositol 3-kinase in liver and muscle of rats. </w:t>
      </w:r>
      <w:r w:rsidRPr="000A6777">
        <w:rPr>
          <w:i/>
          <w:noProof/>
        </w:rPr>
        <w:t>Endocrinology,</w:t>
      </w:r>
      <w:r w:rsidRPr="000A6777">
        <w:rPr>
          <w:noProof/>
        </w:rPr>
        <w:t xml:space="preserve"> 137</w:t>
      </w:r>
      <w:r w:rsidRPr="000A6777">
        <w:rPr>
          <w:b/>
          <w:noProof/>
        </w:rPr>
        <w:t>:</w:t>
      </w:r>
      <w:r w:rsidRPr="000A6777">
        <w:rPr>
          <w:noProof/>
        </w:rPr>
        <w:t xml:space="preserve"> 151-159.</w:t>
      </w:r>
    </w:p>
    <w:p w14:paraId="34AE0B8B" w14:textId="77777777" w:rsidR="00B32AAB" w:rsidRPr="000A6777" w:rsidRDefault="00B32AAB" w:rsidP="000A6777">
      <w:pPr>
        <w:pStyle w:val="EndNoteBibliography"/>
        <w:ind w:left="720" w:hanging="720"/>
        <w:jc w:val="both"/>
        <w:rPr>
          <w:noProof/>
        </w:rPr>
      </w:pPr>
      <w:r w:rsidRPr="000A6777">
        <w:rPr>
          <w:noProof/>
        </w:rPr>
        <w:t xml:space="preserve">Champy, M.-F., Selloum, M., Zeitler, V., Caradec, C., Jung, B., Rousseau, S., Pouilly, L., Sorg, T., Auwerx, J. (2008) Genetic background determines metabolic phenotypes in the mouse. </w:t>
      </w:r>
      <w:r w:rsidRPr="000A6777">
        <w:rPr>
          <w:i/>
          <w:noProof/>
        </w:rPr>
        <w:t>Mammalian Genome,</w:t>
      </w:r>
      <w:r w:rsidRPr="000A6777">
        <w:rPr>
          <w:noProof/>
        </w:rPr>
        <w:t xml:space="preserve"> 19</w:t>
      </w:r>
      <w:r w:rsidRPr="000A6777">
        <w:rPr>
          <w:b/>
          <w:noProof/>
        </w:rPr>
        <w:t>:</w:t>
      </w:r>
      <w:r w:rsidRPr="000A6777">
        <w:rPr>
          <w:noProof/>
        </w:rPr>
        <w:t xml:space="preserve"> 318-331.</w:t>
      </w:r>
    </w:p>
    <w:p w14:paraId="13FDB129" w14:textId="77777777" w:rsidR="00B32AAB" w:rsidRPr="000A6777" w:rsidRDefault="00B32AAB" w:rsidP="000A6777">
      <w:pPr>
        <w:pStyle w:val="EndNoteBibliography"/>
        <w:ind w:left="720" w:hanging="720"/>
        <w:jc w:val="both"/>
        <w:rPr>
          <w:noProof/>
        </w:rPr>
      </w:pPr>
      <w:r w:rsidRPr="000A6777">
        <w:rPr>
          <w:noProof/>
        </w:rPr>
        <w:t xml:space="preserve">Chan, C. B., De Leo, D., Joseph, J. W., McQuaid, T. S., Ha, X. F., Xu, F., Tsushima, R. G., Pennefather, P. S., Salapatek, A. M., Wheeler, M. B. (2001) Increased uncoupling protein-2 levels in beta-cells are associated with impaired glucose-stimulated insulin secretion: mechanism of action. </w:t>
      </w:r>
      <w:r w:rsidRPr="000A6777">
        <w:rPr>
          <w:i/>
          <w:noProof/>
        </w:rPr>
        <w:t>Diabetes,</w:t>
      </w:r>
      <w:r w:rsidRPr="000A6777">
        <w:rPr>
          <w:noProof/>
        </w:rPr>
        <w:t xml:space="preserve"> 50</w:t>
      </w:r>
      <w:r w:rsidRPr="000A6777">
        <w:rPr>
          <w:b/>
          <w:noProof/>
        </w:rPr>
        <w:t>:</w:t>
      </w:r>
      <w:r w:rsidRPr="000A6777">
        <w:rPr>
          <w:noProof/>
        </w:rPr>
        <w:t xml:space="preserve"> 1302.</w:t>
      </w:r>
    </w:p>
    <w:p w14:paraId="06822752" w14:textId="77777777" w:rsidR="00B32AAB" w:rsidRPr="000A6777" w:rsidRDefault="00B32AAB" w:rsidP="000A6777">
      <w:pPr>
        <w:pStyle w:val="EndNoteBibliography"/>
        <w:ind w:left="720" w:hanging="720"/>
        <w:jc w:val="both"/>
        <w:rPr>
          <w:noProof/>
        </w:rPr>
      </w:pPr>
      <w:r w:rsidRPr="000A6777">
        <w:rPr>
          <w:noProof/>
        </w:rPr>
        <w:t xml:space="preserve">Chavassieux, P., Meunier, P. J. (2001) Histomorphometric Approach of Bone Loss in Men. </w:t>
      </w:r>
      <w:r w:rsidRPr="000A6777">
        <w:rPr>
          <w:i/>
          <w:noProof/>
        </w:rPr>
        <w:t>Calcified Tissue International,</w:t>
      </w:r>
      <w:r w:rsidRPr="000A6777">
        <w:rPr>
          <w:noProof/>
        </w:rPr>
        <w:t xml:space="preserve"> 69</w:t>
      </w:r>
      <w:r w:rsidRPr="000A6777">
        <w:rPr>
          <w:b/>
          <w:noProof/>
        </w:rPr>
        <w:t>:</w:t>
      </w:r>
      <w:r w:rsidRPr="000A6777">
        <w:rPr>
          <w:noProof/>
        </w:rPr>
        <w:t xml:space="preserve"> 209-213.</w:t>
      </w:r>
    </w:p>
    <w:p w14:paraId="4A2B3BD2" w14:textId="77777777" w:rsidR="00B32AAB" w:rsidRPr="000A6777" w:rsidRDefault="00B32AAB" w:rsidP="000A6777">
      <w:pPr>
        <w:pStyle w:val="EndNoteBibliography"/>
        <w:ind w:left="720" w:hanging="720"/>
        <w:jc w:val="both"/>
        <w:rPr>
          <w:noProof/>
        </w:rPr>
      </w:pPr>
      <w:r w:rsidRPr="000A6777">
        <w:rPr>
          <w:noProof/>
        </w:rPr>
        <w:t xml:space="preserve">Chavassieux, P., Pastoureau, P., Chapuy, M., Delmas, P., Meunier, P. (1993) Glucocorticoid-induced inhibition of osteoblastic bone formation in ewes: A biochemical and histomorphometric study. </w:t>
      </w:r>
      <w:r w:rsidR="007D31E2" w:rsidRPr="000A6777">
        <w:rPr>
          <w:i/>
          <w:noProof/>
        </w:rPr>
        <w:t>Osteoporosis International</w:t>
      </w:r>
      <w:r w:rsidRPr="000A6777">
        <w:rPr>
          <w:i/>
          <w:noProof/>
        </w:rPr>
        <w:t>,</w:t>
      </w:r>
      <w:r w:rsidRPr="000A6777">
        <w:rPr>
          <w:noProof/>
        </w:rPr>
        <w:t xml:space="preserve"> 3</w:t>
      </w:r>
      <w:r w:rsidRPr="000A6777">
        <w:rPr>
          <w:b/>
          <w:noProof/>
        </w:rPr>
        <w:t>:</w:t>
      </w:r>
      <w:r w:rsidRPr="000A6777">
        <w:rPr>
          <w:noProof/>
        </w:rPr>
        <w:t xml:space="preserve"> 97-102.</w:t>
      </w:r>
    </w:p>
    <w:p w14:paraId="77A2C89E" w14:textId="77777777" w:rsidR="00B32AAB" w:rsidRPr="000A6777" w:rsidRDefault="00B32AAB" w:rsidP="000A6777">
      <w:pPr>
        <w:pStyle w:val="EndNoteBibliography"/>
        <w:ind w:left="720" w:hanging="720"/>
        <w:jc w:val="both"/>
        <w:rPr>
          <w:noProof/>
        </w:rPr>
      </w:pPr>
      <w:r w:rsidRPr="000A6777">
        <w:rPr>
          <w:noProof/>
        </w:rPr>
        <w:t xml:space="preserve">Chen, D., M., Z., Mundy, G. R. (2004) Bone morphogenetic proteins. </w:t>
      </w:r>
      <w:r w:rsidRPr="000A6777">
        <w:rPr>
          <w:i/>
          <w:noProof/>
        </w:rPr>
        <w:t>Growth Factors,</w:t>
      </w:r>
      <w:r w:rsidRPr="000A6777">
        <w:rPr>
          <w:noProof/>
        </w:rPr>
        <w:t xml:space="preserve"> 22(4)</w:t>
      </w:r>
      <w:r w:rsidRPr="000A6777">
        <w:rPr>
          <w:b/>
          <w:noProof/>
        </w:rPr>
        <w:t>:</w:t>
      </w:r>
      <w:r w:rsidRPr="000A6777">
        <w:rPr>
          <w:noProof/>
        </w:rPr>
        <w:t xml:space="preserve"> 233-241.</w:t>
      </w:r>
    </w:p>
    <w:p w14:paraId="3AF753BA" w14:textId="77777777" w:rsidR="00B32AAB" w:rsidRPr="000A6777" w:rsidRDefault="00B32AAB" w:rsidP="000A6777">
      <w:pPr>
        <w:pStyle w:val="EndNoteBibliography"/>
        <w:ind w:left="720" w:hanging="720"/>
        <w:jc w:val="both"/>
        <w:rPr>
          <w:noProof/>
        </w:rPr>
      </w:pPr>
      <w:r w:rsidRPr="000A6777">
        <w:rPr>
          <w:noProof/>
        </w:rPr>
        <w:lastRenderedPageBreak/>
        <w:t xml:space="preserve">Chen, G., Fan, W., Mishra, S., El-Atem, A., Schuetz, M. A., Xiao, Y. (2012) Tooth fracture risk analysis based on a new finite element dental structure models using micro- CT data. </w:t>
      </w:r>
      <w:r w:rsidRPr="000A6777">
        <w:rPr>
          <w:i/>
          <w:noProof/>
        </w:rPr>
        <w:t>Computers in Biology and Medicine,</w:t>
      </w:r>
      <w:r w:rsidRPr="000A6777">
        <w:rPr>
          <w:noProof/>
        </w:rPr>
        <w:t xml:space="preserve"> 42</w:t>
      </w:r>
      <w:r w:rsidRPr="000A6777">
        <w:rPr>
          <w:b/>
          <w:noProof/>
        </w:rPr>
        <w:t>:</w:t>
      </w:r>
      <w:r w:rsidRPr="000A6777">
        <w:rPr>
          <w:noProof/>
        </w:rPr>
        <w:t xml:space="preserve"> 957-963.</w:t>
      </w:r>
    </w:p>
    <w:p w14:paraId="3D53EA00" w14:textId="77777777" w:rsidR="00B32AAB" w:rsidRPr="000A6777" w:rsidRDefault="00B32AAB" w:rsidP="000A6777">
      <w:pPr>
        <w:pStyle w:val="EndNoteBibliography"/>
        <w:ind w:left="720" w:hanging="720"/>
        <w:jc w:val="both"/>
        <w:rPr>
          <w:noProof/>
        </w:rPr>
      </w:pPr>
      <w:r w:rsidRPr="000A6777">
        <w:rPr>
          <w:noProof/>
        </w:rPr>
        <w:t xml:space="preserve">Chen, H., Zhou, X., Fujita, H., Onozuka, M., Kubo, K.-Y. (2013) Age- Related Changes in Trabecular and Cortical Bone Microstructure. </w:t>
      </w:r>
      <w:r w:rsidRPr="000A6777">
        <w:rPr>
          <w:i/>
          <w:noProof/>
        </w:rPr>
        <w:t>International Journal of Endocrinology,</w:t>
      </w:r>
      <w:r w:rsidRPr="000A6777">
        <w:rPr>
          <w:noProof/>
        </w:rPr>
        <w:t xml:space="preserve"> 2013</w:t>
      </w:r>
      <w:r w:rsidRPr="000A6777">
        <w:rPr>
          <w:b/>
          <w:noProof/>
        </w:rPr>
        <w:t>:</w:t>
      </w:r>
      <w:r w:rsidRPr="000A6777">
        <w:rPr>
          <w:noProof/>
        </w:rPr>
        <w:t xml:space="preserve"> 213234.</w:t>
      </w:r>
    </w:p>
    <w:p w14:paraId="5744DD43" w14:textId="77777777" w:rsidR="00B32AAB" w:rsidRPr="000A6777" w:rsidRDefault="00B32AAB" w:rsidP="000A6777">
      <w:pPr>
        <w:pStyle w:val="EndNoteBibliography"/>
        <w:ind w:left="720" w:hanging="720"/>
        <w:jc w:val="both"/>
        <w:rPr>
          <w:noProof/>
        </w:rPr>
      </w:pPr>
      <w:r w:rsidRPr="000A6777">
        <w:rPr>
          <w:noProof/>
        </w:rPr>
        <w:t xml:space="preserve">Churches, A. E., Howlett, C. R. (1982) Functional adaptation of bone in response to sinusoidally varying controlled compressive loading of the ovine metacarpus. </w:t>
      </w:r>
      <w:r w:rsidRPr="000A6777">
        <w:rPr>
          <w:i/>
          <w:noProof/>
        </w:rPr>
        <w:t>Clinical Orthopaedics and Related Research,</w:t>
      </w:r>
      <w:r w:rsidRPr="000A6777">
        <w:rPr>
          <w:noProof/>
        </w:rPr>
        <w:t xml:space="preserve"> 168</w:t>
      </w:r>
      <w:r w:rsidRPr="000A6777">
        <w:rPr>
          <w:b/>
          <w:noProof/>
        </w:rPr>
        <w:t>:</w:t>
      </w:r>
      <w:r w:rsidRPr="000A6777">
        <w:rPr>
          <w:noProof/>
        </w:rPr>
        <w:t xml:space="preserve"> 265-280.</w:t>
      </w:r>
    </w:p>
    <w:p w14:paraId="07E93653" w14:textId="77777777" w:rsidR="00B32AAB" w:rsidRPr="000A6777" w:rsidRDefault="00B32AAB" w:rsidP="000A6777">
      <w:pPr>
        <w:pStyle w:val="EndNoteBibliography"/>
        <w:ind w:left="720" w:hanging="720"/>
        <w:jc w:val="both"/>
        <w:rPr>
          <w:noProof/>
        </w:rPr>
      </w:pPr>
      <w:r w:rsidRPr="000A6777">
        <w:rPr>
          <w:noProof/>
        </w:rPr>
        <w:t xml:space="preserve">Churches, A. E., Howlett, C. R., Waldron, K. J., Ward, G. W. (1979) The response of living bone to controlled time- varying loading: Method and preliminary results. </w:t>
      </w:r>
      <w:r w:rsidRPr="000A6777">
        <w:rPr>
          <w:i/>
          <w:noProof/>
        </w:rPr>
        <w:t>Journal of Biomechanics,</w:t>
      </w:r>
      <w:r w:rsidRPr="000A6777">
        <w:rPr>
          <w:noProof/>
        </w:rPr>
        <w:t xml:space="preserve"> 12</w:t>
      </w:r>
      <w:r w:rsidRPr="000A6777">
        <w:rPr>
          <w:b/>
          <w:noProof/>
        </w:rPr>
        <w:t>:</w:t>
      </w:r>
      <w:r w:rsidRPr="000A6777">
        <w:rPr>
          <w:noProof/>
        </w:rPr>
        <w:t xml:space="preserve"> 35-45.</w:t>
      </w:r>
    </w:p>
    <w:p w14:paraId="18D5BF9C" w14:textId="77777777" w:rsidR="00B32AAB" w:rsidRPr="000A6777" w:rsidRDefault="00B32AAB" w:rsidP="000A6777">
      <w:pPr>
        <w:pStyle w:val="EndNoteBibliography"/>
        <w:ind w:left="720" w:hanging="720"/>
        <w:jc w:val="both"/>
        <w:rPr>
          <w:noProof/>
        </w:rPr>
      </w:pPr>
      <w:r w:rsidRPr="000A6777">
        <w:rPr>
          <w:noProof/>
        </w:rPr>
        <w:t xml:space="preserve">Clarke, L. B., Brown, M. E., Collins, T. M., Jüppner, A. H., Lakatos, M. P., Levine, P. M., Mannstadt, F. M., Bilezikian, V. J., Romanischen, V. A., Thakker, V. R. (2016) Epidemiology and Diagnosis of Hypoparathyroidism. </w:t>
      </w:r>
      <w:r w:rsidR="004334F5">
        <w:rPr>
          <w:i/>
          <w:noProof/>
        </w:rPr>
        <w:t>The Journal of Clinical Endocrinology and M</w:t>
      </w:r>
      <w:r w:rsidRPr="000A6777">
        <w:rPr>
          <w:i/>
          <w:noProof/>
        </w:rPr>
        <w:t>etabolism,</w:t>
      </w:r>
      <w:r w:rsidRPr="000A6777">
        <w:rPr>
          <w:noProof/>
        </w:rPr>
        <w:t xml:space="preserve"> 101</w:t>
      </w:r>
      <w:r w:rsidRPr="000A6777">
        <w:rPr>
          <w:b/>
          <w:noProof/>
        </w:rPr>
        <w:t>:</w:t>
      </w:r>
      <w:r w:rsidRPr="000A6777">
        <w:rPr>
          <w:noProof/>
        </w:rPr>
        <w:t xml:space="preserve"> 2284-2299.</w:t>
      </w:r>
    </w:p>
    <w:p w14:paraId="5B2472A7" w14:textId="77777777" w:rsidR="00B32AAB" w:rsidRPr="000A6777" w:rsidRDefault="00B32AAB" w:rsidP="000A6777">
      <w:pPr>
        <w:pStyle w:val="EndNoteBibliography"/>
        <w:ind w:left="720" w:hanging="720"/>
        <w:jc w:val="both"/>
        <w:rPr>
          <w:noProof/>
        </w:rPr>
      </w:pPr>
      <w:r w:rsidRPr="000A6777">
        <w:rPr>
          <w:noProof/>
        </w:rPr>
        <w:t xml:space="preserve">Clemens, T. L., Karsenty, G. (2011) The osteoblast: An insulin target cell controlling glucose homeostasis. </w:t>
      </w:r>
      <w:r w:rsidRPr="000A6777">
        <w:rPr>
          <w:i/>
          <w:noProof/>
        </w:rPr>
        <w:t>Journal of Bone and Mineral Research,</w:t>
      </w:r>
      <w:r w:rsidRPr="000A6777">
        <w:rPr>
          <w:noProof/>
        </w:rPr>
        <w:t xml:space="preserve"> 26</w:t>
      </w:r>
      <w:r w:rsidRPr="000A6777">
        <w:rPr>
          <w:b/>
          <w:noProof/>
        </w:rPr>
        <w:t>:</w:t>
      </w:r>
      <w:r w:rsidRPr="000A6777">
        <w:rPr>
          <w:noProof/>
        </w:rPr>
        <w:t xml:space="preserve"> 677-680.</w:t>
      </w:r>
    </w:p>
    <w:p w14:paraId="204F463D" w14:textId="77777777" w:rsidR="00B32AAB" w:rsidRPr="000A6777" w:rsidRDefault="00B32AAB" w:rsidP="000A6777">
      <w:pPr>
        <w:pStyle w:val="EndNoteBibliography"/>
        <w:ind w:left="720" w:hanging="720"/>
        <w:jc w:val="both"/>
        <w:rPr>
          <w:noProof/>
        </w:rPr>
      </w:pPr>
      <w:r w:rsidRPr="000A6777">
        <w:rPr>
          <w:noProof/>
        </w:rPr>
        <w:t xml:space="preserve">Clowes, J. A., Hannon, R. A., Yap, T. S., Hoyle, N. R., Blumsohn, A., Eastell, R. (2002) Effect of feeding on bone turnover markers and its impact on biological variability of measurements. </w:t>
      </w:r>
      <w:r w:rsidRPr="000A6777">
        <w:rPr>
          <w:i/>
          <w:noProof/>
        </w:rPr>
        <w:t>Bone,</w:t>
      </w:r>
      <w:r w:rsidRPr="000A6777">
        <w:rPr>
          <w:noProof/>
        </w:rPr>
        <w:t xml:space="preserve"> 30</w:t>
      </w:r>
      <w:r w:rsidRPr="000A6777">
        <w:rPr>
          <w:b/>
          <w:noProof/>
        </w:rPr>
        <w:t>:</w:t>
      </w:r>
      <w:r w:rsidRPr="000A6777">
        <w:rPr>
          <w:noProof/>
        </w:rPr>
        <w:t xml:space="preserve"> 886-890.</w:t>
      </w:r>
    </w:p>
    <w:p w14:paraId="1C465646" w14:textId="77777777" w:rsidR="00B32AAB" w:rsidRPr="000A6777" w:rsidRDefault="00B32AAB" w:rsidP="000A6777">
      <w:pPr>
        <w:pStyle w:val="EndNoteBibliography"/>
        <w:ind w:left="720" w:hanging="720"/>
        <w:jc w:val="both"/>
        <w:rPr>
          <w:noProof/>
        </w:rPr>
      </w:pPr>
      <w:r w:rsidRPr="000A6777">
        <w:rPr>
          <w:noProof/>
        </w:rPr>
        <w:t xml:space="preserve">Collins, S., Martin, T. L., Surwit, R. S., Robidoux, J. (2004) Genetic vulnerability to diet-induced obesity in the C57BL/6J mouse: physiological and molecular characteristics. </w:t>
      </w:r>
      <w:r w:rsidRPr="000A6777">
        <w:rPr>
          <w:i/>
          <w:noProof/>
        </w:rPr>
        <w:t>Physiology and Behavior,</w:t>
      </w:r>
      <w:r w:rsidRPr="000A6777">
        <w:rPr>
          <w:noProof/>
        </w:rPr>
        <w:t xml:space="preserve"> 81</w:t>
      </w:r>
      <w:r w:rsidRPr="000A6777">
        <w:rPr>
          <w:b/>
          <w:noProof/>
        </w:rPr>
        <w:t>:</w:t>
      </w:r>
      <w:r w:rsidRPr="000A6777">
        <w:rPr>
          <w:noProof/>
        </w:rPr>
        <w:t xml:space="preserve"> 243-248.</w:t>
      </w:r>
    </w:p>
    <w:p w14:paraId="5168732D" w14:textId="77777777" w:rsidR="00B32AAB" w:rsidRPr="000A6777" w:rsidRDefault="00B32AAB" w:rsidP="000A6777">
      <w:pPr>
        <w:pStyle w:val="EndNoteBibliography"/>
        <w:ind w:left="720" w:hanging="720"/>
        <w:jc w:val="both"/>
        <w:rPr>
          <w:noProof/>
        </w:rPr>
      </w:pPr>
      <w:r w:rsidRPr="000A6777">
        <w:rPr>
          <w:noProof/>
        </w:rPr>
        <w:t xml:space="preserve">Compston, J. (2010) Management of glucocorticoid- induced osteoporosis. </w:t>
      </w:r>
      <w:r w:rsidRPr="000A6777">
        <w:rPr>
          <w:i/>
          <w:noProof/>
        </w:rPr>
        <w:t>Nature Reviews Rheumatology,</w:t>
      </w:r>
      <w:r w:rsidRPr="000A6777">
        <w:rPr>
          <w:noProof/>
        </w:rPr>
        <w:t xml:space="preserve"> 6</w:t>
      </w:r>
      <w:r w:rsidRPr="000A6777">
        <w:rPr>
          <w:b/>
          <w:noProof/>
        </w:rPr>
        <w:t>:</w:t>
      </w:r>
      <w:r w:rsidRPr="000A6777">
        <w:rPr>
          <w:noProof/>
        </w:rPr>
        <w:t xml:space="preserve"> 82-88.</w:t>
      </w:r>
    </w:p>
    <w:p w14:paraId="2F176495" w14:textId="77777777" w:rsidR="00B32AAB" w:rsidRPr="000A6777" w:rsidRDefault="00B32AAB" w:rsidP="000A6777">
      <w:pPr>
        <w:pStyle w:val="EndNoteBibliography"/>
        <w:ind w:left="720" w:hanging="720"/>
        <w:jc w:val="both"/>
        <w:rPr>
          <w:noProof/>
        </w:rPr>
      </w:pPr>
      <w:r w:rsidRPr="000A6777">
        <w:rPr>
          <w:noProof/>
        </w:rPr>
        <w:t xml:space="preserve">Compston, J. E. (2007) Skeletal actions of intermittent parathyroid hormone: Effects on bone remodelling and structure. </w:t>
      </w:r>
      <w:r w:rsidRPr="000A6777">
        <w:rPr>
          <w:i/>
          <w:noProof/>
        </w:rPr>
        <w:t>Bone,</w:t>
      </w:r>
      <w:r w:rsidRPr="000A6777">
        <w:rPr>
          <w:noProof/>
        </w:rPr>
        <w:t xml:space="preserve"> 40</w:t>
      </w:r>
      <w:r w:rsidRPr="000A6777">
        <w:rPr>
          <w:b/>
          <w:noProof/>
        </w:rPr>
        <w:t>:</w:t>
      </w:r>
      <w:r w:rsidRPr="000A6777">
        <w:rPr>
          <w:noProof/>
        </w:rPr>
        <w:t xml:space="preserve"> 1447-1452.</w:t>
      </w:r>
    </w:p>
    <w:p w14:paraId="2F7A7CCD" w14:textId="77777777" w:rsidR="00B32AAB" w:rsidRPr="000A6777" w:rsidRDefault="00B32AAB" w:rsidP="000A6777">
      <w:pPr>
        <w:pStyle w:val="EndNoteBibliography"/>
        <w:ind w:left="720" w:hanging="720"/>
        <w:jc w:val="both"/>
        <w:rPr>
          <w:noProof/>
        </w:rPr>
      </w:pPr>
      <w:r w:rsidRPr="000A6777">
        <w:rPr>
          <w:noProof/>
        </w:rPr>
        <w:t xml:space="preserve">Considine, R. V., Sinha, M. K., Heiman, M. L., Kriauciunas, A., Stephens, T. W., Nyce, M. R., Ohannesian, J. P., Marco, C. C., McKee, L. J., Bauer, T. L., Caro, J. F. (1996) Serum Immunoreactive- Leptin Concentrations in Normal- Weight and Obese Humans. </w:t>
      </w:r>
      <w:r w:rsidRPr="000A6777">
        <w:rPr>
          <w:i/>
          <w:noProof/>
        </w:rPr>
        <w:t>The New England Journal of Medicine,</w:t>
      </w:r>
      <w:r w:rsidRPr="000A6777">
        <w:rPr>
          <w:noProof/>
        </w:rPr>
        <w:t xml:space="preserve"> 334</w:t>
      </w:r>
      <w:r w:rsidRPr="000A6777">
        <w:rPr>
          <w:b/>
          <w:noProof/>
        </w:rPr>
        <w:t>:</w:t>
      </w:r>
      <w:r w:rsidRPr="000A6777">
        <w:rPr>
          <w:noProof/>
        </w:rPr>
        <w:t xml:space="preserve"> 292-295.</w:t>
      </w:r>
    </w:p>
    <w:p w14:paraId="091281B1" w14:textId="77777777" w:rsidR="00B32AAB" w:rsidRPr="000A6777" w:rsidRDefault="00B32AAB" w:rsidP="000A6777">
      <w:pPr>
        <w:pStyle w:val="EndNoteBibliography"/>
        <w:ind w:left="720" w:hanging="720"/>
        <w:jc w:val="both"/>
        <w:rPr>
          <w:noProof/>
        </w:rPr>
      </w:pPr>
      <w:r w:rsidRPr="000A6777">
        <w:rPr>
          <w:noProof/>
        </w:rPr>
        <w:t xml:space="preserve">Cooper, G. J. S. (2001) Amylin and related proteins: physiology and pathophysiology. . </w:t>
      </w:r>
      <w:r w:rsidRPr="000A6777">
        <w:rPr>
          <w:i/>
          <w:noProof/>
        </w:rPr>
        <w:t>In:</w:t>
      </w:r>
      <w:r w:rsidRPr="000A6777">
        <w:rPr>
          <w:noProof/>
        </w:rPr>
        <w:t xml:space="preserve"> Jefferson, L. S., Cherrington, A. D., Goodman, H. M. (eds.) </w:t>
      </w:r>
      <w:r w:rsidRPr="000A6777">
        <w:rPr>
          <w:i/>
          <w:noProof/>
        </w:rPr>
        <w:t>The endocrine pancreas and regulation of metabolism.</w:t>
      </w:r>
      <w:r w:rsidRPr="000A6777">
        <w:rPr>
          <w:noProof/>
        </w:rPr>
        <w:t xml:space="preserve"> Oxford: Oxford University Press. 303–396.</w:t>
      </w:r>
    </w:p>
    <w:p w14:paraId="26062624" w14:textId="77777777" w:rsidR="00B32AAB" w:rsidRPr="000A6777" w:rsidRDefault="00B32AAB" w:rsidP="000A6777">
      <w:pPr>
        <w:pStyle w:val="EndNoteBibliography"/>
        <w:ind w:left="720" w:hanging="720"/>
        <w:jc w:val="both"/>
        <w:rPr>
          <w:noProof/>
        </w:rPr>
      </w:pPr>
      <w:r w:rsidRPr="000A6777">
        <w:rPr>
          <w:noProof/>
        </w:rPr>
        <w:lastRenderedPageBreak/>
        <w:t xml:space="preserve">Cooper, G. J. S., Willis, A. C., Clark, A., Turner, R. C., Sim, R. B., Reid, K. B. M. (1987) Purification and characterization of a peptide from amyloid- rich pancreases of type 2 diabetic patients. </w:t>
      </w:r>
      <w:r w:rsidRPr="000A6777">
        <w:rPr>
          <w:i/>
          <w:noProof/>
        </w:rPr>
        <w:t>Proceedings of the National Academy of Sciences of the United States of America,</w:t>
      </w:r>
      <w:r w:rsidRPr="000A6777">
        <w:rPr>
          <w:noProof/>
        </w:rPr>
        <w:t xml:space="preserve"> 84</w:t>
      </w:r>
      <w:r w:rsidRPr="000A6777">
        <w:rPr>
          <w:b/>
          <w:noProof/>
        </w:rPr>
        <w:t>:</w:t>
      </w:r>
      <w:r w:rsidRPr="000A6777">
        <w:rPr>
          <w:noProof/>
        </w:rPr>
        <w:t xml:space="preserve"> 8628-8632.</w:t>
      </w:r>
    </w:p>
    <w:p w14:paraId="54F1E774" w14:textId="77777777" w:rsidR="00B32AAB" w:rsidRPr="000A6777" w:rsidRDefault="00B32AAB" w:rsidP="000A6777">
      <w:pPr>
        <w:pStyle w:val="EndNoteBibliography"/>
        <w:ind w:left="720" w:hanging="720"/>
        <w:jc w:val="both"/>
        <w:rPr>
          <w:noProof/>
        </w:rPr>
      </w:pPr>
      <w:r w:rsidRPr="000A6777">
        <w:rPr>
          <w:noProof/>
        </w:rPr>
        <w:t xml:space="preserve">Cornish, J., Callon, K., Reid, I. (1996) Insulin increases histomorphometric indices of bone formation In vivo. </w:t>
      </w:r>
      <w:r w:rsidRPr="000A6777">
        <w:rPr>
          <w:i/>
          <w:noProof/>
        </w:rPr>
        <w:t>Calcified Tissue International,</w:t>
      </w:r>
      <w:r w:rsidRPr="000A6777">
        <w:rPr>
          <w:noProof/>
        </w:rPr>
        <w:t xml:space="preserve"> 59</w:t>
      </w:r>
      <w:r w:rsidRPr="000A6777">
        <w:rPr>
          <w:b/>
          <w:noProof/>
        </w:rPr>
        <w:t>:</w:t>
      </w:r>
      <w:r w:rsidRPr="000A6777">
        <w:rPr>
          <w:noProof/>
        </w:rPr>
        <w:t xml:space="preserve"> 492-495.</w:t>
      </w:r>
    </w:p>
    <w:p w14:paraId="5F4925B4" w14:textId="77777777" w:rsidR="00B32AAB" w:rsidRPr="000A6777" w:rsidRDefault="00B32AAB" w:rsidP="000A6777">
      <w:pPr>
        <w:pStyle w:val="EndNoteBibliography"/>
        <w:ind w:left="720" w:hanging="720"/>
        <w:jc w:val="both"/>
        <w:rPr>
          <w:noProof/>
        </w:rPr>
      </w:pPr>
      <w:r w:rsidRPr="000A6777">
        <w:rPr>
          <w:noProof/>
        </w:rPr>
        <w:t xml:space="preserve">Cornish, J., Callon, K. E., Bava, U., Coy, D. H., Cooper, G. J. S., Reid, I. R., Gasser, J. A., Gardiner, E. M. (2000) Systemic administration of a novel octapeptide, amylin-( 1- 8), increases bone volume in male mice. </w:t>
      </w:r>
      <w:r w:rsidRPr="000A6777">
        <w:rPr>
          <w:i/>
          <w:noProof/>
        </w:rPr>
        <w:t>American Journal of Physiology - Endocrinology and Metabolism,</w:t>
      </w:r>
      <w:r w:rsidRPr="000A6777">
        <w:rPr>
          <w:noProof/>
        </w:rPr>
        <w:t xml:space="preserve"> 279</w:t>
      </w:r>
      <w:r w:rsidRPr="000A6777">
        <w:rPr>
          <w:b/>
          <w:noProof/>
        </w:rPr>
        <w:t>:</w:t>
      </w:r>
      <w:r w:rsidRPr="000A6777">
        <w:rPr>
          <w:noProof/>
        </w:rPr>
        <w:t xml:space="preserve"> E730-E735.</w:t>
      </w:r>
    </w:p>
    <w:p w14:paraId="14385F0F" w14:textId="77777777" w:rsidR="00B32AAB" w:rsidRPr="000A6777" w:rsidRDefault="00B32AAB" w:rsidP="000A6777">
      <w:pPr>
        <w:pStyle w:val="EndNoteBibliography"/>
        <w:ind w:left="720" w:hanging="720"/>
        <w:jc w:val="both"/>
        <w:rPr>
          <w:noProof/>
        </w:rPr>
      </w:pPr>
      <w:r w:rsidRPr="000A6777">
        <w:rPr>
          <w:noProof/>
        </w:rPr>
        <w:t xml:space="preserve">Cornish, J., Callon, K. E., Lin, C. Q., Xiao, C. L., Gamble, G. D., Cooper, G. J., Reid, I. R. (1999) Comparison of the effects of calcitonin gene- related peptide and amylin on osteoblasts. </w:t>
      </w:r>
      <w:r w:rsidRPr="000A6777">
        <w:rPr>
          <w:i/>
          <w:noProof/>
        </w:rPr>
        <w:t>Journal of Bone and Mineral Research,</w:t>
      </w:r>
      <w:r w:rsidRPr="000A6777">
        <w:rPr>
          <w:noProof/>
        </w:rPr>
        <w:t xml:space="preserve"> 14</w:t>
      </w:r>
      <w:r w:rsidRPr="000A6777">
        <w:rPr>
          <w:b/>
          <w:noProof/>
        </w:rPr>
        <w:t>:</w:t>
      </w:r>
      <w:r w:rsidRPr="000A6777">
        <w:rPr>
          <w:noProof/>
        </w:rPr>
        <w:t xml:space="preserve"> 1302-1309.</w:t>
      </w:r>
    </w:p>
    <w:p w14:paraId="51A36ECE" w14:textId="77777777" w:rsidR="00B32AAB" w:rsidRPr="000A6777" w:rsidRDefault="00B32AAB" w:rsidP="000A6777">
      <w:pPr>
        <w:pStyle w:val="EndNoteBibliography"/>
        <w:ind w:left="720" w:hanging="720"/>
        <w:jc w:val="both"/>
        <w:rPr>
          <w:noProof/>
        </w:rPr>
      </w:pPr>
      <w:r w:rsidRPr="000A6777">
        <w:rPr>
          <w:noProof/>
        </w:rPr>
        <w:t xml:space="preserve">Cornish, J., Gallon, K. E., Lin, C. Q. X., Xiao, C. L., Cooper, T. B., Reid, D. H., Mulvey, G. J. S., Cooper, I. R., Coy, I. R., Cornish, I. R. (1998) Dissociation of the effects of amylin on osteoblast proliferation and bone resorption. </w:t>
      </w:r>
      <w:r w:rsidRPr="000A6777">
        <w:rPr>
          <w:i/>
          <w:noProof/>
        </w:rPr>
        <w:t>American Journal of Physiology - Endocrinology and Metabolism,</w:t>
      </w:r>
      <w:r w:rsidRPr="000A6777">
        <w:rPr>
          <w:noProof/>
        </w:rPr>
        <w:t xml:space="preserve"> 274</w:t>
      </w:r>
      <w:r w:rsidRPr="000A6777">
        <w:rPr>
          <w:b/>
          <w:noProof/>
        </w:rPr>
        <w:t>:</w:t>
      </w:r>
      <w:r w:rsidRPr="000A6777">
        <w:rPr>
          <w:noProof/>
        </w:rPr>
        <w:t xml:space="preserve"> E827-E833.</w:t>
      </w:r>
    </w:p>
    <w:p w14:paraId="05DEC30F" w14:textId="77777777" w:rsidR="00B32AAB" w:rsidRPr="000A6777" w:rsidRDefault="00B32AAB" w:rsidP="000A6777">
      <w:pPr>
        <w:pStyle w:val="EndNoteBibliography"/>
        <w:ind w:left="720" w:hanging="720"/>
        <w:jc w:val="both"/>
        <w:rPr>
          <w:noProof/>
        </w:rPr>
      </w:pPr>
      <w:r w:rsidRPr="000A6777">
        <w:rPr>
          <w:noProof/>
        </w:rPr>
        <w:t xml:space="preserve">Cornish, J., Grey, A., Callon, K., Naot, D., Hill, B., Lin, C., Balchin, L., Reid, I. R. (2004) Shared pathways of osteoblast mitogenesis induced by amylin, adrenomedullin, and IGF- 1. </w:t>
      </w:r>
      <w:r w:rsidRPr="000A6777">
        <w:rPr>
          <w:i/>
          <w:noProof/>
        </w:rPr>
        <w:t>Biochemical and Biophysical Research Communications,</w:t>
      </w:r>
      <w:r w:rsidRPr="000A6777">
        <w:rPr>
          <w:noProof/>
        </w:rPr>
        <w:t xml:space="preserve"> 318</w:t>
      </w:r>
      <w:r w:rsidRPr="000A6777">
        <w:rPr>
          <w:b/>
          <w:noProof/>
        </w:rPr>
        <w:t>:</w:t>
      </w:r>
      <w:r w:rsidRPr="000A6777">
        <w:rPr>
          <w:noProof/>
        </w:rPr>
        <w:t xml:space="preserve"> 240-246.</w:t>
      </w:r>
    </w:p>
    <w:p w14:paraId="4DEDD158" w14:textId="77777777" w:rsidR="00B32AAB" w:rsidRPr="000A6777" w:rsidRDefault="00B32AAB" w:rsidP="000A6777">
      <w:pPr>
        <w:pStyle w:val="EndNoteBibliography"/>
        <w:ind w:left="720" w:hanging="720"/>
        <w:jc w:val="both"/>
        <w:rPr>
          <w:noProof/>
        </w:rPr>
      </w:pPr>
      <w:r w:rsidRPr="000A6777">
        <w:rPr>
          <w:noProof/>
        </w:rPr>
        <w:t xml:space="preserve">Costa, J. L., Naot, D., Lin, J., Watson, M., Callon, K. E., Reid, I. R., Grey, a. B., Cornish, J. (2011) Ghrelin is an Osteoblast Mitogen and Increases Osteoclastic Bone Resorption In Vitro. </w:t>
      </w:r>
      <w:r w:rsidRPr="000A6777">
        <w:rPr>
          <w:i/>
          <w:noProof/>
        </w:rPr>
        <w:t>International Journal of Peptides,</w:t>
      </w:r>
      <w:r w:rsidRPr="000A6777">
        <w:rPr>
          <w:noProof/>
        </w:rPr>
        <w:t xml:space="preserve"> 2011</w:t>
      </w:r>
      <w:r w:rsidRPr="000A6777">
        <w:rPr>
          <w:b/>
          <w:noProof/>
        </w:rPr>
        <w:t>:</w:t>
      </w:r>
      <w:r w:rsidRPr="000A6777">
        <w:rPr>
          <w:noProof/>
        </w:rPr>
        <w:t xml:space="preserve"> 1-7.</w:t>
      </w:r>
    </w:p>
    <w:p w14:paraId="3784EDF8" w14:textId="77777777" w:rsidR="00B32AAB" w:rsidRPr="000A6777" w:rsidRDefault="00B32AAB" w:rsidP="000A6777">
      <w:pPr>
        <w:pStyle w:val="EndNoteBibliography"/>
        <w:ind w:left="720" w:hanging="720"/>
        <w:jc w:val="both"/>
        <w:rPr>
          <w:noProof/>
        </w:rPr>
      </w:pPr>
      <w:r w:rsidRPr="000A6777">
        <w:rPr>
          <w:noProof/>
        </w:rPr>
        <w:t xml:space="preserve">Courtland, H.-W., Kennedy, O. D., Wu, Y., Gao, Y., Sun, H., Schaffler, M. B., Yakar, S. (2013) Low levels of plasma IGF-1 inhibit intracortical bone remodeling during aging. </w:t>
      </w:r>
      <w:r w:rsidRPr="000A6777">
        <w:rPr>
          <w:i/>
          <w:noProof/>
        </w:rPr>
        <w:t>Age (Dordrecht, Netherlands),</w:t>
      </w:r>
      <w:r w:rsidRPr="000A6777">
        <w:rPr>
          <w:noProof/>
        </w:rPr>
        <w:t xml:space="preserve"> 35</w:t>
      </w:r>
      <w:r w:rsidRPr="000A6777">
        <w:rPr>
          <w:b/>
          <w:noProof/>
        </w:rPr>
        <w:t>:</w:t>
      </w:r>
      <w:r w:rsidRPr="000A6777">
        <w:rPr>
          <w:noProof/>
        </w:rPr>
        <w:t xml:space="preserve"> 1691-1703.</w:t>
      </w:r>
    </w:p>
    <w:p w14:paraId="01AA0423" w14:textId="77777777" w:rsidR="00B32AAB" w:rsidRPr="000A6777" w:rsidRDefault="00B32AAB" w:rsidP="000A6777">
      <w:pPr>
        <w:pStyle w:val="EndNoteBibliography"/>
        <w:ind w:left="720" w:hanging="720"/>
        <w:jc w:val="both"/>
        <w:rPr>
          <w:noProof/>
        </w:rPr>
      </w:pPr>
      <w:r w:rsidRPr="000A6777">
        <w:rPr>
          <w:noProof/>
        </w:rPr>
        <w:t xml:space="preserve">Cowley, M., A., James, L. S., Marcelo, R., Marcelo, G. C., Sabrina, D., Tamas, L. H., Roger, D. C., Malcolm, J. L. (2001) Leptin activates anorexigenic POMC neurons through a neural network in the arcuate nucleus. </w:t>
      </w:r>
      <w:r w:rsidRPr="000A6777">
        <w:rPr>
          <w:i/>
          <w:noProof/>
        </w:rPr>
        <w:t>Nature,</w:t>
      </w:r>
      <w:r w:rsidRPr="000A6777">
        <w:rPr>
          <w:noProof/>
        </w:rPr>
        <w:t xml:space="preserve"> 411</w:t>
      </w:r>
      <w:r w:rsidRPr="000A6777">
        <w:rPr>
          <w:b/>
          <w:noProof/>
        </w:rPr>
        <w:t>:</w:t>
      </w:r>
      <w:r w:rsidRPr="000A6777">
        <w:rPr>
          <w:noProof/>
        </w:rPr>
        <w:t xml:space="preserve"> 480.</w:t>
      </w:r>
    </w:p>
    <w:p w14:paraId="726D594D" w14:textId="77777777" w:rsidR="00B32AAB" w:rsidRPr="000A6777" w:rsidRDefault="00B32AAB" w:rsidP="000A6777">
      <w:pPr>
        <w:pStyle w:val="EndNoteBibliography"/>
        <w:ind w:left="720" w:hanging="720"/>
        <w:jc w:val="both"/>
        <w:rPr>
          <w:noProof/>
        </w:rPr>
      </w:pPr>
      <w:r w:rsidRPr="000A6777">
        <w:rPr>
          <w:noProof/>
        </w:rPr>
        <w:t xml:space="preserve">Crabbe, L., Jauch, A., Naeger, C. M., Holtgreve-Grez, H., Karlseder, J. (2007) Telomere dysfunction as a cause of genomic instability in Werner syndrome. </w:t>
      </w:r>
      <w:r w:rsidRPr="000A6777">
        <w:rPr>
          <w:i/>
          <w:noProof/>
        </w:rPr>
        <w:t>Proceedings of the National Academy of Sciences,</w:t>
      </w:r>
      <w:r w:rsidRPr="000A6777">
        <w:rPr>
          <w:noProof/>
        </w:rPr>
        <w:t xml:space="preserve"> 104</w:t>
      </w:r>
      <w:r w:rsidRPr="000A6777">
        <w:rPr>
          <w:b/>
          <w:noProof/>
        </w:rPr>
        <w:t>:</w:t>
      </w:r>
      <w:r w:rsidRPr="000A6777">
        <w:rPr>
          <w:noProof/>
        </w:rPr>
        <w:t xml:space="preserve"> 2205-2210.</w:t>
      </w:r>
    </w:p>
    <w:p w14:paraId="6807CDB7" w14:textId="77777777" w:rsidR="00B32AAB" w:rsidRPr="000A6777" w:rsidRDefault="00B32AAB" w:rsidP="000A6777">
      <w:pPr>
        <w:pStyle w:val="EndNoteBibliography"/>
        <w:ind w:left="720" w:hanging="720"/>
        <w:jc w:val="both"/>
        <w:rPr>
          <w:noProof/>
        </w:rPr>
      </w:pPr>
      <w:r w:rsidRPr="000A6777">
        <w:rPr>
          <w:noProof/>
        </w:rPr>
        <w:t xml:space="preserve">Cranney, A., Papaioannou, A., Zytaruk, N., Hanley, D., Adachi, J., Goltzman, D., Murray, T., Hodsman, A. (2006) Parathyroid hormone for the treatment of osteoporosis: a systematic review. </w:t>
      </w:r>
      <w:r w:rsidRPr="000A6777">
        <w:rPr>
          <w:i/>
          <w:noProof/>
        </w:rPr>
        <w:t>Canadian Medical Association Journal,</w:t>
      </w:r>
      <w:r w:rsidRPr="000A6777">
        <w:rPr>
          <w:noProof/>
        </w:rPr>
        <w:t xml:space="preserve"> 175</w:t>
      </w:r>
      <w:r w:rsidRPr="000A6777">
        <w:rPr>
          <w:b/>
          <w:noProof/>
        </w:rPr>
        <w:t>:</w:t>
      </w:r>
      <w:r w:rsidRPr="000A6777">
        <w:rPr>
          <w:noProof/>
        </w:rPr>
        <w:t xml:space="preserve"> 52-59.</w:t>
      </w:r>
    </w:p>
    <w:p w14:paraId="0E6BDCB2" w14:textId="77777777" w:rsidR="00B32AAB" w:rsidRPr="000A6777" w:rsidRDefault="00B32AAB" w:rsidP="000A6777">
      <w:pPr>
        <w:pStyle w:val="EndNoteBibliography"/>
        <w:ind w:left="720" w:hanging="720"/>
        <w:jc w:val="both"/>
        <w:rPr>
          <w:noProof/>
        </w:rPr>
      </w:pPr>
      <w:r w:rsidRPr="000A6777">
        <w:rPr>
          <w:noProof/>
        </w:rPr>
        <w:lastRenderedPageBreak/>
        <w:t xml:space="preserve">Crockett, J. C., Rogers, M. J., Coxon, F. P., Hocking, L. J., Helfrich, M. H. (2011) Bone remodelling at a glance. </w:t>
      </w:r>
      <w:r w:rsidRPr="000A6777">
        <w:rPr>
          <w:i/>
          <w:noProof/>
        </w:rPr>
        <w:t>Journal of Cell Science,</w:t>
      </w:r>
      <w:r w:rsidRPr="000A6777">
        <w:rPr>
          <w:noProof/>
        </w:rPr>
        <w:t xml:space="preserve"> 124</w:t>
      </w:r>
      <w:r w:rsidRPr="000A6777">
        <w:rPr>
          <w:b/>
          <w:noProof/>
        </w:rPr>
        <w:t>:</w:t>
      </w:r>
      <w:r w:rsidRPr="000A6777">
        <w:rPr>
          <w:noProof/>
        </w:rPr>
        <w:t xml:space="preserve"> 991-998.</w:t>
      </w:r>
    </w:p>
    <w:p w14:paraId="5AFE4BC4" w14:textId="77777777" w:rsidR="00B32AAB" w:rsidRPr="000A6777" w:rsidRDefault="00B32AAB" w:rsidP="000A6777">
      <w:pPr>
        <w:pStyle w:val="EndNoteBibliography"/>
        <w:ind w:left="720" w:hanging="720"/>
        <w:jc w:val="both"/>
        <w:rPr>
          <w:noProof/>
        </w:rPr>
      </w:pPr>
      <w:r w:rsidRPr="000A6777">
        <w:rPr>
          <w:noProof/>
        </w:rPr>
        <w:t xml:space="preserve">Cummings, D., Frayo, R., Marmonier, C., Aubert, R., Chapelot, D. (2004) Plasma ghrelin levels and hunger scores in humans initiating meals voluntarily without time- and food- related cues. </w:t>
      </w:r>
      <w:r w:rsidRPr="000A6777">
        <w:rPr>
          <w:i/>
          <w:noProof/>
        </w:rPr>
        <w:t>American Journal of Physiology</w:t>
      </w:r>
      <w:r w:rsidR="004334F5">
        <w:rPr>
          <w:i/>
          <w:noProof/>
        </w:rPr>
        <w:t xml:space="preserve"> </w:t>
      </w:r>
      <w:r w:rsidRPr="000A6777">
        <w:rPr>
          <w:i/>
          <w:noProof/>
        </w:rPr>
        <w:t>-</w:t>
      </w:r>
      <w:r w:rsidR="004334F5">
        <w:rPr>
          <w:i/>
          <w:noProof/>
        </w:rPr>
        <w:t xml:space="preserve"> </w:t>
      </w:r>
      <w:r w:rsidRPr="000A6777">
        <w:rPr>
          <w:i/>
          <w:noProof/>
        </w:rPr>
        <w:t>Endocrinology and Metabolism,</w:t>
      </w:r>
      <w:r w:rsidRPr="000A6777">
        <w:rPr>
          <w:noProof/>
        </w:rPr>
        <w:t xml:space="preserve"> 287</w:t>
      </w:r>
      <w:r w:rsidRPr="000A6777">
        <w:rPr>
          <w:b/>
          <w:noProof/>
        </w:rPr>
        <w:t>:</w:t>
      </w:r>
      <w:r w:rsidRPr="000A6777">
        <w:rPr>
          <w:noProof/>
        </w:rPr>
        <w:t xml:space="preserve"> E297-E304.</w:t>
      </w:r>
    </w:p>
    <w:p w14:paraId="68AD7365" w14:textId="77777777" w:rsidR="00B32AAB" w:rsidRPr="000A6777" w:rsidRDefault="00B32AAB" w:rsidP="000A6777">
      <w:pPr>
        <w:pStyle w:val="EndNoteBibliography"/>
        <w:ind w:left="720" w:hanging="720"/>
        <w:jc w:val="both"/>
        <w:rPr>
          <w:noProof/>
        </w:rPr>
      </w:pPr>
      <w:r w:rsidRPr="000A6777">
        <w:rPr>
          <w:noProof/>
        </w:rPr>
        <w:t xml:space="preserve">Cummings, D., Overduin, J. (2007) Gastrointestinal regulation of food intake. </w:t>
      </w:r>
      <w:r w:rsidR="004334F5">
        <w:rPr>
          <w:i/>
          <w:noProof/>
        </w:rPr>
        <w:t>The Journal of Clinical I</w:t>
      </w:r>
      <w:r w:rsidRPr="000A6777">
        <w:rPr>
          <w:i/>
          <w:noProof/>
        </w:rPr>
        <w:t>nvestigation,</w:t>
      </w:r>
      <w:r w:rsidRPr="000A6777">
        <w:rPr>
          <w:noProof/>
        </w:rPr>
        <w:t xml:space="preserve"> 117</w:t>
      </w:r>
      <w:r w:rsidRPr="000A6777">
        <w:rPr>
          <w:b/>
          <w:noProof/>
        </w:rPr>
        <w:t>:</w:t>
      </w:r>
      <w:r w:rsidRPr="000A6777">
        <w:rPr>
          <w:noProof/>
        </w:rPr>
        <w:t xml:space="preserve"> 13-23.</w:t>
      </w:r>
    </w:p>
    <w:p w14:paraId="6130D7AF" w14:textId="77777777" w:rsidR="00B32AAB" w:rsidRPr="000A6777" w:rsidRDefault="00B32AAB" w:rsidP="000A6777">
      <w:pPr>
        <w:pStyle w:val="EndNoteBibliography"/>
        <w:ind w:left="720" w:hanging="720"/>
        <w:jc w:val="both"/>
        <w:rPr>
          <w:noProof/>
        </w:rPr>
      </w:pPr>
      <w:r w:rsidRPr="000A6777">
        <w:rPr>
          <w:noProof/>
        </w:rPr>
        <w:t xml:space="preserve">Cummings, D., Purnell, J., Frayo, R., Schmidova, K., Wisse, B., Weigle, D. (2001) A preprandial rise in plasma ghrelin levels suggests a role in meal initiation in humans. </w:t>
      </w:r>
      <w:r w:rsidRPr="000A6777">
        <w:rPr>
          <w:i/>
          <w:noProof/>
        </w:rPr>
        <w:t>Diabetes,</w:t>
      </w:r>
      <w:r w:rsidRPr="000A6777">
        <w:rPr>
          <w:noProof/>
        </w:rPr>
        <w:t xml:space="preserve"> 50</w:t>
      </w:r>
      <w:r w:rsidRPr="000A6777">
        <w:rPr>
          <w:b/>
          <w:noProof/>
        </w:rPr>
        <w:t>:</w:t>
      </w:r>
      <w:r w:rsidRPr="000A6777">
        <w:rPr>
          <w:noProof/>
        </w:rPr>
        <w:t xml:space="preserve"> 1714-1719.</w:t>
      </w:r>
    </w:p>
    <w:p w14:paraId="29CF474B" w14:textId="77777777" w:rsidR="00B32AAB" w:rsidRPr="000A6777" w:rsidRDefault="00B32AAB" w:rsidP="000A6777">
      <w:pPr>
        <w:pStyle w:val="EndNoteBibliography"/>
        <w:ind w:left="720" w:hanging="720"/>
        <w:jc w:val="both"/>
        <w:rPr>
          <w:noProof/>
        </w:rPr>
      </w:pPr>
      <w:r w:rsidRPr="000A6777">
        <w:rPr>
          <w:noProof/>
        </w:rPr>
        <w:t xml:space="preserve">Cummings, D., Weigle, D., Frayo, R., Breen, P. A., Ma, M., Dellinger, E., Purnell, J. (2002) Plasma ghrelin levels after diet- induced weight loss or gastric bypass surgery. </w:t>
      </w:r>
      <w:r w:rsidRPr="000A6777">
        <w:rPr>
          <w:i/>
          <w:noProof/>
        </w:rPr>
        <w:t>The New England Journal of Medicine,</w:t>
      </w:r>
      <w:r w:rsidRPr="000A6777">
        <w:rPr>
          <w:noProof/>
        </w:rPr>
        <w:t xml:space="preserve"> 346</w:t>
      </w:r>
      <w:r w:rsidRPr="000A6777">
        <w:rPr>
          <w:b/>
          <w:noProof/>
        </w:rPr>
        <w:t>:</w:t>
      </w:r>
      <w:r w:rsidRPr="000A6777">
        <w:rPr>
          <w:noProof/>
        </w:rPr>
        <w:t xml:space="preserve"> 1623-1630.</w:t>
      </w:r>
    </w:p>
    <w:p w14:paraId="0FEEBF3F" w14:textId="77777777" w:rsidR="00B32AAB" w:rsidRPr="000A6777" w:rsidRDefault="00B32AAB" w:rsidP="000A6777">
      <w:pPr>
        <w:pStyle w:val="EndNoteBibliography"/>
        <w:ind w:left="720" w:hanging="720"/>
        <w:jc w:val="both"/>
        <w:rPr>
          <w:noProof/>
        </w:rPr>
      </w:pPr>
      <w:r w:rsidRPr="000A6777">
        <w:rPr>
          <w:noProof/>
        </w:rPr>
        <w:t xml:space="preserve">Cummings, D. E. (2006) Ghrelin and the short- and long- term regulation of appetite and body weight. </w:t>
      </w:r>
      <w:r w:rsidRPr="000A6777">
        <w:rPr>
          <w:i/>
          <w:noProof/>
        </w:rPr>
        <w:t>Physiology and Behavior,</w:t>
      </w:r>
      <w:r w:rsidRPr="000A6777">
        <w:rPr>
          <w:noProof/>
        </w:rPr>
        <w:t xml:space="preserve"> 89</w:t>
      </w:r>
      <w:r w:rsidRPr="000A6777">
        <w:rPr>
          <w:b/>
          <w:noProof/>
        </w:rPr>
        <w:t>:</w:t>
      </w:r>
      <w:r w:rsidRPr="000A6777">
        <w:rPr>
          <w:noProof/>
        </w:rPr>
        <w:t xml:space="preserve"> 71-84.</w:t>
      </w:r>
    </w:p>
    <w:p w14:paraId="552B93CD" w14:textId="77777777" w:rsidR="00B32AAB" w:rsidRPr="000A6777" w:rsidRDefault="00B32AAB" w:rsidP="000A6777">
      <w:pPr>
        <w:pStyle w:val="EndNoteBibliography"/>
        <w:ind w:left="720" w:hanging="720"/>
        <w:jc w:val="both"/>
        <w:rPr>
          <w:noProof/>
        </w:rPr>
      </w:pPr>
      <w:r w:rsidRPr="000A6777">
        <w:rPr>
          <w:noProof/>
        </w:rPr>
        <w:t xml:space="preserve">Currey, J. D. (1984) What should bones be designed to do? </w:t>
      </w:r>
      <w:r w:rsidRPr="000A6777">
        <w:rPr>
          <w:i/>
          <w:noProof/>
        </w:rPr>
        <w:t>Calcified Tissue International,</w:t>
      </w:r>
      <w:r w:rsidRPr="000A6777">
        <w:rPr>
          <w:noProof/>
        </w:rPr>
        <w:t xml:space="preserve"> 36</w:t>
      </w:r>
      <w:r w:rsidRPr="000A6777">
        <w:rPr>
          <w:b/>
          <w:noProof/>
        </w:rPr>
        <w:t>:</w:t>
      </w:r>
      <w:r w:rsidRPr="000A6777">
        <w:rPr>
          <w:noProof/>
        </w:rPr>
        <w:t xml:space="preserve"> S7-S10.</w:t>
      </w:r>
    </w:p>
    <w:p w14:paraId="03D1F6FE" w14:textId="77777777" w:rsidR="00B32AAB" w:rsidRPr="000A6777" w:rsidRDefault="00B32AAB" w:rsidP="000A6777">
      <w:pPr>
        <w:pStyle w:val="EndNoteBibliography"/>
        <w:ind w:left="720" w:hanging="720"/>
        <w:jc w:val="both"/>
        <w:rPr>
          <w:noProof/>
        </w:rPr>
      </w:pPr>
      <w:r w:rsidRPr="000A6777">
        <w:rPr>
          <w:noProof/>
        </w:rPr>
        <w:t xml:space="preserve">Day, T. F., Guo, X., Garrett-Beal, L., Yang, Y. (2005) Wnt/β-Catenin Signaling in Mesenchymal Progenitors Controls Osteoblast and Chondrocyte Differentiation during Vertebrate Skeletogenesis. </w:t>
      </w:r>
      <w:r w:rsidRPr="000A6777">
        <w:rPr>
          <w:i/>
          <w:noProof/>
        </w:rPr>
        <w:t>Developmental Cell,</w:t>
      </w:r>
      <w:r w:rsidRPr="000A6777">
        <w:rPr>
          <w:noProof/>
        </w:rPr>
        <w:t xml:space="preserve"> 8</w:t>
      </w:r>
      <w:r w:rsidRPr="000A6777">
        <w:rPr>
          <w:b/>
          <w:noProof/>
        </w:rPr>
        <w:t>:</w:t>
      </w:r>
      <w:r w:rsidRPr="000A6777">
        <w:rPr>
          <w:noProof/>
        </w:rPr>
        <w:t xml:space="preserve"> 739-750.</w:t>
      </w:r>
    </w:p>
    <w:p w14:paraId="28FD27BF" w14:textId="77777777" w:rsidR="00B32AAB" w:rsidRPr="000A6777" w:rsidRDefault="00B32AAB" w:rsidP="000A6777">
      <w:pPr>
        <w:pStyle w:val="EndNoteBibliography"/>
        <w:ind w:left="720" w:hanging="720"/>
        <w:jc w:val="both"/>
        <w:rPr>
          <w:noProof/>
        </w:rPr>
      </w:pPr>
      <w:r w:rsidRPr="000A6777">
        <w:rPr>
          <w:noProof/>
        </w:rPr>
        <w:t xml:space="preserve">De Boer, J., Andressoo, J. O., de Wit, J., Huijmans, J., Beems, R. B., van Steeg, H., Weeda, G., van Der Horst, G. T. J., van Leeuwen, W., Themmen, A. P. N., Meradji, M., Hoeijmakers, J. H. J. (2002) Premature aging in mice deficient in DNA repair and transcription. </w:t>
      </w:r>
      <w:r w:rsidRPr="000A6777">
        <w:rPr>
          <w:i/>
          <w:noProof/>
        </w:rPr>
        <w:t>Science,</w:t>
      </w:r>
      <w:r w:rsidRPr="000A6777">
        <w:rPr>
          <w:noProof/>
        </w:rPr>
        <w:t xml:space="preserve"> 296</w:t>
      </w:r>
      <w:r w:rsidRPr="000A6777">
        <w:rPr>
          <w:b/>
          <w:noProof/>
        </w:rPr>
        <w:t>:</w:t>
      </w:r>
      <w:r w:rsidRPr="000A6777">
        <w:rPr>
          <w:noProof/>
        </w:rPr>
        <w:t xml:space="preserve"> 1276-1279.</w:t>
      </w:r>
    </w:p>
    <w:p w14:paraId="12EA8A14" w14:textId="77777777" w:rsidR="00B32AAB" w:rsidRPr="000A6777" w:rsidRDefault="00B32AAB" w:rsidP="000A6777">
      <w:pPr>
        <w:pStyle w:val="EndNoteBibliography"/>
        <w:ind w:left="720" w:hanging="720"/>
        <w:jc w:val="both"/>
        <w:rPr>
          <w:noProof/>
        </w:rPr>
      </w:pPr>
      <w:r w:rsidRPr="000A6777">
        <w:rPr>
          <w:noProof/>
        </w:rPr>
        <w:t xml:space="preserve">De Paula, F. J. A., Rosen, C. J. (2010) Back to the Future: Revisiting Parathyroid Hormone and Calcitonin Control of Bone Remodeling. </w:t>
      </w:r>
      <w:r w:rsidRPr="000A6777">
        <w:rPr>
          <w:i/>
          <w:noProof/>
        </w:rPr>
        <w:t>Hormone and Metabolic Research,</w:t>
      </w:r>
      <w:r w:rsidRPr="000A6777">
        <w:rPr>
          <w:noProof/>
        </w:rPr>
        <w:t xml:space="preserve"> 42</w:t>
      </w:r>
      <w:r w:rsidRPr="000A6777">
        <w:rPr>
          <w:b/>
          <w:noProof/>
        </w:rPr>
        <w:t>:</w:t>
      </w:r>
      <w:r w:rsidRPr="000A6777">
        <w:rPr>
          <w:noProof/>
        </w:rPr>
        <w:t xml:space="preserve"> 299-306.</w:t>
      </w:r>
    </w:p>
    <w:p w14:paraId="4ABFE3E0" w14:textId="77777777" w:rsidR="00B32AAB" w:rsidRPr="000A6777" w:rsidRDefault="00B32AAB" w:rsidP="000A6777">
      <w:pPr>
        <w:pStyle w:val="EndNoteBibliography"/>
        <w:ind w:left="720" w:hanging="720"/>
        <w:jc w:val="both"/>
        <w:rPr>
          <w:noProof/>
        </w:rPr>
      </w:pPr>
      <w:r w:rsidRPr="000A6777">
        <w:rPr>
          <w:noProof/>
        </w:rPr>
        <w:t xml:space="preserve">De Paula, F. J. A., Rosen, C. J. (2013) Bone Remodeling and Energy Metabolism: New Perspectives. </w:t>
      </w:r>
      <w:r w:rsidR="004334F5">
        <w:rPr>
          <w:i/>
          <w:noProof/>
        </w:rPr>
        <w:t>Bone R</w:t>
      </w:r>
      <w:r w:rsidRPr="000A6777">
        <w:rPr>
          <w:i/>
          <w:noProof/>
        </w:rPr>
        <w:t>esearch,</w:t>
      </w:r>
      <w:r w:rsidRPr="000A6777">
        <w:rPr>
          <w:noProof/>
        </w:rPr>
        <w:t xml:space="preserve"> 1</w:t>
      </w:r>
      <w:r w:rsidRPr="000A6777">
        <w:rPr>
          <w:b/>
          <w:noProof/>
        </w:rPr>
        <w:t>:</w:t>
      </w:r>
      <w:r w:rsidRPr="000A6777">
        <w:rPr>
          <w:noProof/>
        </w:rPr>
        <w:t xml:space="preserve"> 72-84.</w:t>
      </w:r>
    </w:p>
    <w:p w14:paraId="3E95F492" w14:textId="77777777" w:rsidR="00B32AAB" w:rsidRPr="000A6777" w:rsidRDefault="00B32AAB" w:rsidP="000A6777">
      <w:pPr>
        <w:pStyle w:val="EndNoteBibliography"/>
        <w:ind w:left="720" w:hanging="720"/>
        <w:jc w:val="both"/>
        <w:rPr>
          <w:noProof/>
        </w:rPr>
      </w:pPr>
      <w:r w:rsidRPr="000A6777">
        <w:rPr>
          <w:noProof/>
        </w:rPr>
        <w:t xml:space="preserve">De Souza, R. L., Matsuura, M., Eckstein, F., Rawlinson, S. C. F., Lanyon, L. E., Pitsillides, A. A. (2005a) Non- invasive axial loading of mouse tibiae increases cortical bone formation and modifies trabecular organization: A new model to study cortical and cancellous compartments in a single loaded element. </w:t>
      </w:r>
      <w:r w:rsidRPr="000A6777">
        <w:rPr>
          <w:i/>
          <w:noProof/>
        </w:rPr>
        <w:t>Bone,</w:t>
      </w:r>
      <w:r w:rsidRPr="000A6777">
        <w:rPr>
          <w:noProof/>
        </w:rPr>
        <w:t xml:space="preserve"> 37</w:t>
      </w:r>
      <w:r w:rsidRPr="000A6777">
        <w:rPr>
          <w:b/>
          <w:noProof/>
        </w:rPr>
        <w:t>:</w:t>
      </w:r>
      <w:r w:rsidRPr="000A6777">
        <w:rPr>
          <w:noProof/>
        </w:rPr>
        <w:t xml:space="preserve"> 810-818.</w:t>
      </w:r>
    </w:p>
    <w:p w14:paraId="19D469F8" w14:textId="77777777" w:rsidR="00B32AAB" w:rsidRPr="000A6777" w:rsidRDefault="00B32AAB" w:rsidP="000A6777">
      <w:pPr>
        <w:pStyle w:val="EndNoteBibliography"/>
        <w:ind w:left="720" w:hanging="720"/>
        <w:jc w:val="both"/>
        <w:rPr>
          <w:noProof/>
        </w:rPr>
      </w:pPr>
      <w:r w:rsidRPr="000A6777">
        <w:rPr>
          <w:noProof/>
        </w:rPr>
        <w:lastRenderedPageBreak/>
        <w:t>De Souza, R. L., Pitsillides, A. A., Lanyon, L. E., Skerry, T. M., Chenu, C. (2005b) Sympathetic Nervous System Does Not Mediate the Load</w:t>
      </w:r>
      <w:r w:rsidRPr="000A6777">
        <w:rPr>
          <w:rFonts w:ascii="American Typewriter Condensed" w:hAnsi="American Typewriter Condensed" w:cs="American Typewriter Condensed"/>
          <w:noProof/>
        </w:rPr>
        <w:t>‐</w:t>
      </w:r>
      <w:r w:rsidRPr="000A6777">
        <w:rPr>
          <w:noProof/>
        </w:rPr>
        <w:t xml:space="preserve"> Induced Cortical New Bone Formation. </w:t>
      </w:r>
      <w:r w:rsidRPr="000A6777">
        <w:rPr>
          <w:i/>
          <w:noProof/>
        </w:rPr>
        <w:t>Journal of Bone and Mineral Research,</w:t>
      </w:r>
      <w:r w:rsidRPr="000A6777">
        <w:rPr>
          <w:noProof/>
        </w:rPr>
        <w:t xml:space="preserve"> 20</w:t>
      </w:r>
      <w:r w:rsidRPr="000A6777">
        <w:rPr>
          <w:b/>
          <w:noProof/>
        </w:rPr>
        <w:t>:</w:t>
      </w:r>
      <w:r w:rsidRPr="000A6777">
        <w:rPr>
          <w:noProof/>
        </w:rPr>
        <w:t xml:space="preserve"> 2159-2168.</w:t>
      </w:r>
    </w:p>
    <w:p w14:paraId="04F21C46" w14:textId="77777777" w:rsidR="00B32AAB" w:rsidRPr="000A6777" w:rsidRDefault="00B32AAB" w:rsidP="000A6777">
      <w:pPr>
        <w:pStyle w:val="EndNoteBibliography"/>
        <w:ind w:left="720" w:hanging="720"/>
        <w:jc w:val="both"/>
        <w:rPr>
          <w:noProof/>
        </w:rPr>
      </w:pPr>
      <w:r w:rsidRPr="000A6777">
        <w:rPr>
          <w:noProof/>
        </w:rPr>
        <w:t xml:space="preserve">Delhanty, P. J. D., Eerden, B. C. J., Leeuwen, J. P. T. M. (2014) Ghrelin and bone. </w:t>
      </w:r>
      <w:r w:rsidRPr="000A6777">
        <w:rPr>
          <w:i/>
          <w:noProof/>
        </w:rPr>
        <w:t>BioFactors,</w:t>
      </w:r>
      <w:r w:rsidRPr="000A6777">
        <w:rPr>
          <w:noProof/>
        </w:rPr>
        <w:t xml:space="preserve"> 40</w:t>
      </w:r>
      <w:r w:rsidRPr="000A6777">
        <w:rPr>
          <w:b/>
          <w:noProof/>
        </w:rPr>
        <w:t>:</w:t>
      </w:r>
      <w:r w:rsidRPr="000A6777">
        <w:rPr>
          <w:noProof/>
        </w:rPr>
        <w:t xml:space="preserve"> 41-48.</w:t>
      </w:r>
    </w:p>
    <w:p w14:paraId="5733605A" w14:textId="77777777" w:rsidR="00B32AAB" w:rsidRPr="000A6777" w:rsidRDefault="00B32AAB" w:rsidP="000A6777">
      <w:pPr>
        <w:pStyle w:val="EndNoteBibliography"/>
        <w:ind w:left="720" w:hanging="720"/>
        <w:jc w:val="both"/>
        <w:rPr>
          <w:noProof/>
        </w:rPr>
      </w:pPr>
      <w:r w:rsidRPr="000A6777">
        <w:rPr>
          <w:noProof/>
        </w:rPr>
        <w:t xml:space="preserve">Delhanty, P. J. D., van der Eerden, B. C. J., van der Velde, M., Gauna, C., Pols, H. A. P., Jahr, H., van der Lely, H., van Leeuwen, A. J., Jahr, J. P. T. M., Chiba, J. P. T. M. (2006) Ghrelin and unacylated ghrelin stimulate human osteoblast growth via mitogen- activated protein kinase ( MAPK)/ phosphoinositide 3- kinase ( PI3K) pathways in the absence of GHS- R1a. </w:t>
      </w:r>
      <w:r w:rsidRPr="000A6777">
        <w:rPr>
          <w:i/>
          <w:noProof/>
        </w:rPr>
        <w:t>Journal of Endocrinology,</w:t>
      </w:r>
      <w:r w:rsidRPr="000A6777">
        <w:rPr>
          <w:noProof/>
        </w:rPr>
        <w:t xml:space="preserve"> 188</w:t>
      </w:r>
      <w:r w:rsidRPr="000A6777">
        <w:rPr>
          <w:b/>
          <w:noProof/>
        </w:rPr>
        <w:t>:</w:t>
      </w:r>
      <w:r w:rsidRPr="000A6777">
        <w:rPr>
          <w:noProof/>
        </w:rPr>
        <w:t xml:space="preserve"> 37-47.</w:t>
      </w:r>
    </w:p>
    <w:p w14:paraId="69043C00" w14:textId="77777777" w:rsidR="00B32AAB" w:rsidRPr="000A6777" w:rsidRDefault="00B32AAB" w:rsidP="000A6777">
      <w:pPr>
        <w:pStyle w:val="EndNoteBibliography"/>
        <w:ind w:left="720" w:hanging="720"/>
        <w:jc w:val="both"/>
        <w:rPr>
          <w:noProof/>
        </w:rPr>
      </w:pPr>
      <w:r w:rsidRPr="000A6777">
        <w:rPr>
          <w:noProof/>
        </w:rPr>
        <w:t xml:space="preserve">Dempster, D. W., Birchman, R., Xu, R., Lindsay, R., Shen, V. (1995) Temporal changes in cancellous bone structure of rats immediately after ovariectomy. </w:t>
      </w:r>
      <w:r w:rsidRPr="000A6777">
        <w:rPr>
          <w:i/>
          <w:noProof/>
        </w:rPr>
        <w:t>Bone,</w:t>
      </w:r>
      <w:r w:rsidRPr="000A6777">
        <w:rPr>
          <w:noProof/>
        </w:rPr>
        <w:t xml:space="preserve"> 16</w:t>
      </w:r>
      <w:r w:rsidRPr="000A6777">
        <w:rPr>
          <w:b/>
          <w:noProof/>
        </w:rPr>
        <w:t>:</w:t>
      </w:r>
      <w:r w:rsidRPr="000A6777">
        <w:rPr>
          <w:noProof/>
        </w:rPr>
        <w:t xml:space="preserve"> 157-161.</w:t>
      </w:r>
    </w:p>
    <w:p w14:paraId="627ECE00" w14:textId="77777777" w:rsidR="00B32AAB" w:rsidRPr="000A6777" w:rsidRDefault="00B32AAB" w:rsidP="000A6777">
      <w:pPr>
        <w:pStyle w:val="EndNoteBibliography"/>
        <w:ind w:left="720" w:hanging="720"/>
        <w:jc w:val="both"/>
        <w:rPr>
          <w:noProof/>
        </w:rPr>
      </w:pPr>
      <w:r w:rsidRPr="000A6777">
        <w:rPr>
          <w:noProof/>
        </w:rPr>
        <w:t xml:space="preserve">Dempster, D. W., Compston, J. E., Drezner, M. K., Glorieux, F. H., Kanis, J. A., Malluche, H., Meunier, P. J., Ott, S. M., Recker, R. R., Parfitt, A. M. (2013) Standardized nomenclature, symbols, and units for bone histomorphometry: A 2012 update of the report of the ASBMR Histomorphometry Nomenclature Committee. </w:t>
      </w:r>
      <w:r w:rsidRPr="000A6777">
        <w:rPr>
          <w:i/>
          <w:noProof/>
        </w:rPr>
        <w:t>Journal of Bone and Mineral Research,</w:t>
      </w:r>
      <w:r w:rsidRPr="000A6777">
        <w:rPr>
          <w:noProof/>
        </w:rPr>
        <w:t xml:space="preserve"> 28</w:t>
      </w:r>
      <w:r w:rsidRPr="000A6777">
        <w:rPr>
          <w:b/>
          <w:noProof/>
        </w:rPr>
        <w:t>:</w:t>
      </w:r>
      <w:r w:rsidRPr="000A6777">
        <w:rPr>
          <w:noProof/>
        </w:rPr>
        <w:t xml:space="preserve"> 2-17.</w:t>
      </w:r>
    </w:p>
    <w:p w14:paraId="35B1B576" w14:textId="77777777" w:rsidR="00B32AAB" w:rsidRPr="000A6777" w:rsidRDefault="00B32AAB" w:rsidP="000A6777">
      <w:pPr>
        <w:pStyle w:val="EndNoteBibliography"/>
        <w:ind w:left="720" w:hanging="720"/>
        <w:jc w:val="both"/>
        <w:rPr>
          <w:noProof/>
        </w:rPr>
      </w:pPr>
      <w:r w:rsidRPr="000A6777">
        <w:rPr>
          <w:noProof/>
        </w:rPr>
        <w:t xml:space="preserve">Detel, D., Baticic, L., Varljen, J. (2007) The Influence of Age on Intestinal Dipeptidyl Peptidase IV ( DPP IV/ CD26), Disaccharidases, and Alkaline Phosphatase Enzyme Activity in C57BL/ 6 Mice. </w:t>
      </w:r>
      <w:r w:rsidRPr="000A6777">
        <w:rPr>
          <w:i/>
          <w:noProof/>
        </w:rPr>
        <w:t>Experimental Aging Research,</w:t>
      </w:r>
      <w:r w:rsidRPr="000A6777">
        <w:rPr>
          <w:noProof/>
        </w:rPr>
        <w:t xml:space="preserve"> 34</w:t>
      </w:r>
      <w:r w:rsidRPr="000A6777">
        <w:rPr>
          <w:b/>
          <w:noProof/>
        </w:rPr>
        <w:t>:</w:t>
      </w:r>
      <w:r w:rsidRPr="000A6777">
        <w:rPr>
          <w:noProof/>
        </w:rPr>
        <w:t xml:space="preserve"> 49-62.</w:t>
      </w:r>
    </w:p>
    <w:p w14:paraId="7D8B3313" w14:textId="77777777" w:rsidR="00B32AAB" w:rsidRPr="000A6777" w:rsidRDefault="00B32AAB" w:rsidP="000A6777">
      <w:pPr>
        <w:pStyle w:val="EndNoteBibliography"/>
        <w:ind w:left="720" w:hanging="720"/>
        <w:jc w:val="both"/>
        <w:rPr>
          <w:noProof/>
        </w:rPr>
      </w:pPr>
      <w:r w:rsidRPr="000A6777">
        <w:rPr>
          <w:noProof/>
        </w:rPr>
        <w:t xml:space="preserve">Devlin, M. J., Cloutier, A. M., Thomas, N. A., Panus, D. A., Lotinun, S., Pinz, I., Baron, R., Rosen, C. J., Bouxsein, M. L. (2010) Caloric restriction leads to high marrow adiposity and low bone mass in growing mice. </w:t>
      </w:r>
      <w:r w:rsidRPr="000A6777">
        <w:rPr>
          <w:i/>
          <w:noProof/>
        </w:rPr>
        <w:t>Journal of Bone and Mineral Research,</w:t>
      </w:r>
      <w:r w:rsidRPr="000A6777">
        <w:rPr>
          <w:noProof/>
        </w:rPr>
        <w:t xml:space="preserve"> 25</w:t>
      </w:r>
      <w:r w:rsidRPr="000A6777">
        <w:rPr>
          <w:b/>
          <w:noProof/>
        </w:rPr>
        <w:t>:</w:t>
      </w:r>
      <w:r w:rsidRPr="000A6777">
        <w:rPr>
          <w:noProof/>
        </w:rPr>
        <w:t xml:space="preserve"> 2078-2088.</w:t>
      </w:r>
    </w:p>
    <w:p w14:paraId="60335D7B" w14:textId="77777777" w:rsidR="00B32AAB" w:rsidRPr="000A6777" w:rsidRDefault="00B32AAB" w:rsidP="000A6777">
      <w:pPr>
        <w:pStyle w:val="EndNoteBibliography"/>
        <w:ind w:left="720" w:hanging="720"/>
        <w:jc w:val="both"/>
        <w:rPr>
          <w:noProof/>
        </w:rPr>
      </w:pPr>
      <w:r w:rsidRPr="000A6777">
        <w:rPr>
          <w:noProof/>
        </w:rPr>
        <w:t xml:space="preserve">Dezaki, K., Watanabe, M., Hosoda, H., Kangawa, K., Yada, T. (2004) Ghrelin suppresses glucose-induced insulin release via inhibition of Ca2+ signalling in rat pancreatic beta-cells. </w:t>
      </w:r>
      <w:r w:rsidRPr="000A6777">
        <w:rPr>
          <w:i/>
          <w:noProof/>
        </w:rPr>
        <w:t>Diabetologia,</w:t>
      </w:r>
      <w:r w:rsidRPr="000A6777">
        <w:rPr>
          <w:noProof/>
        </w:rPr>
        <w:t xml:space="preserve"> 47</w:t>
      </w:r>
      <w:r w:rsidRPr="000A6777">
        <w:rPr>
          <w:b/>
          <w:noProof/>
        </w:rPr>
        <w:t>:</w:t>
      </w:r>
      <w:r w:rsidRPr="000A6777">
        <w:rPr>
          <w:noProof/>
        </w:rPr>
        <w:t xml:space="preserve"> A164-A164.</w:t>
      </w:r>
    </w:p>
    <w:p w14:paraId="2D962202" w14:textId="77777777" w:rsidR="00B32AAB" w:rsidRPr="000A6777" w:rsidRDefault="00B32AAB" w:rsidP="000A6777">
      <w:pPr>
        <w:pStyle w:val="EndNoteBibliography"/>
        <w:ind w:left="720" w:hanging="720"/>
        <w:jc w:val="both"/>
        <w:rPr>
          <w:noProof/>
        </w:rPr>
      </w:pPr>
      <w:r w:rsidRPr="000A6777">
        <w:rPr>
          <w:noProof/>
        </w:rPr>
        <w:t xml:space="preserve">Diéguez, C., Vazquez, M. J., Romero, A., López, M., Nogueiras, R. (2011) Hypothalamic control of lipid metabolism: focus on leptin, ghrelin and melanocortins. </w:t>
      </w:r>
      <w:r w:rsidRPr="000A6777">
        <w:rPr>
          <w:i/>
          <w:noProof/>
        </w:rPr>
        <w:t>Neuroendocrinology,</w:t>
      </w:r>
      <w:r w:rsidRPr="000A6777">
        <w:rPr>
          <w:noProof/>
        </w:rPr>
        <w:t xml:space="preserve"> 94</w:t>
      </w:r>
      <w:r w:rsidRPr="000A6777">
        <w:rPr>
          <w:b/>
          <w:noProof/>
        </w:rPr>
        <w:t>:</w:t>
      </w:r>
      <w:r w:rsidRPr="000A6777">
        <w:rPr>
          <w:noProof/>
        </w:rPr>
        <w:t xml:space="preserve"> 1-11.</w:t>
      </w:r>
    </w:p>
    <w:p w14:paraId="73A376E6" w14:textId="77777777" w:rsidR="00B32AAB" w:rsidRPr="000A6777" w:rsidRDefault="00B32AAB" w:rsidP="000A6777">
      <w:pPr>
        <w:pStyle w:val="EndNoteBibliography"/>
        <w:ind w:left="720" w:hanging="720"/>
        <w:jc w:val="both"/>
        <w:rPr>
          <w:noProof/>
        </w:rPr>
      </w:pPr>
      <w:r w:rsidRPr="000A6777">
        <w:rPr>
          <w:noProof/>
        </w:rPr>
        <w:t xml:space="preserve">Ding, K.-H., Shi, X.-M., Zhong, Q., Kang, B., Xie, D., Bollag, W. B., Chutkan, N., Hamrick, M., Isales, C. M., Bollag, R. J., Mi, Q.-S., Hill, W., Washington, W., Insogna, K. (2008) Impact of glucose- dependent insulinotropic peptide on age- induced bone loss. </w:t>
      </w:r>
      <w:r w:rsidRPr="000A6777">
        <w:rPr>
          <w:i/>
          <w:noProof/>
        </w:rPr>
        <w:t>Journal of Bone and Mineral Research,</w:t>
      </w:r>
      <w:r w:rsidRPr="000A6777">
        <w:rPr>
          <w:noProof/>
        </w:rPr>
        <w:t xml:space="preserve"> 23</w:t>
      </w:r>
      <w:r w:rsidRPr="000A6777">
        <w:rPr>
          <w:b/>
          <w:noProof/>
        </w:rPr>
        <w:t>:</w:t>
      </w:r>
      <w:r w:rsidRPr="000A6777">
        <w:rPr>
          <w:noProof/>
        </w:rPr>
        <w:t xml:space="preserve"> 536-543.</w:t>
      </w:r>
    </w:p>
    <w:p w14:paraId="61153D07" w14:textId="77777777" w:rsidR="00B32AAB" w:rsidRPr="000A6777" w:rsidRDefault="00B32AAB" w:rsidP="000A6777">
      <w:pPr>
        <w:pStyle w:val="EndNoteBibliography"/>
        <w:ind w:left="720" w:hanging="720"/>
        <w:jc w:val="both"/>
        <w:rPr>
          <w:noProof/>
        </w:rPr>
      </w:pPr>
      <w:r w:rsidRPr="000A6777">
        <w:rPr>
          <w:noProof/>
        </w:rPr>
        <w:lastRenderedPageBreak/>
        <w:t xml:space="preserve">Ding, M., Cheng, L., Bollen, P., Schwarz, P., Overgaard, S. (2010) Glucocorticoid Induced Osteopenia in Cancellous Bone of Sheep: Validation of Large Animal Model for Spine Fusion and Biomaterial Research. </w:t>
      </w:r>
      <w:r w:rsidRPr="000A6777">
        <w:rPr>
          <w:i/>
          <w:noProof/>
        </w:rPr>
        <w:t>Spine,</w:t>
      </w:r>
      <w:r w:rsidRPr="000A6777">
        <w:rPr>
          <w:noProof/>
        </w:rPr>
        <w:t xml:space="preserve"> 35</w:t>
      </w:r>
      <w:r w:rsidRPr="000A6777">
        <w:rPr>
          <w:b/>
          <w:noProof/>
        </w:rPr>
        <w:t>:</w:t>
      </w:r>
      <w:r w:rsidRPr="000A6777">
        <w:rPr>
          <w:noProof/>
        </w:rPr>
        <w:t xml:space="preserve"> 363-370.</w:t>
      </w:r>
    </w:p>
    <w:p w14:paraId="06D32FE8" w14:textId="77777777" w:rsidR="00B32AAB" w:rsidRPr="000A6777" w:rsidRDefault="00B32AAB" w:rsidP="000A6777">
      <w:pPr>
        <w:pStyle w:val="EndNoteBibliography"/>
        <w:ind w:left="720" w:hanging="720"/>
        <w:jc w:val="both"/>
        <w:rPr>
          <w:noProof/>
        </w:rPr>
      </w:pPr>
      <w:r w:rsidRPr="000A6777">
        <w:rPr>
          <w:noProof/>
        </w:rPr>
        <w:t xml:space="preserve">Drazen, D. L., Vahl, T. P., D'Alessio, D. A., Seeley, R. J., Woods, S. C. (2006) Effects of a fixed meal pattern on ghrelin secretion: Evidence for a learned response independent of nutrient status. </w:t>
      </w:r>
      <w:r w:rsidRPr="000A6777">
        <w:rPr>
          <w:i/>
          <w:noProof/>
        </w:rPr>
        <w:t>Endocrinology,</w:t>
      </w:r>
      <w:r w:rsidRPr="000A6777">
        <w:rPr>
          <w:noProof/>
        </w:rPr>
        <w:t xml:space="preserve"> 147</w:t>
      </w:r>
      <w:r w:rsidRPr="000A6777">
        <w:rPr>
          <w:b/>
          <w:noProof/>
        </w:rPr>
        <w:t>:</w:t>
      </w:r>
      <w:r w:rsidRPr="000A6777">
        <w:rPr>
          <w:noProof/>
        </w:rPr>
        <w:t xml:space="preserve"> 23-30.</w:t>
      </w:r>
    </w:p>
    <w:p w14:paraId="6EE17C25" w14:textId="77777777" w:rsidR="00B32AAB" w:rsidRPr="000A6777" w:rsidRDefault="00B32AAB" w:rsidP="000A6777">
      <w:pPr>
        <w:pStyle w:val="EndNoteBibliography"/>
        <w:ind w:left="720" w:hanging="720"/>
        <w:jc w:val="both"/>
        <w:rPr>
          <w:noProof/>
        </w:rPr>
      </w:pPr>
      <w:r w:rsidRPr="000A6777">
        <w:rPr>
          <w:noProof/>
        </w:rPr>
        <w:t xml:space="preserve">Drucker, D. J. (2006) The biology of incretin hormones. </w:t>
      </w:r>
      <w:r w:rsidR="004334F5">
        <w:rPr>
          <w:i/>
          <w:noProof/>
        </w:rPr>
        <w:t>Cell M</w:t>
      </w:r>
      <w:r w:rsidRPr="000A6777">
        <w:rPr>
          <w:i/>
          <w:noProof/>
        </w:rPr>
        <w:t>etabolism,</w:t>
      </w:r>
      <w:r w:rsidRPr="000A6777">
        <w:rPr>
          <w:noProof/>
        </w:rPr>
        <w:t xml:space="preserve"> 3</w:t>
      </w:r>
      <w:r w:rsidRPr="000A6777">
        <w:rPr>
          <w:b/>
          <w:noProof/>
        </w:rPr>
        <w:t>:</w:t>
      </w:r>
      <w:r w:rsidRPr="000A6777">
        <w:rPr>
          <w:noProof/>
        </w:rPr>
        <w:t xml:space="preserve"> 153-165.</w:t>
      </w:r>
    </w:p>
    <w:p w14:paraId="5B647F5E" w14:textId="77777777" w:rsidR="00B32AAB" w:rsidRPr="000A6777" w:rsidRDefault="00B32AAB" w:rsidP="000A6777">
      <w:pPr>
        <w:pStyle w:val="EndNoteBibliography"/>
        <w:ind w:left="720" w:hanging="720"/>
        <w:jc w:val="both"/>
        <w:rPr>
          <w:noProof/>
        </w:rPr>
      </w:pPr>
      <w:r w:rsidRPr="000A6777">
        <w:rPr>
          <w:noProof/>
        </w:rPr>
        <w:t xml:space="preserve">Ducy, P., Amling, M., Takeda, S., Priemel, M., Schilling, A., Beil, F., Shen, J., Vinson, C., Rueger, J., Karsenty, G. (2000) Leptin Inhibits Bone Formation through a Hypothalamic Relay: A Central Control of Bone Mass. </w:t>
      </w:r>
      <w:r w:rsidRPr="000A6777">
        <w:rPr>
          <w:i/>
          <w:noProof/>
        </w:rPr>
        <w:t>Cell,</w:t>
      </w:r>
      <w:r w:rsidRPr="000A6777">
        <w:rPr>
          <w:noProof/>
        </w:rPr>
        <w:t xml:space="preserve"> 100</w:t>
      </w:r>
      <w:r w:rsidRPr="000A6777">
        <w:rPr>
          <w:b/>
          <w:noProof/>
        </w:rPr>
        <w:t>:</w:t>
      </w:r>
      <w:r w:rsidRPr="000A6777">
        <w:rPr>
          <w:noProof/>
        </w:rPr>
        <w:t xml:space="preserve"> 197-207.</w:t>
      </w:r>
    </w:p>
    <w:p w14:paraId="39771097" w14:textId="77777777" w:rsidR="00B32AAB" w:rsidRPr="000A6777" w:rsidRDefault="00B32AAB" w:rsidP="000A6777">
      <w:pPr>
        <w:pStyle w:val="EndNoteBibliography"/>
        <w:ind w:left="720" w:hanging="720"/>
        <w:jc w:val="both"/>
        <w:rPr>
          <w:noProof/>
        </w:rPr>
      </w:pPr>
      <w:r w:rsidRPr="000A6777">
        <w:rPr>
          <w:noProof/>
        </w:rPr>
        <w:t xml:space="preserve">Ducy, P., Zhang, R., Geoffroy, V., Ridall, A. L., Karsenty, G. (1997) Osf2/ Cbfa1: A transcriptional activator of osteoblast differentiation. </w:t>
      </w:r>
      <w:r w:rsidRPr="000A6777">
        <w:rPr>
          <w:i/>
          <w:noProof/>
        </w:rPr>
        <w:t>Cell,</w:t>
      </w:r>
      <w:r w:rsidRPr="000A6777">
        <w:rPr>
          <w:noProof/>
        </w:rPr>
        <w:t xml:space="preserve"> 89</w:t>
      </w:r>
      <w:r w:rsidRPr="000A6777">
        <w:rPr>
          <w:b/>
          <w:noProof/>
        </w:rPr>
        <w:t>:</w:t>
      </w:r>
      <w:r w:rsidRPr="000A6777">
        <w:rPr>
          <w:noProof/>
        </w:rPr>
        <w:t xml:space="preserve"> 747-754.</w:t>
      </w:r>
    </w:p>
    <w:p w14:paraId="27C449B9" w14:textId="77777777" w:rsidR="00B32AAB" w:rsidRPr="000A6777" w:rsidRDefault="00B32AAB" w:rsidP="000A6777">
      <w:pPr>
        <w:pStyle w:val="EndNoteBibliography"/>
        <w:ind w:left="720" w:hanging="720"/>
        <w:jc w:val="both"/>
        <w:rPr>
          <w:noProof/>
        </w:rPr>
      </w:pPr>
      <w:r w:rsidRPr="000A6777">
        <w:rPr>
          <w:noProof/>
        </w:rPr>
        <w:t xml:space="preserve">Dunstan, C., Somers, N., Evans, R. (1993) Osteocyte death and hip fracture. </w:t>
      </w:r>
      <w:r w:rsidRPr="000A6777">
        <w:rPr>
          <w:i/>
          <w:noProof/>
        </w:rPr>
        <w:t>Calcified Tissue International,</w:t>
      </w:r>
      <w:r w:rsidRPr="000A6777">
        <w:rPr>
          <w:noProof/>
        </w:rPr>
        <w:t xml:space="preserve"> 53</w:t>
      </w:r>
      <w:r w:rsidRPr="000A6777">
        <w:rPr>
          <w:b/>
          <w:noProof/>
        </w:rPr>
        <w:t>:</w:t>
      </w:r>
      <w:r w:rsidRPr="000A6777">
        <w:rPr>
          <w:noProof/>
        </w:rPr>
        <w:t xml:space="preserve"> S113-S117.</w:t>
      </w:r>
    </w:p>
    <w:p w14:paraId="304D0205" w14:textId="77777777" w:rsidR="00B32AAB" w:rsidRPr="000A6777" w:rsidRDefault="00B32AAB" w:rsidP="000A6777">
      <w:pPr>
        <w:pStyle w:val="EndNoteBibliography"/>
        <w:ind w:left="720" w:hanging="720"/>
        <w:jc w:val="both"/>
        <w:rPr>
          <w:noProof/>
        </w:rPr>
      </w:pPr>
      <w:r w:rsidRPr="000A6777">
        <w:rPr>
          <w:noProof/>
        </w:rPr>
        <w:t xml:space="preserve">Dürschlag, M., Würbel, H., Stauffacher, M., Von Holst, D. (1996) Repeated Blood Collection in the Laboratory Mouse by Tail Incision-Modification of an Old Technique. </w:t>
      </w:r>
      <w:r w:rsidRPr="000A6777">
        <w:rPr>
          <w:i/>
          <w:noProof/>
        </w:rPr>
        <w:t>Physiology and Behavior,</w:t>
      </w:r>
      <w:r w:rsidRPr="000A6777">
        <w:rPr>
          <w:noProof/>
        </w:rPr>
        <w:t xml:space="preserve"> 60</w:t>
      </w:r>
      <w:r w:rsidRPr="000A6777">
        <w:rPr>
          <w:b/>
          <w:noProof/>
        </w:rPr>
        <w:t>:</w:t>
      </w:r>
      <w:r w:rsidRPr="000A6777">
        <w:rPr>
          <w:noProof/>
        </w:rPr>
        <w:t xml:space="preserve"> 1565-1567.</w:t>
      </w:r>
    </w:p>
    <w:p w14:paraId="15533C0E" w14:textId="77777777" w:rsidR="00B32AAB" w:rsidRPr="000A6777" w:rsidRDefault="00B32AAB" w:rsidP="000A6777">
      <w:pPr>
        <w:pStyle w:val="EndNoteBibliography"/>
        <w:ind w:left="720" w:hanging="720"/>
        <w:jc w:val="both"/>
        <w:rPr>
          <w:noProof/>
        </w:rPr>
      </w:pPr>
      <w:r w:rsidRPr="000A6777">
        <w:rPr>
          <w:noProof/>
        </w:rPr>
        <w:t xml:space="preserve">Elefteriou, F., Ahn, J. D., Takeda, S., Starbuck, M., Yang, X., Liu, X., Karsenty, G., Kondo, H., Noda, M., Richards, W. G., Bannon, T. W., Clement, K., Valsse, C. (2005) Leptin regulation of bone resorption by the sympathetic nervous system and CART. </w:t>
      </w:r>
      <w:r w:rsidRPr="000A6777">
        <w:rPr>
          <w:i/>
          <w:noProof/>
        </w:rPr>
        <w:t>Nature,</w:t>
      </w:r>
      <w:r w:rsidRPr="000A6777">
        <w:rPr>
          <w:noProof/>
        </w:rPr>
        <w:t xml:space="preserve"> 434</w:t>
      </w:r>
      <w:r w:rsidRPr="000A6777">
        <w:rPr>
          <w:b/>
          <w:noProof/>
        </w:rPr>
        <w:t>:</w:t>
      </w:r>
      <w:r w:rsidRPr="000A6777">
        <w:rPr>
          <w:noProof/>
        </w:rPr>
        <w:t xml:space="preserve"> 514-520.</w:t>
      </w:r>
    </w:p>
    <w:p w14:paraId="3533AE71" w14:textId="77777777" w:rsidR="00B32AAB" w:rsidRPr="000A6777" w:rsidRDefault="00B32AAB" w:rsidP="000A6777">
      <w:pPr>
        <w:pStyle w:val="EndNoteBibliography"/>
        <w:ind w:left="720" w:hanging="720"/>
        <w:jc w:val="both"/>
        <w:rPr>
          <w:noProof/>
        </w:rPr>
      </w:pPr>
      <w:r w:rsidRPr="000A6777">
        <w:rPr>
          <w:noProof/>
        </w:rPr>
        <w:t xml:space="preserve">Ellacott, K. L. J., Morton, G. J., Schwartz, M. W., Tso, P., Woods, S. C. (2010) Assessment of Feeding Behavior in Laboratory Mice. </w:t>
      </w:r>
      <w:r w:rsidR="004334F5">
        <w:rPr>
          <w:i/>
          <w:noProof/>
        </w:rPr>
        <w:t>Cell M</w:t>
      </w:r>
      <w:r w:rsidRPr="000A6777">
        <w:rPr>
          <w:i/>
          <w:noProof/>
        </w:rPr>
        <w:t>etabolism,</w:t>
      </w:r>
      <w:r w:rsidRPr="000A6777">
        <w:rPr>
          <w:noProof/>
        </w:rPr>
        <w:t xml:space="preserve"> 12</w:t>
      </w:r>
      <w:r w:rsidRPr="000A6777">
        <w:rPr>
          <w:b/>
          <w:noProof/>
        </w:rPr>
        <w:t>:</w:t>
      </w:r>
      <w:r w:rsidRPr="000A6777">
        <w:rPr>
          <w:noProof/>
        </w:rPr>
        <w:t xml:space="preserve"> 10-18.</w:t>
      </w:r>
    </w:p>
    <w:p w14:paraId="1AB7F839" w14:textId="77777777" w:rsidR="00B32AAB" w:rsidRPr="000A6777" w:rsidRDefault="00B32AAB" w:rsidP="000A6777">
      <w:pPr>
        <w:pStyle w:val="EndNoteBibliography"/>
        <w:ind w:left="720" w:hanging="720"/>
        <w:jc w:val="both"/>
        <w:rPr>
          <w:noProof/>
        </w:rPr>
      </w:pPr>
      <w:r w:rsidRPr="000A6777">
        <w:rPr>
          <w:noProof/>
        </w:rPr>
        <w:t xml:space="preserve">Elliott, R. M., Morgan, L. M., Tredger, J. A., Deacon, S., Wright, J., Marks, V. (1993) Glucagon-Like Peptide-1(7-36) Amide And Glucose-Dependent Insulinotropic Polypeptide Secretion In Response To Nutrient Ingestion In Man - Acute Postprandial And 24-H Secretion Patterns. </w:t>
      </w:r>
      <w:r w:rsidRPr="000A6777">
        <w:rPr>
          <w:i/>
          <w:noProof/>
        </w:rPr>
        <w:t>Journal of Endocrinology,</w:t>
      </w:r>
      <w:r w:rsidRPr="000A6777">
        <w:rPr>
          <w:noProof/>
        </w:rPr>
        <w:t xml:space="preserve"> 138</w:t>
      </w:r>
      <w:r w:rsidRPr="000A6777">
        <w:rPr>
          <w:b/>
          <w:noProof/>
        </w:rPr>
        <w:t>:</w:t>
      </w:r>
      <w:r w:rsidRPr="000A6777">
        <w:rPr>
          <w:noProof/>
        </w:rPr>
        <w:t xml:space="preserve"> 159-166.</w:t>
      </w:r>
    </w:p>
    <w:p w14:paraId="1EBA6E03" w14:textId="77777777" w:rsidR="00B32AAB" w:rsidRPr="000A6777" w:rsidRDefault="00B32AAB" w:rsidP="000A6777">
      <w:pPr>
        <w:pStyle w:val="EndNoteBibliography"/>
        <w:ind w:left="720" w:hanging="720"/>
        <w:jc w:val="both"/>
        <w:rPr>
          <w:noProof/>
        </w:rPr>
      </w:pPr>
      <w:r w:rsidRPr="000A6777">
        <w:rPr>
          <w:noProof/>
        </w:rPr>
        <w:t xml:space="preserve">Emerton, K. B., Hu, B., Woo, A. A., Sinofsky, A., Hernandez, C., Majeska, R. J., Jepsen, K. J., Schaffler, M. B. (2010) Osteocyte apoptosis and control of bone resorption following ovariectomy in mice. </w:t>
      </w:r>
      <w:r w:rsidRPr="000A6777">
        <w:rPr>
          <w:i/>
          <w:noProof/>
        </w:rPr>
        <w:t>Bone,</w:t>
      </w:r>
      <w:r w:rsidRPr="000A6777">
        <w:rPr>
          <w:noProof/>
        </w:rPr>
        <w:t xml:space="preserve"> 46</w:t>
      </w:r>
      <w:r w:rsidRPr="000A6777">
        <w:rPr>
          <w:b/>
          <w:noProof/>
        </w:rPr>
        <w:t>:</w:t>
      </w:r>
      <w:r w:rsidRPr="000A6777">
        <w:rPr>
          <w:noProof/>
        </w:rPr>
        <w:t xml:space="preserve"> 577-583.</w:t>
      </w:r>
    </w:p>
    <w:p w14:paraId="711B319E" w14:textId="77777777" w:rsidR="00B32AAB" w:rsidRPr="000A6777" w:rsidRDefault="00B32AAB" w:rsidP="000A6777">
      <w:pPr>
        <w:pStyle w:val="EndNoteBibliography"/>
        <w:ind w:left="720" w:hanging="720"/>
        <w:jc w:val="both"/>
        <w:rPr>
          <w:noProof/>
        </w:rPr>
      </w:pPr>
      <w:r w:rsidRPr="000A6777">
        <w:rPr>
          <w:noProof/>
        </w:rPr>
        <w:t xml:space="preserve">Erben, R. G., Glosmann, M. (2012) Histomorphometry in rodents. </w:t>
      </w:r>
      <w:r w:rsidRPr="000A6777">
        <w:rPr>
          <w:i/>
          <w:noProof/>
        </w:rPr>
        <w:t>Methods in Molecular Biology,</w:t>
      </w:r>
      <w:r w:rsidRPr="000A6777">
        <w:rPr>
          <w:noProof/>
        </w:rPr>
        <w:t xml:space="preserve"> 816</w:t>
      </w:r>
      <w:r w:rsidRPr="000A6777">
        <w:rPr>
          <w:b/>
          <w:noProof/>
        </w:rPr>
        <w:t>:</w:t>
      </w:r>
      <w:r w:rsidRPr="000A6777">
        <w:rPr>
          <w:noProof/>
        </w:rPr>
        <w:t xml:space="preserve"> 279–303.</w:t>
      </w:r>
    </w:p>
    <w:p w14:paraId="3B4B7402" w14:textId="77777777" w:rsidR="00B32AAB" w:rsidRPr="000A6777" w:rsidRDefault="00B32AAB" w:rsidP="000A6777">
      <w:pPr>
        <w:pStyle w:val="EndNoteBibliography"/>
        <w:ind w:left="720" w:hanging="720"/>
        <w:jc w:val="both"/>
        <w:rPr>
          <w:noProof/>
        </w:rPr>
      </w:pPr>
      <w:r w:rsidRPr="000A6777">
        <w:rPr>
          <w:noProof/>
        </w:rPr>
        <w:t xml:space="preserve">Erdmann, J., Leibl, M., Schusdziarra, V., Wagenpfeil, S., Lippl, F. (2006) Ghrelin response to protein and carbohydrate meals in relation to food intake and glycerol levels in obese subjects. </w:t>
      </w:r>
      <w:r w:rsidRPr="000A6777">
        <w:rPr>
          <w:i/>
          <w:noProof/>
        </w:rPr>
        <w:t>Regulatory Peptides,</w:t>
      </w:r>
      <w:r w:rsidRPr="000A6777">
        <w:rPr>
          <w:noProof/>
        </w:rPr>
        <w:t xml:space="preserve"> 135</w:t>
      </w:r>
      <w:r w:rsidRPr="000A6777">
        <w:rPr>
          <w:b/>
          <w:noProof/>
        </w:rPr>
        <w:t>:</w:t>
      </w:r>
      <w:r w:rsidRPr="000A6777">
        <w:rPr>
          <w:noProof/>
        </w:rPr>
        <w:t xml:space="preserve"> 23-29.</w:t>
      </w:r>
    </w:p>
    <w:p w14:paraId="58AE4312" w14:textId="77777777" w:rsidR="00B32AAB" w:rsidRPr="000A6777" w:rsidRDefault="00B32AAB" w:rsidP="000A6777">
      <w:pPr>
        <w:pStyle w:val="EndNoteBibliography"/>
        <w:ind w:left="720" w:hanging="720"/>
        <w:jc w:val="both"/>
        <w:rPr>
          <w:noProof/>
        </w:rPr>
      </w:pPr>
      <w:r w:rsidRPr="000A6777">
        <w:rPr>
          <w:noProof/>
        </w:rPr>
        <w:lastRenderedPageBreak/>
        <w:t xml:space="preserve">Erdmann, J., Lippl, F., Schusdziarra, V. (2003) Differential effect of protein and fat on plasma ghrelin levels in man. </w:t>
      </w:r>
      <w:r w:rsidR="004334F5">
        <w:rPr>
          <w:i/>
          <w:noProof/>
        </w:rPr>
        <w:t>Regulatory Peptides</w:t>
      </w:r>
      <w:r w:rsidRPr="000A6777">
        <w:rPr>
          <w:i/>
          <w:noProof/>
        </w:rPr>
        <w:t>,</w:t>
      </w:r>
      <w:r w:rsidRPr="000A6777">
        <w:rPr>
          <w:noProof/>
        </w:rPr>
        <w:t xml:space="preserve"> 116</w:t>
      </w:r>
      <w:r w:rsidRPr="000A6777">
        <w:rPr>
          <w:b/>
          <w:noProof/>
        </w:rPr>
        <w:t>:</w:t>
      </w:r>
      <w:r w:rsidRPr="000A6777">
        <w:rPr>
          <w:noProof/>
        </w:rPr>
        <w:t xml:space="preserve"> 101-107.</w:t>
      </w:r>
    </w:p>
    <w:p w14:paraId="304FFB48" w14:textId="77777777" w:rsidR="00B32AAB" w:rsidRPr="000A6777" w:rsidRDefault="00B32AAB" w:rsidP="000A6777">
      <w:pPr>
        <w:pStyle w:val="EndNoteBibliography"/>
        <w:ind w:left="720" w:hanging="720"/>
        <w:jc w:val="both"/>
        <w:rPr>
          <w:noProof/>
        </w:rPr>
      </w:pPr>
      <w:r w:rsidRPr="000A6777">
        <w:rPr>
          <w:noProof/>
        </w:rPr>
        <w:t xml:space="preserve">Eriksen, E. F. (2010) Cellular mechanisms of bone remodeling. </w:t>
      </w:r>
      <w:r w:rsidRPr="000A6777">
        <w:rPr>
          <w:i/>
          <w:noProof/>
        </w:rPr>
        <w:t>Reviews in Endocrine and Metabolic Disorders,</w:t>
      </w:r>
      <w:r w:rsidRPr="000A6777">
        <w:rPr>
          <w:noProof/>
        </w:rPr>
        <w:t xml:space="preserve"> 11</w:t>
      </w:r>
      <w:r w:rsidRPr="000A6777">
        <w:rPr>
          <w:b/>
          <w:noProof/>
        </w:rPr>
        <w:t>:</w:t>
      </w:r>
      <w:r w:rsidRPr="000A6777">
        <w:rPr>
          <w:noProof/>
        </w:rPr>
        <w:t xml:space="preserve"> 219-227.</w:t>
      </w:r>
    </w:p>
    <w:p w14:paraId="0767C8A9" w14:textId="77777777" w:rsidR="00B32AAB" w:rsidRPr="000A6777" w:rsidRDefault="00B32AAB" w:rsidP="000A6777">
      <w:pPr>
        <w:pStyle w:val="EndNoteBibliography"/>
        <w:ind w:left="720" w:hanging="720"/>
        <w:jc w:val="both"/>
        <w:rPr>
          <w:noProof/>
        </w:rPr>
      </w:pPr>
      <w:r w:rsidRPr="000A6777">
        <w:rPr>
          <w:noProof/>
        </w:rPr>
        <w:t xml:space="preserve">Ersek, A., Santo, A. I. E., Vattakuzhi, Y., George, S., Clark, A. R., Horwood, N. J. (2016) Strain dependent differences in glucocorticoid- induced bone loss between C57BL/ 6J and CD- 1 mice. </w:t>
      </w:r>
      <w:r w:rsidRPr="000A6777">
        <w:rPr>
          <w:i/>
          <w:noProof/>
        </w:rPr>
        <w:t>Scientific Reports,</w:t>
      </w:r>
      <w:r w:rsidRPr="000A6777">
        <w:rPr>
          <w:noProof/>
        </w:rPr>
        <w:t xml:space="preserve"> 6</w:t>
      </w:r>
      <w:r w:rsidRPr="000A6777">
        <w:rPr>
          <w:b/>
          <w:noProof/>
        </w:rPr>
        <w:t>:</w:t>
      </w:r>
      <w:r w:rsidRPr="000A6777">
        <w:rPr>
          <w:noProof/>
        </w:rPr>
        <w:t xml:space="preserve"> 36513.</w:t>
      </w:r>
    </w:p>
    <w:p w14:paraId="3389A428" w14:textId="77777777" w:rsidR="00B32AAB" w:rsidRPr="000A6777" w:rsidRDefault="00B32AAB" w:rsidP="000A6777">
      <w:pPr>
        <w:pStyle w:val="EndNoteBibliography"/>
        <w:ind w:left="720" w:hanging="720"/>
        <w:jc w:val="both"/>
        <w:rPr>
          <w:noProof/>
        </w:rPr>
      </w:pPr>
      <w:r w:rsidRPr="000A6777">
        <w:rPr>
          <w:noProof/>
        </w:rPr>
        <w:t xml:space="preserve">Eser, P., Frotzler, A., Zehnder, Y., Wick, L., Knecht, H., Denoth, J., Schiessl, H. (2004) Relationship between the duration of paralysis and bone structure: a pQCT study of spinal cord injured individuals. </w:t>
      </w:r>
      <w:r w:rsidRPr="000A6777">
        <w:rPr>
          <w:i/>
          <w:noProof/>
        </w:rPr>
        <w:t>Bone,</w:t>
      </w:r>
      <w:r w:rsidRPr="000A6777">
        <w:rPr>
          <w:noProof/>
        </w:rPr>
        <w:t xml:space="preserve"> 34</w:t>
      </w:r>
      <w:r w:rsidRPr="000A6777">
        <w:rPr>
          <w:b/>
          <w:noProof/>
        </w:rPr>
        <w:t>:</w:t>
      </w:r>
      <w:r w:rsidRPr="000A6777">
        <w:rPr>
          <w:noProof/>
        </w:rPr>
        <w:t xml:space="preserve"> 869-880.</w:t>
      </w:r>
    </w:p>
    <w:p w14:paraId="426B652D" w14:textId="77777777" w:rsidR="00B32AAB" w:rsidRPr="000A6777" w:rsidRDefault="00B32AAB" w:rsidP="000A6777">
      <w:pPr>
        <w:pStyle w:val="EndNoteBibliography"/>
        <w:ind w:left="720" w:hanging="720"/>
        <w:jc w:val="both"/>
        <w:rPr>
          <w:noProof/>
        </w:rPr>
      </w:pPr>
      <w:r w:rsidRPr="000A6777">
        <w:rPr>
          <w:noProof/>
        </w:rPr>
        <w:t xml:space="preserve">Fan, W., Crawford, R., Xiao, Y. (2008) Structural and cellular differences between metaphyseal and diaphyseal periosteum in different aged rats. </w:t>
      </w:r>
      <w:r w:rsidRPr="000A6777">
        <w:rPr>
          <w:i/>
          <w:noProof/>
        </w:rPr>
        <w:t>Bone,</w:t>
      </w:r>
      <w:r w:rsidRPr="000A6777">
        <w:rPr>
          <w:noProof/>
        </w:rPr>
        <w:t xml:space="preserve"> 42</w:t>
      </w:r>
      <w:r w:rsidRPr="000A6777">
        <w:rPr>
          <w:b/>
          <w:noProof/>
        </w:rPr>
        <w:t>:</w:t>
      </w:r>
      <w:r w:rsidRPr="000A6777">
        <w:rPr>
          <w:noProof/>
        </w:rPr>
        <w:t xml:space="preserve"> 81-89.</w:t>
      </w:r>
    </w:p>
    <w:p w14:paraId="2D15569A" w14:textId="77777777" w:rsidR="00B32AAB" w:rsidRPr="000A6777" w:rsidRDefault="00B32AAB" w:rsidP="000A6777">
      <w:pPr>
        <w:pStyle w:val="EndNoteBibliography"/>
        <w:ind w:left="720" w:hanging="720"/>
        <w:jc w:val="both"/>
        <w:rPr>
          <w:noProof/>
        </w:rPr>
      </w:pPr>
      <w:r w:rsidRPr="000A6777">
        <w:rPr>
          <w:noProof/>
        </w:rPr>
        <w:t xml:space="preserve">Feinle-Bisset, C., Patterson, M., Ghatei, M. A., Bloom, Sr., Horowitz, M. (2005) Fat digestion is required for suppression of ghrelin and stimulation of peptide YY and pancreatic polypeptide secretion by intraduodenal lipid. </w:t>
      </w:r>
      <w:r w:rsidRPr="000A6777">
        <w:rPr>
          <w:i/>
          <w:noProof/>
        </w:rPr>
        <w:t>American Journal of Physiology</w:t>
      </w:r>
      <w:r w:rsidR="004334F5">
        <w:rPr>
          <w:i/>
          <w:noProof/>
        </w:rPr>
        <w:t xml:space="preserve"> </w:t>
      </w:r>
      <w:r w:rsidRPr="000A6777">
        <w:rPr>
          <w:i/>
          <w:noProof/>
        </w:rPr>
        <w:t>-</w:t>
      </w:r>
      <w:r w:rsidR="004334F5">
        <w:rPr>
          <w:i/>
          <w:noProof/>
        </w:rPr>
        <w:t xml:space="preserve"> </w:t>
      </w:r>
      <w:r w:rsidRPr="000A6777">
        <w:rPr>
          <w:i/>
          <w:noProof/>
        </w:rPr>
        <w:t>Endocrinology and Metabolism,</w:t>
      </w:r>
      <w:r w:rsidRPr="000A6777">
        <w:rPr>
          <w:noProof/>
        </w:rPr>
        <w:t xml:space="preserve"> 289</w:t>
      </w:r>
      <w:r w:rsidRPr="000A6777">
        <w:rPr>
          <w:b/>
          <w:noProof/>
        </w:rPr>
        <w:t>:</w:t>
      </w:r>
      <w:r w:rsidRPr="000A6777">
        <w:rPr>
          <w:noProof/>
        </w:rPr>
        <w:t xml:space="preserve"> E948-E953.</w:t>
      </w:r>
    </w:p>
    <w:p w14:paraId="26A810F6" w14:textId="77777777" w:rsidR="00B32AAB" w:rsidRPr="000A6777" w:rsidRDefault="00B32AAB" w:rsidP="000A6777">
      <w:pPr>
        <w:pStyle w:val="EndNoteBibliography"/>
        <w:ind w:left="720" w:hanging="720"/>
        <w:jc w:val="both"/>
        <w:rPr>
          <w:noProof/>
        </w:rPr>
      </w:pPr>
      <w:r w:rsidRPr="000A6777">
        <w:rPr>
          <w:noProof/>
        </w:rPr>
        <w:t xml:space="preserve">Feltrin, K. L., Little, T. J., Meyer, J. H., Horowitz, M., Wishart, J., Pilichiewicz, A. N., Chapman, I. M., Feinle-Bisset, C., Smout, A. J. P. M., Rades, T. (2004) Effects of intraduodenal fatty acids on appetite, antropyloroduodenal motility, and plasma CCK and GLP- 1 in humans vary with their chain length. </w:t>
      </w:r>
      <w:r w:rsidRPr="000A6777">
        <w:rPr>
          <w:i/>
          <w:noProof/>
        </w:rPr>
        <w:t>American Journal of Physiology - Regulatory Integrative and Comparative Physiology,</w:t>
      </w:r>
      <w:r w:rsidRPr="000A6777">
        <w:rPr>
          <w:noProof/>
        </w:rPr>
        <w:t xml:space="preserve"> 287</w:t>
      </w:r>
      <w:r w:rsidRPr="000A6777">
        <w:rPr>
          <w:b/>
          <w:noProof/>
        </w:rPr>
        <w:t>:</w:t>
      </w:r>
      <w:r w:rsidRPr="000A6777">
        <w:rPr>
          <w:noProof/>
        </w:rPr>
        <w:t xml:space="preserve"> R524-R533.</w:t>
      </w:r>
    </w:p>
    <w:p w14:paraId="189F7DFE" w14:textId="77777777" w:rsidR="00B32AAB" w:rsidRPr="000A6777" w:rsidRDefault="00B32AAB" w:rsidP="000A6777">
      <w:pPr>
        <w:pStyle w:val="EndNoteBibliography"/>
        <w:ind w:left="720" w:hanging="720"/>
        <w:jc w:val="both"/>
        <w:rPr>
          <w:noProof/>
        </w:rPr>
      </w:pPr>
      <w:r w:rsidRPr="000A6777">
        <w:rPr>
          <w:noProof/>
        </w:rPr>
        <w:t xml:space="preserve">Ferguson, V. L., Ayers, R. A., Bateman, T. A., Simske, S. J. (2003) Bone development and age- related bone loss in male C57BL/6J mice. </w:t>
      </w:r>
      <w:r w:rsidRPr="000A6777">
        <w:rPr>
          <w:i/>
          <w:noProof/>
        </w:rPr>
        <w:t>Bone,</w:t>
      </w:r>
      <w:r w:rsidRPr="000A6777">
        <w:rPr>
          <w:noProof/>
        </w:rPr>
        <w:t xml:space="preserve"> 33</w:t>
      </w:r>
      <w:r w:rsidRPr="000A6777">
        <w:rPr>
          <w:b/>
          <w:noProof/>
        </w:rPr>
        <w:t>:</w:t>
      </w:r>
      <w:r w:rsidRPr="000A6777">
        <w:rPr>
          <w:noProof/>
        </w:rPr>
        <w:t xml:space="preserve"> 387-398.</w:t>
      </w:r>
    </w:p>
    <w:p w14:paraId="39B13DD5" w14:textId="77777777" w:rsidR="00B32AAB" w:rsidRPr="000A6777" w:rsidRDefault="00B32AAB" w:rsidP="000A6777">
      <w:pPr>
        <w:pStyle w:val="EndNoteBibliography"/>
        <w:ind w:left="720" w:hanging="720"/>
        <w:jc w:val="both"/>
        <w:rPr>
          <w:noProof/>
        </w:rPr>
      </w:pPr>
      <w:r w:rsidRPr="000A6777">
        <w:rPr>
          <w:noProof/>
        </w:rPr>
        <w:t xml:space="preserve">Fernandez-Fernandez, R., Martini, A. C., Navarro, V. M., Castellano, J. M., Dieguez, C., Aguilar, E., Pinilla, L., Tena-Sempere, M. (2006) Novel signals for the integration of energy balance and reproduction. </w:t>
      </w:r>
      <w:r w:rsidRPr="000A6777">
        <w:rPr>
          <w:i/>
          <w:noProof/>
        </w:rPr>
        <w:t>Molecular and Cellular Endocrinology,</w:t>
      </w:r>
      <w:r w:rsidRPr="000A6777">
        <w:rPr>
          <w:noProof/>
        </w:rPr>
        <w:t xml:space="preserve"> 254</w:t>
      </w:r>
      <w:r w:rsidRPr="000A6777">
        <w:rPr>
          <w:b/>
          <w:noProof/>
        </w:rPr>
        <w:t>:</w:t>
      </w:r>
      <w:r w:rsidRPr="000A6777">
        <w:rPr>
          <w:noProof/>
        </w:rPr>
        <w:t xml:space="preserve"> 127-132.</w:t>
      </w:r>
    </w:p>
    <w:p w14:paraId="5F9DF5EF" w14:textId="77777777" w:rsidR="00B32AAB" w:rsidRPr="000A6777" w:rsidRDefault="00B32AAB" w:rsidP="000A6777">
      <w:pPr>
        <w:pStyle w:val="EndNoteBibliography"/>
        <w:ind w:left="720" w:hanging="720"/>
        <w:jc w:val="both"/>
        <w:rPr>
          <w:noProof/>
        </w:rPr>
      </w:pPr>
      <w:r w:rsidRPr="000A6777">
        <w:rPr>
          <w:noProof/>
        </w:rPr>
        <w:t xml:space="preserve">Ferron, M., Hinoi, E., Karsenty, G., Ducy, P. (2008) Osteocalcin differentially regulates beta cell and adipocyte gene expression and affects the development of metabolic diseases in wild- type mice. </w:t>
      </w:r>
      <w:r w:rsidRPr="000A6777">
        <w:rPr>
          <w:i/>
          <w:noProof/>
        </w:rPr>
        <w:t>Proceedings of the National Academy of Sciences of the United States of America,</w:t>
      </w:r>
      <w:r w:rsidRPr="000A6777">
        <w:rPr>
          <w:noProof/>
        </w:rPr>
        <w:t xml:space="preserve"> 105</w:t>
      </w:r>
      <w:r w:rsidRPr="000A6777">
        <w:rPr>
          <w:b/>
          <w:noProof/>
        </w:rPr>
        <w:t>:</w:t>
      </w:r>
      <w:r w:rsidRPr="000A6777">
        <w:rPr>
          <w:noProof/>
        </w:rPr>
        <w:t xml:space="preserve"> 5266-5270.</w:t>
      </w:r>
    </w:p>
    <w:p w14:paraId="49F0BEB2" w14:textId="77777777" w:rsidR="00B32AAB" w:rsidRPr="000A6777" w:rsidRDefault="00B32AAB" w:rsidP="000A6777">
      <w:pPr>
        <w:pStyle w:val="EndNoteBibliography"/>
        <w:ind w:left="720" w:hanging="720"/>
        <w:jc w:val="both"/>
        <w:rPr>
          <w:noProof/>
        </w:rPr>
      </w:pPr>
      <w:r w:rsidRPr="000A6777">
        <w:rPr>
          <w:noProof/>
        </w:rPr>
        <w:t xml:space="preserve">Feskanich, D., Willett, W., Colditz, G. (2002) Walking and leisure- time activity and risk of hip fracture in postmenopausal women. </w:t>
      </w:r>
      <w:r w:rsidRPr="000A6777">
        <w:rPr>
          <w:i/>
          <w:noProof/>
        </w:rPr>
        <w:t>Journal of the American Medical Association,</w:t>
      </w:r>
      <w:r w:rsidRPr="000A6777">
        <w:rPr>
          <w:noProof/>
        </w:rPr>
        <w:t xml:space="preserve"> 288</w:t>
      </w:r>
      <w:r w:rsidRPr="000A6777">
        <w:rPr>
          <w:b/>
          <w:noProof/>
        </w:rPr>
        <w:t>:</w:t>
      </w:r>
      <w:r w:rsidRPr="000A6777">
        <w:rPr>
          <w:noProof/>
        </w:rPr>
        <w:t xml:space="preserve"> 2300-2306.</w:t>
      </w:r>
    </w:p>
    <w:p w14:paraId="33D08995" w14:textId="77777777" w:rsidR="00B32AAB" w:rsidRPr="000A6777" w:rsidRDefault="00B32AAB" w:rsidP="000A6777">
      <w:pPr>
        <w:pStyle w:val="EndNoteBibliography"/>
        <w:ind w:left="720" w:hanging="720"/>
        <w:jc w:val="both"/>
        <w:rPr>
          <w:noProof/>
        </w:rPr>
      </w:pPr>
      <w:r w:rsidRPr="000A6777">
        <w:rPr>
          <w:noProof/>
        </w:rPr>
        <w:lastRenderedPageBreak/>
        <w:t xml:space="preserve">Frayn, K. N. (2010) </w:t>
      </w:r>
      <w:r w:rsidRPr="000A6777">
        <w:rPr>
          <w:i/>
          <w:noProof/>
        </w:rPr>
        <w:t xml:space="preserve">Metabolic Regulation: A Human Perspective, 3rd Edition, </w:t>
      </w:r>
      <w:r w:rsidRPr="000A6777">
        <w:rPr>
          <w:noProof/>
        </w:rPr>
        <w:t>Chichester, UK, Wiley-Blackwell.</w:t>
      </w:r>
    </w:p>
    <w:p w14:paraId="623AE794" w14:textId="77777777" w:rsidR="00B32AAB" w:rsidRPr="000A6777" w:rsidRDefault="00B32AAB" w:rsidP="000A6777">
      <w:pPr>
        <w:pStyle w:val="EndNoteBibliography"/>
        <w:ind w:left="720" w:hanging="720"/>
        <w:jc w:val="both"/>
        <w:rPr>
          <w:noProof/>
        </w:rPr>
      </w:pPr>
      <w:r w:rsidRPr="000A6777">
        <w:rPr>
          <w:noProof/>
        </w:rPr>
        <w:t xml:space="preserve">Fritton, J. C., Myers, E. R., Wright, T. M., van Der Meulen, M. C. H. (2005) Loading induces site- specific increases in mineral content assessed by microcomputed tomography of the mouse tibia. </w:t>
      </w:r>
      <w:r w:rsidRPr="000A6777">
        <w:rPr>
          <w:i/>
          <w:noProof/>
        </w:rPr>
        <w:t>Bone,</w:t>
      </w:r>
      <w:r w:rsidRPr="000A6777">
        <w:rPr>
          <w:noProof/>
        </w:rPr>
        <w:t xml:space="preserve"> 36</w:t>
      </w:r>
      <w:r w:rsidRPr="000A6777">
        <w:rPr>
          <w:b/>
          <w:noProof/>
        </w:rPr>
        <w:t>:</w:t>
      </w:r>
      <w:r w:rsidRPr="000A6777">
        <w:rPr>
          <w:noProof/>
        </w:rPr>
        <w:t xml:space="preserve"> 1030-1038.</w:t>
      </w:r>
    </w:p>
    <w:p w14:paraId="08D2F96D" w14:textId="77777777" w:rsidR="00B32AAB" w:rsidRPr="000A6777" w:rsidRDefault="00B32AAB" w:rsidP="000A6777">
      <w:pPr>
        <w:pStyle w:val="EndNoteBibliography"/>
        <w:ind w:left="720" w:hanging="720"/>
        <w:jc w:val="both"/>
        <w:rPr>
          <w:noProof/>
        </w:rPr>
      </w:pPr>
      <w:r w:rsidRPr="000A6777">
        <w:rPr>
          <w:noProof/>
        </w:rPr>
        <w:t xml:space="preserve">Fritton, S. P., Rubin, C. T. (2001) In vivo measurement of bone deformations using strain gauges. </w:t>
      </w:r>
      <w:r w:rsidRPr="000A6777">
        <w:rPr>
          <w:i/>
          <w:noProof/>
        </w:rPr>
        <w:t>In:</w:t>
      </w:r>
      <w:r w:rsidR="007E168E">
        <w:rPr>
          <w:noProof/>
        </w:rPr>
        <w:t xml:space="preserve"> C</w:t>
      </w:r>
      <w:r w:rsidRPr="000A6777">
        <w:rPr>
          <w:noProof/>
        </w:rPr>
        <w:t xml:space="preserve">owin, S. C. (ed.) </w:t>
      </w:r>
      <w:r w:rsidRPr="000A6777">
        <w:rPr>
          <w:i/>
          <w:noProof/>
        </w:rPr>
        <w:t>Bone mechanics handbook.</w:t>
      </w:r>
      <w:r w:rsidRPr="000A6777">
        <w:rPr>
          <w:noProof/>
        </w:rPr>
        <w:t xml:space="preserve"> Boca Raton, FL: CRC Press. 8.1-8.41.</w:t>
      </w:r>
    </w:p>
    <w:p w14:paraId="20B78A37" w14:textId="77777777" w:rsidR="00B32AAB" w:rsidRPr="000A6777" w:rsidRDefault="00B32AAB" w:rsidP="000A6777">
      <w:pPr>
        <w:pStyle w:val="EndNoteBibliography"/>
        <w:ind w:left="720" w:hanging="720"/>
        <w:jc w:val="both"/>
        <w:rPr>
          <w:noProof/>
        </w:rPr>
      </w:pPr>
      <w:r w:rsidRPr="000A6777">
        <w:rPr>
          <w:noProof/>
        </w:rPr>
        <w:t xml:space="preserve">Frost, G. S., Brynes, A. E., Dhillo, W. S., Bloom, S. R., Mcburney, M. I. (2003) The effects of fiber enrichment of pasta and fat content on gastric emptying, GLP- 1, glucose, and insulin responses to a meal. </w:t>
      </w:r>
      <w:r w:rsidRPr="000A6777">
        <w:rPr>
          <w:i/>
          <w:noProof/>
        </w:rPr>
        <w:t>European Journal of Clinical Nutrition,</w:t>
      </w:r>
      <w:r w:rsidRPr="000A6777">
        <w:rPr>
          <w:noProof/>
        </w:rPr>
        <w:t xml:space="preserve"> 57</w:t>
      </w:r>
      <w:r w:rsidRPr="000A6777">
        <w:rPr>
          <w:b/>
          <w:noProof/>
        </w:rPr>
        <w:t>:</w:t>
      </w:r>
      <w:r w:rsidRPr="000A6777">
        <w:rPr>
          <w:noProof/>
        </w:rPr>
        <w:t xml:space="preserve"> 293.</w:t>
      </w:r>
    </w:p>
    <w:p w14:paraId="3C3E1BA0" w14:textId="77777777" w:rsidR="00B32AAB" w:rsidRPr="000A6777" w:rsidRDefault="00B32AAB" w:rsidP="000A6777">
      <w:pPr>
        <w:pStyle w:val="EndNoteBibliography"/>
        <w:ind w:left="720" w:hanging="720"/>
        <w:jc w:val="both"/>
        <w:rPr>
          <w:noProof/>
        </w:rPr>
      </w:pPr>
      <w:r w:rsidRPr="000A6777">
        <w:rPr>
          <w:noProof/>
        </w:rPr>
        <w:t xml:space="preserve">Frost, H. M. (1960) Presence of microscopic cracks in vivo in bone. </w:t>
      </w:r>
      <w:r w:rsidRPr="000A6777">
        <w:rPr>
          <w:i/>
          <w:noProof/>
        </w:rPr>
        <w:t>Henry Ford Hospital Medical Bulletin,</w:t>
      </w:r>
      <w:r w:rsidRPr="000A6777">
        <w:rPr>
          <w:noProof/>
        </w:rPr>
        <w:t xml:space="preserve"> 8</w:t>
      </w:r>
      <w:r w:rsidRPr="000A6777">
        <w:rPr>
          <w:b/>
          <w:noProof/>
        </w:rPr>
        <w:t>:</w:t>
      </w:r>
      <w:r w:rsidRPr="000A6777">
        <w:rPr>
          <w:noProof/>
        </w:rPr>
        <w:t xml:space="preserve"> 25-35.</w:t>
      </w:r>
    </w:p>
    <w:p w14:paraId="35B69315" w14:textId="77777777" w:rsidR="00B32AAB" w:rsidRPr="000A6777" w:rsidRDefault="00B32AAB" w:rsidP="000A6777">
      <w:pPr>
        <w:pStyle w:val="EndNoteBibliography"/>
        <w:ind w:left="720" w:hanging="720"/>
        <w:jc w:val="both"/>
        <w:rPr>
          <w:noProof/>
        </w:rPr>
      </w:pPr>
      <w:r w:rsidRPr="000A6777">
        <w:rPr>
          <w:noProof/>
        </w:rPr>
        <w:t xml:space="preserve">Frost, H. M. (1987) The Mechanostat - A Proposed Pathogenic Mechanism Of Osteoporoses And The Bone Mass Effects Of Mechanical And Nonmechanical Agents. </w:t>
      </w:r>
      <w:r w:rsidRPr="000A6777">
        <w:rPr>
          <w:i/>
          <w:noProof/>
        </w:rPr>
        <w:t>Bone and Mineral,</w:t>
      </w:r>
      <w:r w:rsidRPr="000A6777">
        <w:rPr>
          <w:noProof/>
        </w:rPr>
        <w:t xml:space="preserve"> 2</w:t>
      </w:r>
      <w:r w:rsidRPr="000A6777">
        <w:rPr>
          <w:b/>
          <w:noProof/>
        </w:rPr>
        <w:t>:</w:t>
      </w:r>
      <w:r w:rsidRPr="000A6777">
        <w:rPr>
          <w:noProof/>
        </w:rPr>
        <w:t xml:space="preserve"> 73-85.</w:t>
      </w:r>
    </w:p>
    <w:p w14:paraId="38354AD2" w14:textId="77777777" w:rsidR="00B32AAB" w:rsidRPr="000A6777" w:rsidRDefault="00B32AAB" w:rsidP="000A6777">
      <w:pPr>
        <w:pStyle w:val="EndNoteBibliography"/>
        <w:ind w:left="720" w:hanging="720"/>
        <w:jc w:val="both"/>
        <w:rPr>
          <w:noProof/>
        </w:rPr>
      </w:pPr>
      <w:r w:rsidRPr="000A6777">
        <w:rPr>
          <w:noProof/>
        </w:rPr>
        <w:t xml:space="preserve">Frost, H. M. (1994) Perspectives: A biomechanical model of the pathogenesis of arthroses. </w:t>
      </w:r>
      <w:r w:rsidRPr="000A6777">
        <w:rPr>
          <w:i/>
          <w:noProof/>
        </w:rPr>
        <w:t>Anatomical Record,</w:t>
      </w:r>
      <w:r w:rsidRPr="000A6777">
        <w:rPr>
          <w:noProof/>
        </w:rPr>
        <w:t xml:space="preserve"> 240</w:t>
      </w:r>
      <w:r w:rsidRPr="000A6777">
        <w:rPr>
          <w:b/>
          <w:noProof/>
        </w:rPr>
        <w:t>:</w:t>
      </w:r>
      <w:r w:rsidRPr="000A6777">
        <w:rPr>
          <w:noProof/>
        </w:rPr>
        <w:t xml:space="preserve"> 19-31.</w:t>
      </w:r>
    </w:p>
    <w:p w14:paraId="6F842AFC" w14:textId="77777777" w:rsidR="00B32AAB" w:rsidRPr="000A6777" w:rsidRDefault="00B32AAB" w:rsidP="000A6777">
      <w:pPr>
        <w:pStyle w:val="EndNoteBibliography"/>
        <w:ind w:left="720" w:hanging="720"/>
        <w:jc w:val="both"/>
        <w:rPr>
          <w:noProof/>
        </w:rPr>
      </w:pPr>
      <w:r w:rsidRPr="000A6777">
        <w:rPr>
          <w:noProof/>
        </w:rPr>
        <w:t xml:space="preserve">Frost, H. M. (1996) Perspectives: a proposed general model of the "mechanostat" (suggestions from a new skeletal-biologic paradigm). </w:t>
      </w:r>
      <w:r w:rsidRPr="000A6777">
        <w:rPr>
          <w:i/>
          <w:noProof/>
        </w:rPr>
        <w:t>Anatomical Record,</w:t>
      </w:r>
      <w:r w:rsidRPr="000A6777">
        <w:rPr>
          <w:noProof/>
        </w:rPr>
        <w:t xml:space="preserve"> 244</w:t>
      </w:r>
      <w:r w:rsidRPr="000A6777">
        <w:rPr>
          <w:b/>
          <w:noProof/>
        </w:rPr>
        <w:t>:</w:t>
      </w:r>
      <w:r w:rsidRPr="000A6777">
        <w:rPr>
          <w:noProof/>
        </w:rPr>
        <w:t xml:space="preserve"> 139-147.</w:t>
      </w:r>
    </w:p>
    <w:p w14:paraId="3C71F770" w14:textId="77777777" w:rsidR="00B32AAB" w:rsidRPr="000A6777" w:rsidRDefault="00B32AAB" w:rsidP="000A6777">
      <w:pPr>
        <w:pStyle w:val="EndNoteBibliography"/>
        <w:ind w:left="720" w:hanging="720"/>
        <w:jc w:val="both"/>
        <w:rPr>
          <w:noProof/>
        </w:rPr>
      </w:pPr>
      <w:r w:rsidRPr="000A6777">
        <w:rPr>
          <w:noProof/>
        </w:rPr>
        <w:t xml:space="preserve">Frost, H. M. (2000) The Utah paradigm of skeletal physiology: an overview of its insights for bone, cartilage and collagenous tissue organs. </w:t>
      </w:r>
      <w:r w:rsidRPr="000A6777">
        <w:rPr>
          <w:i/>
          <w:noProof/>
        </w:rPr>
        <w:t>Journal of Bone and Mineral Metabolism,</w:t>
      </w:r>
      <w:r w:rsidRPr="000A6777">
        <w:rPr>
          <w:noProof/>
        </w:rPr>
        <w:t xml:space="preserve"> 18</w:t>
      </w:r>
      <w:r w:rsidRPr="000A6777">
        <w:rPr>
          <w:b/>
          <w:noProof/>
        </w:rPr>
        <w:t>:</w:t>
      </w:r>
      <w:r w:rsidRPr="000A6777">
        <w:rPr>
          <w:noProof/>
        </w:rPr>
        <w:t xml:space="preserve"> 305-316.</w:t>
      </w:r>
    </w:p>
    <w:p w14:paraId="7B2E611F" w14:textId="77777777" w:rsidR="00B32AAB" w:rsidRPr="000A6777" w:rsidRDefault="00B32AAB" w:rsidP="000A6777">
      <w:pPr>
        <w:pStyle w:val="EndNoteBibliography"/>
        <w:ind w:left="720" w:hanging="720"/>
        <w:jc w:val="both"/>
        <w:rPr>
          <w:noProof/>
        </w:rPr>
      </w:pPr>
      <w:r w:rsidRPr="000A6777">
        <w:rPr>
          <w:noProof/>
        </w:rPr>
        <w:t xml:space="preserve">Frost, H. M. (2003) Bone's mechanostat: A 2003 update. </w:t>
      </w:r>
      <w:r w:rsidRPr="000A6777">
        <w:rPr>
          <w:i/>
          <w:noProof/>
        </w:rPr>
        <w:t>Anatomical Record Part A - Discoveries in Molecular Cellular and Evolutionary Biology,</w:t>
      </w:r>
      <w:r w:rsidRPr="000A6777">
        <w:rPr>
          <w:noProof/>
        </w:rPr>
        <w:t xml:space="preserve"> 275A</w:t>
      </w:r>
      <w:r w:rsidRPr="000A6777">
        <w:rPr>
          <w:b/>
          <w:noProof/>
        </w:rPr>
        <w:t>:</w:t>
      </w:r>
      <w:r w:rsidRPr="000A6777">
        <w:rPr>
          <w:noProof/>
        </w:rPr>
        <w:t xml:space="preserve"> 1081-1101.</w:t>
      </w:r>
    </w:p>
    <w:p w14:paraId="3D50CF82" w14:textId="77777777" w:rsidR="00B32AAB" w:rsidRPr="000A6777" w:rsidRDefault="00B32AAB" w:rsidP="000A6777">
      <w:pPr>
        <w:pStyle w:val="EndNoteBibliography"/>
        <w:ind w:left="720" w:hanging="720"/>
        <w:jc w:val="both"/>
        <w:rPr>
          <w:noProof/>
        </w:rPr>
      </w:pPr>
      <w:r w:rsidRPr="000A6777">
        <w:rPr>
          <w:noProof/>
        </w:rPr>
        <w:t xml:space="preserve">Fujimoto, W. Y., Brunzell, J. D., Eckel, R. H. (1979) Gastric inhibitory polypeptide enhanced lipoprotein lipase activity in cultured preadipocytes. </w:t>
      </w:r>
      <w:r w:rsidRPr="000A6777">
        <w:rPr>
          <w:i/>
          <w:noProof/>
        </w:rPr>
        <w:t>Diabetes.,</w:t>
      </w:r>
      <w:r w:rsidRPr="000A6777">
        <w:rPr>
          <w:noProof/>
        </w:rPr>
        <w:t xml:space="preserve"> 28</w:t>
      </w:r>
      <w:r w:rsidRPr="000A6777">
        <w:rPr>
          <w:b/>
          <w:noProof/>
        </w:rPr>
        <w:t>:</w:t>
      </w:r>
      <w:r w:rsidRPr="000A6777">
        <w:rPr>
          <w:noProof/>
        </w:rPr>
        <w:t xml:space="preserve"> 1141-1142.</w:t>
      </w:r>
    </w:p>
    <w:p w14:paraId="603581C5" w14:textId="77777777" w:rsidR="00B32AAB" w:rsidRPr="000A6777" w:rsidRDefault="00B32AAB" w:rsidP="000A6777">
      <w:pPr>
        <w:pStyle w:val="EndNoteBibliography"/>
        <w:ind w:left="720" w:hanging="720"/>
        <w:jc w:val="both"/>
        <w:rPr>
          <w:noProof/>
        </w:rPr>
      </w:pPr>
      <w:r w:rsidRPr="000A6777">
        <w:rPr>
          <w:noProof/>
        </w:rPr>
        <w:t xml:space="preserve">Fujita, T., Kawata, T., Tokimasa, C., Tanne, K. (2001) Influence of oestrogen and androgen on modelling of the mandibular condylar bone in ovariectomized and orchiectomized growing mice. </w:t>
      </w:r>
      <w:r w:rsidRPr="000A6777">
        <w:rPr>
          <w:i/>
          <w:noProof/>
        </w:rPr>
        <w:t>Archives of Oral Biology,</w:t>
      </w:r>
      <w:r w:rsidRPr="000A6777">
        <w:rPr>
          <w:noProof/>
        </w:rPr>
        <w:t xml:space="preserve"> 46</w:t>
      </w:r>
      <w:r w:rsidRPr="000A6777">
        <w:rPr>
          <w:b/>
          <w:noProof/>
        </w:rPr>
        <w:t>:</w:t>
      </w:r>
      <w:r w:rsidRPr="000A6777">
        <w:rPr>
          <w:noProof/>
        </w:rPr>
        <w:t xml:space="preserve"> 57-65.</w:t>
      </w:r>
    </w:p>
    <w:p w14:paraId="7FC050B5" w14:textId="77777777" w:rsidR="00B32AAB" w:rsidRPr="000A6777" w:rsidRDefault="00B32AAB" w:rsidP="000A6777">
      <w:pPr>
        <w:pStyle w:val="EndNoteBibliography"/>
        <w:ind w:left="720" w:hanging="720"/>
        <w:jc w:val="both"/>
        <w:rPr>
          <w:noProof/>
        </w:rPr>
      </w:pPr>
      <w:r w:rsidRPr="000A6777">
        <w:rPr>
          <w:noProof/>
        </w:rPr>
        <w:t xml:space="preserve">Fujitsuka, N., Asakawa, A., Morinaga, A., Amitani, M. S., Amitani, H., Katsuura, G., Sawada, Y., Sudo, Y., Uezono, Y., Mochiki, E., Sakata, I., Sakai, T., Hanazaki, K., Yada, T., Yakabi, K., Sakuma, E., Ueki, T., Niijima, A., Nakagawa, K., Okubo, N., </w:t>
      </w:r>
      <w:r w:rsidRPr="000A6777">
        <w:rPr>
          <w:noProof/>
        </w:rPr>
        <w:lastRenderedPageBreak/>
        <w:t xml:space="preserve">Takeda, H., Asaka, M., Inui, A. (2016) Increased ghrelin signaling prolongs survival in mouse models of human aging through activation of sirtuin1. </w:t>
      </w:r>
      <w:r w:rsidRPr="000A6777">
        <w:rPr>
          <w:i/>
          <w:noProof/>
        </w:rPr>
        <w:t>Molecular Psychiatry,</w:t>
      </w:r>
      <w:r w:rsidRPr="000A6777">
        <w:rPr>
          <w:noProof/>
        </w:rPr>
        <w:t xml:space="preserve"> 21</w:t>
      </w:r>
      <w:r w:rsidRPr="000A6777">
        <w:rPr>
          <w:b/>
          <w:noProof/>
        </w:rPr>
        <w:t>:</w:t>
      </w:r>
      <w:r w:rsidRPr="000A6777">
        <w:rPr>
          <w:noProof/>
        </w:rPr>
        <w:t xml:space="preserve"> 1613-1623.</w:t>
      </w:r>
    </w:p>
    <w:p w14:paraId="0FE53069" w14:textId="77777777" w:rsidR="00B32AAB" w:rsidRPr="000A6777" w:rsidRDefault="00B32AAB" w:rsidP="000A6777">
      <w:pPr>
        <w:pStyle w:val="EndNoteBibliography"/>
        <w:ind w:left="720" w:hanging="720"/>
        <w:jc w:val="both"/>
        <w:rPr>
          <w:noProof/>
        </w:rPr>
      </w:pPr>
      <w:r w:rsidRPr="000A6777">
        <w:rPr>
          <w:noProof/>
        </w:rPr>
        <w:t xml:space="preserve">Fukushima, N., Hanada, R., Teranishi, H., Fukue, Y., Kojima, M., Nagata, K., Tachibana, T., Ishikawa, H., Takeda, S., Takeuchi, Y., Fukumoto, S., Kangawa, K. (2005) Ghrelin directly regulates bone formation. </w:t>
      </w:r>
      <w:r w:rsidRPr="000A6777">
        <w:rPr>
          <w:i/>
          <w:noProof/>
        </w:rPr>
        <w:t>Journal of Bone and Mineral Research,</w:t>
      </w:r>
      <w:r w:rsidRPr="000A6777">
        <w:rPr>
          <w:noProof/>
        </w:rPr>
        <w:t xml:space="preserve"> 20</w:t>
      </w:r>
      <w:r w:rsidRPr="000A6777">
        <w:rPr>
          <w:b/>
          <w:noProof/>
        </w:rPr>
        <w:t>:</w:t>
      </w:r>
      <w:r w:rsidRPr="000A6777">
        <w:rPr>
          <w:noProof/>
        </w:rPr>
        <w:t xml:space="preserve"> 790-798.</w:t>
      </w:r>
    </w:p>
    <w:p w14:paraId="667EDAF9" w14:textId="77777777" w:rsidR="00B32AAB" w:rsidRPr="000A6777" w:rsidRDefault="00B32AAB" w:rsidP="000A6777">
      <w:pPr>
        <w:pStyle w:val="EndNoteBibliography"/>
        <w:ind w:left="720" w:hanging="720"/>
        <w:jc w:val="both"/>
        <w:rPr>
          <w:noProof/>
        </w:rPr>
      </w:pPr>
      <w:r w:rsidRPr="000A6777">
        <w:rPr>
          <w:noProof/>
        </w:rPr>
        <w:t xml:space="preserve">Fulzele, K., Digirolamo, D., Liu, Z., Xu, J., Messina, J., Clemens, T. (2007) Disruption of the insulin- like growth factor type 1 receptor in Osteoblasts enhances insulin signaling and action. </w:t>
      </w:r>
      <w:r w:rsidR="004334F5">
        <w:rPr>
          <w:i/>
          <w:noProof/>
        </w:rPr>
        <w:t>The Journal of Biological C</w:t>
      </w:r>
      <w:r w:rsidRPr="000A6777">
        <w:rPr>
          <w:i/>
          <w:noProof/>
        </w:rPr>
        <w:t>hemistry,</w:t>
      </w:r>
      <w:r w:rsidRPr="000A6777">
        <w:rPr>
          <w:noProof/>
        </w:rPr>
        <w:t xml:space="preserve"> 282</w:t>
      </w:r>
      <w:r w:rsidRPr="000A6777">
        <w:rPr>
          <w:b/>
          <w:noProof/>
        </w:rPr>
        <w:t>:</w:t>
      </w:r>
      <w:r w:rsidRPr="000A6777">
        <w:rPr>
          <w:noProof/>
        </w:rPr>
        <w:t xml:space="preserve"> 25649-25658.</w:t>
      </w:r>
    </w:p>
    <w:p w14:paraId="2BA37074" w14:textId="77777777" w:rsidR="00B32AAB" w:rsidRPr="000A6777" w:rsidRDefault="00B32AAB" w:rsidP="000A6777">
      <w:pPr>
        <w:pStyle w:val="EndNoteBibliography"/>
        <w:ind w:left="720" w:hanging="720"/>
        <w:jc w:val="both"/>
        <w:rPr>
          <w:noProof/>
        </w:rPr>
      </w:pPr>
      <w:r w:rsidRPr="000A6777">
        <w:rPr>
          <w:noProof/>
        </w:rPr>
        <w:t xml:space="preserve">Fulzele, K., Riddle, R. C., Digirolamo, D. J., Cao, X., Wan, C., Chen, D., Faugere, M.-C., Aja, S., Hussain, M. A., Brüning, J. C., Clemens, T. L. (2010) Insulin Receptor Signaling in Osteoblasts Regulates Postnatal Bone Acquisition and Body Composition. </w:t>
      </w:r>
      <w:r w:rsidRPr="000A6777">
        <w:rPr>
          <w:i/>
          <w:noProof/>
        </w:rPr>
        <w:t>Cell,</w:t>
      </w:r>
      <w:r w:rsidRPr="000A6777">
        <w:rPr>
          <w:noProof/>
        </w:rPr>
        <w:t xml:space="preserve"> 142</w:t>
      </w:r>
      <w:r w:rsidRPr="000A6777">
        <w:rPr>
          <w:b/>
          <w:noProof/>
        </w:rPr>
        <w:t>:</w:t>
      </w:r>
      <w:r w:rsidRPr="000A6777">
        <w:rPr>
          <w:noProof/>
        </w:rPr>
        <w:t xml:space="preserve"> 309-319.</w:t>
      </w:r>
    </w:p>
    <w:p w14:paraId="381DDE7E" w14:textId="77777777" w:rsidR="00B32AAB" w:rsidRPr="000A6777" w:rsidRDefault="00B32AAB" w:rsidP="000A6777">
      <w:pPr>
        <w:pStyle w:val="EndNoteBibliography"/>
        <w:ind w:left="720" w:hanging="720"/>
        <w:jc w:val="both"/>
        <w:rPr>
          <w:noProof/>
        </w:rPr>
      </w:pPr>
      <w:r w:rsidRPr="000A6777">
        <w:rPr>
          <w:noProof/>
        </w:rPr>
        <w:t xml:space="preserve">Fyhrie, D. P., Kimura, J. H. (1999) Cancellous bone biomechanics. </w:t>
      </w:r>
      <w:r w:rsidRPr="000A6777">
        <w:rPr>
          <w:i/>
          <w:noProof/>
        </w:rPr>
        <w:t>Journal of Biomechanics,</w:t>
      </w:r>
      <w:r w:rsidRPr="000A6777">
        <w:rPr>
          <w:noProof/>
        </w:rPr>
        <w:t xml:space="preserve"> 32</w:t>
      </w:r>
      <w:r w:rsidRPr="000A6777">
        <w:rPr>
          <w:b/>
          <w:noProof/>
        </w:rPr>
        <w:t>:</w:t>
      </w:r>
      <w:r w:rsidRPr="000A6777">
        <w:rPr>
          <w:noProof/>
        </w:rPr>
        <w:t xml:space="preserve"> 1139-1148.</w:t>
      </w:r>
    </w:p>
    <w:p w14:paraId="6CED6522" w14:textId="77777777" w:rsidR="00B32AAB" w:rsidRPr="000A6777" w:rsidRDefault="00B32AAB" w:rsidP="000A6777">
      <w:pPr>
        <w:pStyle w:val="EndNoteBibliography"/>
        <w:ind w:left="720" w:hanging="720"/>
        <w:jc w:val="both"/>
        <w:rPr>
          <w:noProof/>
        </w:rPr>
      </w:pPr>
      <w:r w:rsidRPr="000A6777">
        <w:rPr>
          <w:noProof/>
        </w:rPr>
        <w:t xml:space="preserve">Gabet, Y., Bab, I. (2011) Microarchitectural changes in the aging skeleton. </w:t>
      </w:r>
      <w:r w:rsidRPr="000A6777">
        <w:rPr>
          <w:i/>
          <w:noProof/>
        </w:rPr>
        <w:t>Current Osteoporosis Reports,</w:t>
      </w:r>
      <w:r w:rsidRPr="000A6777">
        <w:rPr>
          <w:noProof/>
        </w:rPr>
        <w:t xml:space="preserve"> 9</w:t>
      </w:r>
      <w:r w:rsidRPr="000A6777">
        <w:rPr>
          <w:b/>
          <w:noProof/>
        </w:rPr>
        <w:t>:</w:t>
      </w:r>
      <w:r w:rsidRPr="000A6777">
        <w:rPr>
          <w:noProof/>
        </w:rPr>
        <w:t xml:space="preserve"> 177-183.</w:t>
      </w:r>
    </w:p>
    <w:p w14:paraId="6A4DAFA0" w14:textId="77777777" w:rsidR="00B32AAB" w:rsidRPr="000A6777" w:rsidRDefault="00B32AAB" w:rsidP="000A6777">
      <w:pPr>
        <w:pStyle w:val="EndNoteBibliography"/>
        <w:ind w:left="720" w:hanging="720"/>
        <w:jc w:val="both"/>
        <w:rPr>
          <w:noProof/>
        </w:rPr>
      </w:pPr>
      <w:r w:rsidRPr="000A6777">
        <w:rPr>
          <w:noProof/>
        </w:rPr>
        <w:t xml:space="preserve">Galea, G., Meakin, L., Sugiyama, T., Zebda, N., Sunters, A., Taipaleenmaki, H., Stein, G., van Wijnen, A., Lanyon, L., Price, J. (2013) Estrogen Receptor alpha Mediates Proliferation of Osteoblastic Cells Stimulated by Estrogen and Mechanical Strain, but Their Acute Down-regulation of the Wnt Antagonist Sost Is Mediated by Estrogen Receptor beta. </w:t>
      </w:r>
      <w:r w:rsidR="004334F5">
        <w:rPr>
          <w:i/>
          <w:noProof/>
        </w:rPr>
        <w:t>The Journal of Biological C</w:t>
      </w:r>
      <w:r w:rsidRPr="000A6777">
        <w:rPr>
          <w:i/>
          <w:noProof/>
        </w:rPr>
        <w:t>hemistry,</w:t>
      </w:r>
      <w:r w:rsidRPr="000A6777">
        <w:rPr>
          <w:noProof/>
        </w:rPr>
        <w:t xml:space="preserve"> 288</w:t>
      </w:r>
      <w:r w:rsidRPr="000A6777">
        <w:rPr>
          <w:b/>
          <w:noProof/>
        </w:rPr>
        <w:t>:</w:t>
      </w:r>
      <w:r w:rsidRPr="000A6777">
        <w:rPr>
          <w:noProof/>
        </w:rPr>
        <w:t xml:space="preserve"> 9035-9048.</w:t>
      </w:r>
    </w:p>
    <w:p w14:paraId="41578B14" w14:textId="77777777" w:rsidR="00B32AAB" w:rsidRPr="000A6777" w:rsidRDefault="00B32AAB" w:rsidP="000A6777">
      <w:pPr>
        <w:pStyle w:val="EndNoteBibliography"/>
        <w:ind w:left="720" w:hanging="720"/>
        <w:jc w:val="both"/>
        <w:rPr>
          <w:noProof/>
        </w:rPr>
      </w:pPr>
      <w:r w:rsidRPr="000A6777">
        <w:rPr>
          <w:noProof/>
        </w:rPr>
        <w:t xml:space="preserve">Gannon, K. S., Smith, J. C., Henderson, R., Hendrick, P. (1992) A system for studying the microstructure of ingestive behavior in mice. </w:t>
      </w:r>
      <w:r w:rsidRPr="000A6777">
        <w:rPr>
          <w:i/>
          <w:noProof/>
        </w:rPr>
        <w:t>Physiology and Behavior,</w:t>
      </w:r>
      <w:r w:rsidRPr="000A6777">
        <w:rPr>
          <w:noProof/>
        </w:rPr>
        <w:t xml:space="preserve"> 51</w:t>
      </w:r>
      <w:r w:rsidRPr="000A6777">
        <w:rPr>
          <w:b/>
          <w:noProof/>
        </w:rPr>
        <w:t>:</w:t>
      </w:r>
      <w:r w:rsidRPr="000A6777">
        <w:rPr>
          <w:noProof/>
        </w:rPr>
        <w:t xml:space="preserve"> 515-521.</w:t>
      </w:r>
    </w:p>
    <w:p w14:paraId="567F6511" w14:textId="77777777" w:rsidR="00B32AAB" w:rsidRPr="000A6777" w:rsidRDefault="00B32AAB" w:rsidP="000A6777">
      <w:pPr>
        <w:pStyle w:val="EndNoteBibliography"/>
        <w:ind w:left="720" w:hanging="720"/>
        <w:jc w:val="both"/>
        <w:rPr>
          <w:noProof/>
        </w:rPr>
      </w:pPr>
      <w:r w:rsidRPr="000A6777">
        <w:rPr>
          <w:noProof/>
        </w:rPr>
        <w:t xml:space="preserve">Gelfand, R. A., Hendler, R. (1989) Effect of nutrient composition on the metabolic response to very low calorie diets: Learning more and more about less and less. </w:t>
      </w:r>
      <w:r w:rsidRPr="000A6777">
        <w:rPr>
          <w:i/>
          <w:noProof/>
        </w:rPr>
        <w:t>Diabetes/Metabolism Research and Reviews,</w:t>
      </w:r>
      <w:r w:rsidRPr="000A6777">
        <w:rPr>
          <w:noProof/>
        </w:rPr>
        <w:t xml:space="preserve"> 5</w:t>
      </w:r>
      <w:r w:rsidRPr="000A6777">
        <w:rPr>
          <w:b/>
          <w:noProof/>
        </w:rPr>
        <w:t>:</w:t>
      </w:r>
      <w:r w:rsidRPr="000A6777">
        <w:rPr>
          <w:noProof/>
        </w:rPr>
        <w:t xml:space="preserve"> 17-30.</w:t>
      </w:r>
    </w:p>
    <w:p w14:paraId="70551F1B" w14:textId="77777777" w:rsidR="00B32AAB" w:rsidRPr="000A6777" w:rsidRDefault="00B32AAB" w:rsidP="000A6777">
      <w:pPr>
        <w:pStyle w:val="EndNoteBibliography"/>
        <w:ind w:left="720" w:hanging="720"/>
        <w:jc w:val="both"/>
        <w:rPr>
          <w:noProof/>
        </w:rPr>
      </w:pPr>
      <w:r w:rsidRPr="000A6777">
        <w:rPr>
          <w:noProof/>
        </w:rPr>
        <w:t xml:space="preserve">Genant, H., Faulkner, K., Gluer, C. (1991) Measurement Of Bone- Mineral Density - Current Status. </w:t>
      </w:r>
      <w:r w:rsidR="004334F5">
        <w:rPr>
          <w:i/>
          <w:noProof/>
        </w:rPr>
        <w:t>American Journal o</w:t>
      </w:r>
      <w:r w:rsidRPr="000A6777">
        <w:rPr>
          <w:i/>
          <w:noProof/>
        </w:rPr>
        <w:t>f Medicine,</w:t>
      </w:r>
      <w:r w:rsidRPr="000A6777">
        <w:rPr>
          <w:noProof/>
        </w:rPr>
        <w:t xml:space="preserve"> 91</w:t>
      </w:r>
      <w:r w:rsidRPr="000A6777">
        <w:rPr>
          <w:b/>
          <w:noProof/>
        </w:rPr>
        <w:t>:</w:t>
      </w:r>
      <w:r w:rsidRPr="000A6777">
        <w:rPr>
          <w:noProof/>
        </w:rPr>
        <w:t xml:space="preserve"> S49-S53.</w:t>
      </w:r>
    </w:p>
    <w:p w14:paraId="0C973829" w14:textId="77777777" w:rsidR="00B32AAB" w:rsidRPr="000A6777" w:rsidRDefault="00B32AAB" w:rsidP="000A6777">
      <w:pPr>
        <w:pStyle w:val="EndNoteBibliography"/>
        <w:ind w:left="720" w:hanging="720"/>
        <w:jc w:val="both"/>
        <w:rPr>
          <w:noProof/>
        </w:rPr>
      </w:pPr>
      <w:r w:rsidRPr="000A6777">
        <w:rPr>
          <w:noProof/>
        </w:rPr>
        <w:t xml:space="preserve">Gielen, E., Boonen, S., Vanderschueren, D., Sinnesael, M., Verstuyf, A., Claessens, F., Milisen, K., Verschueren, S. (2011) Calcium and Vitamin D Supplementation in Men. </w:t>
      </w:r>
      <w:r w:rsidRPr="000A6777">
        <w:rPr>
          <w:i/>
          <w:noProof/>
        </w:rPr>
        <w:t>Journal of Osteoporosis,</w:t>
      </w:r>
      <w:r w:rsidRPr="000A6777">
        <w:rPr>
          <w:noProof/>
        </w:rPr>
        <w:t xml:space="preserve"> 2011</w:t>
      </w:r>
      <w:r w:rsidRPr="000A6777">
        <w:rPr>
          <w:b/>
          <w:noProof/>
        </w:rPr>
        <w:t>:</w:t>
      </w:r>
      <w:r w:rsidRPr="000A6777">
        <w:rPr>
          <w:noProof/>
        </w:rPr>
        <w:t xml:space="preserve"> 875249.</w:t>
      </w:r>
    </w:p>
    <w:p w14:paraId="20523F5C" w14:textId="77777777" w:rsidR="00B32AAB" w:rsidRPr="000A6777" w:rsidRDefault="00B32AAB" w:rsidP="000A6777">
      <w:pPr>
        <w:pStyle w:val="EndNoteBibliography"/>
        <w:ind w:left="720" w:hanging="720"/>
        <w:jc w:val="both"/>
        <w:rPr>
          <w:noProof/>
        </w:rPr>
      </w:pPr>
      <w:r w:rsidRPr="000A6777">
        <w:rPr>
          <w:noProof/>
        </w:rPr>
        <w:lastRenderedPageBreak/>
        <w:t xml:space="preserve">Girardet, C., Mavrikaki, M., Southern, M. R., Smith, R. G., Butler, A. A. (2014) Assessing Interactions Between Ghsr and Mc3r Reveals a Role for AgRP in the Expression of Food Anticipatory Activity in Male Mice. </w:t>
      </w:r>
      <w:r w:rsidRPr="000A6777">
        <w:rPr>
          <w:i/>
          <w:noProof/>
        </w:rPr>
        <w:t>Endocrinology,</w:t>
      </w:r>
      <w:r w:rsidRPr="000A6777">
        <w:rPr>
          <w:noProof/>
        </w:rPr>
        <w:t xml:space="preserve"> 155</w:t>
      </w:r>
      <w:r w:rsidRPr="000A6777">
        <w:rPr>
          <w:b/>
          <w:noProof/>
        </w:rPr>
        <w:t>:</w:t>
      </w:r>
      <w:r w:rsidRPr="000A6777">
        <w:rPr>
          <w:noProof/>
        </w:rPr>
        <w:t xml:space="preserve"> 4843-4855.</w:t>
      </w:r>
    </w:p>
    <w:p w14:paraId="0E556452" w14:textId="77777777" w:rsidR="00B32AAB" w:rsidRPr="000A6777" w:rsidRDefault="00B32AAB" w:rsidP="000A6777">
      <w:pPr>
        <w:pStyle w:val="EndNoteBibliography"/>
        <w:ind w:left="720" w:hanging="720"/>
        <w:jc w:val="both"/>
        <w:rPr>
          <w:noProof/>
        </w:rPr>
      </w:pPr>
      <w:r w:rsidRPr="000A6777">
        <w:rPr>
          <w:noProof/>
        </w:rPr>
        <w:t xml:space="preserve">Glatt, V., Shult, K., Beamer, W., Rosen, C. J., Bouxsein, M. (2007) Age-related changes in bone architecture vary among inbred strains of mice. </w:t>
      </w:r>
      <w:r w:rsidRPr="000A6777">
        <w:rPr>
          <w:i/>
          <w:noProof/>
        </w:rPr>
        <w:t>Bone,</w:t>
      </w:r>
      <w:r w:rsidRPr="000A6777">
        <w:rPr>
          <w:noProof/>
        </w:rPr>
        <w:t xml:space="preserve"> 40</w:t>
      </w:r>
      <w:r w:rsidRPr="000A6777">
        <w:rPr>
          <w:b/>
          <w:noProof/>
        </w:rPr>
        <w:t>:</w:t>
      </w:r>
      <w:r w:rsidRPr="000A6777">
        <w:rPr>
          <w:noProof/>
        </w:rPr>
        <w:t xml:space="preserve"> S194-S194.</w:t>
      </w:r>
    </w:p>
    <w:p w14:paraId="7CF66498" w14:textId="77777777" w:rsidR="00B32AAB" w:rsidRPr="000A6777" w:rsidRDefault="00B32AAB" w:rsidP="000A6777">
      <w:pPr>
        <w:pStyle w:val="EndNoteBibliography"/>
        <w:ind w:left="720" w:hanging="720"/>
        <w:jc w:val="both"/>
        <w:rPr>
          <w:noProof/>
        </w:rPr>
      </w:pPr>
      <w:r w:rsidRPr="000A6777">
        <w:rPr>
          <w:noProof/>
        </w:rPr>
        <w:t xml:space="preserve">Glimcher, M. J. (1989) Mechanism of calcification: Role of collagen fibrils and collagen- phosphoprotein complexes in vitro and in vivo. </w:t>
      </w:r>
      <w:r w:rsidRPr="000A6777">
        <w:rPr>
          <w:i/>
          <w:noProof/>
        </w:rPr>
        <w:t>Anatomical Record,</w:t>
      </w:r>
      <w:r w:rsidRPr="000A6777">
        <w:rPr>
          <w:noProof/>
        </w:rPr>
        <w:t xml:space="preserve"> 224</w:t>
      </w:r>
      <w:r w:rsidRPr="000A6777">
        <w:rPr>
          <w:b/>
          <w:noProof/>
        </w:rPr>
        <w:t>:</w:t>
      </w:r>
      <w:r w:rsidRPr="000A6777">
        <w:rPr>
          <w:noProof/>
        </w:rPr>
        <w:t xml:space="preserve"> 139-153.</w:t>
      </w:r>
    </w:p>
    <w:p w14:paraId="137E0E03" w14:textId="77777777" w:rsidR="00B32AAB" w:rsidRPr="000A6777" w:rsidRDefault="00B32AAB" w:rsidP="000A6777">
      <w:pPr>
        <w:pStyle w:val="EndNoteBibliography"/>
        <w:ind w:left="720" w:hanging="720"/>
        <w:jc w:val="both"/>
        <w:rPr>
          <w:noProof/>
        </w:rPr>
      </w:pPr>
      <w:r w:rsidRPr="000A6777">
        <w:rPr>
          <w:noProof/>
        </w:rPr>
        <w:t xml:space="preserve">Gluck, E. F., Stephens, N., Swoap, S. J. (2006) Peripheral ghrelin deepens torpor bouts in mice through the arcuate nucleus neuropeptide Y signaling pathway. </w:t>
      </w:r>
      <w:r w:rsidRPr="000A6777">
        <w:rPr>
          <w:i/>
          <w:noProof/>
        </w:rPr>
        <w:t>American jour</w:t>
      </w:r>
      <w:r w:rsidR="00D376E0">
        <w:rPr>
          <w:i/>
          <w:noProof/>
        </w:rPr>
        <w:t>nal of physiology. Regulatory, Integrative and Comparative P</w:t>
      </w:r>
      <w:r w:rsidRPr="000A6777">
        <w:rPr>
          <w:i/>
          <w:noProof/>
        </w:rPr>
        <w:t>hysiology,</w:t>
      </w:r>
      <w:r w:rsidRPr="000A6777">
        <w:rPr>
          <w:noProof/>
        </w:rPr>
        <w:t xml:space="preserve"> 291</w:t>
      </w:r>
      <w:r w:rsidRPr="000A6777">
        <w:rPr>
          <w:b/>
          <w:noProof/>
        </w:rPr>
        <w:t>:</w:t>
      </w:r>
      <w:r w:rsidRPr="000A6777">
        <w:rPr>
          <w:noProof/>
        </w:rPr>
        <w:t xml:space="preserve"> R1303-1309.</w:t>
      </w:r>
    </w:p>
    <w:p w14:paraId="65EC470E" w14:textId="77777777" w:rsidR="00B32AAB" w:rsidRPr="000A6777" w:rsidRDefault="00B32AAB" w:rsidP="000A6777">
      <w:pPr>
        <w:pStyle w:val="EndNoteBibliography"/>
        <w:ind w:left="720" w:hanging="720"/>
        <w:jc w:val="both"/>
        <w:rPr>
          <w:noProof/>
        </w:rPr>
      </w:pPr>
      <w:r w:rsidRPr="000A6777">
        <w:rPr>
          <w:noProof/>
        </w:rPr>
        <w:t>Goldman, H. M., McFarlin, S. C., Cooper, D. M. L., Thomas, C. D. L., Clement, J. G. (2009) Ontogenetic Patterning of Cortical Bone Microstructure and Geometry at the Human Mid</w:t>
      </w:r>
      <w:r w:rsidRPr="000A6777">
        <w:rPr>
          <w:rFonts w:ascii="American Typewriter Condensed" w:hAnsi="American Typewriter Condensed" w:cs="American Typewriter Condensed"/>
          <w:noProof/>
        </w:rPr>
        <w:t>‐</w:t>
      </w:r>
      <w:r w:rsidRPr="000A6777">
        <w:rPr>
          <w:noProof/>
        </w:rPr>
        <w:t xml:space="preserve">Shaft Femur. </w:t>
      </w:r>
      <w:r w:rsidRPr="000A6777">
        <w:rPr>
          <w:i/>
          <w:noProof/>
        </w:rPr>
        <w:t>Anatomical Record: Advances in Integrative Anatomy and Evolutionary Biology,</w:t>
      </w:r>
      <w:r w:rsidRPr="000A6777">
        <w:rPr>
          <w:noProof/>
        </w:rPr>
        <w:t xml:space="preserve"> 292</w:t>
      </w:r>
      <w:r w:rsidRPr="000A6777">
        <w:rPr>
          <w:b/>
          <w:noProof/>
        </w:rPr>
        <w:t>:</w:t>
      </w:r>
      <w:r w:rsidRPr="000A6777">
        <w:rPr>
          <w:noProof/>
        </w:rPr>
        <w:t xml:space="preserve"> 48-64.</w:t>
      </w:r>
    </w:p>
    <w:p w14:paraId="346EC63E" w14:textId="77777777" w:rsidR="00B32AAB" w:rsidRPr="000A6777" w:rsidRDefault="00B32AAB" w:rsidP="000A6777">
      <w:pPr>
        <w:pStyle w:val="EndNoteBibliography"/>
        <w:ind w:left="720" w:hanging="720"/>
        <w:jc w:val="both"/>
        <w:rPr>
          <w:noProof/>
        </w:rPr>
      </w:pPr>
      <w:r w:rsidRPr="000A6777">
        <w:rPr>
          <w:noProof/>
        </w:rPr>
        <w:t xml:space="preserve">Goldspink, G. (2012) Age- Related Loss of Muscle Mass and Strength. </w:t>
      </w:r>
      <w:r w:rsidRPr="000A6777">
        <w:rPr>
          <w:i/>
          <w:noProof/>
        </w:rPr>
        <w:t>Journal of Aging Research,</w:t>
      </w:r>
      <w:r w:rsidRPr="000A6777">
        <w:rPr>
          <w:noProof/>
        </w:rPr>
        <w:t xml:space="preserve"> 2012</w:t>
      </w:r>
      <w:r w:rsidRPr="000A6777">
        <w:rPr>
          <w:b/>
          <w:noProof/>
        </w:rPr>
        <w:t>:</w:t>
      </w:r>
      <w:r w:rsidRPr="000A6777">
        <w:rPr>
          <w:noProof/>
        </w:rPr>
        <w:t xml:space="preserve"> 158279.</w:t>
      </w:r>
    </w:p>
    <w:p w14:paraId="18B8106B" w14:textId="77777777" w:rsidR="00B32AAB" w:rsidRPr="000A6777" w:rsidRDefault="00B32AAB" w:rsidP="000A6777">
      <w:pPr>
        <w:pStyle w:val="EndNoteBibliography"/>
        <w:ind w:left="720" w:hanging="720"/>
        <w:jc w:val="both"/>
        <w:rPr>
          <w:noProof/>
        </w:rPr>
      </w:pPr>
      <w:r w:rsidRPr="000A6777">
        <w:rPr>
          <w:noProof/>
        </w:rPr>
        <w:t xml:space="preserve">Gong, S., Miao, Y., Sun, M., Li, H., Lin, J., Luo, M., Tan, J. (2015) Dynamics and correlation of serum cortisol and corticosterone under different physiological or stressful conditions in mice. </w:t>
      </w:r>
      <w:r w:rsidRPr="000A6777">
        <w:rPr>
          <w:i/>
          <w:noProof/>
        </w:rPr>
        <w:t>Public Library of Science ONE,</w:t>
      </w:r>
      <w:r w:rsidRPr="000A6777">
        <w:rPr>
          <w:noProof/>
        </w:rPr>
        <w:t xml:space="preserve"> 10</w:t>
      </w:r>
      <w:r w:rsidRPr="000A6777">
        <w:rPr>
          <w:b/>
          <w:noProof/>
        </w:rPr>
        <w:t>:</w:t>
      </w:r>
      <w:r w:rsidRPr="000A6777">
        <w:rPr>
          <w:noProof/>
        </w:rPr>
        <w:t xml:space="preserve"> e0117503.</w:t>
      </w:r>
    </w:p>
    <w:p w14:paraId="685A8ED1" w14:textId="77777777" w:rsidR="00B32AAB" w:rsidRPr="000A6777" w:rsidRDefault="00B32AAB" w:rsidP="000A6777">
      <w:pPr>
        <w:pStyle w:val="EndNoteBibliography"/>
        <w:ind w:left="720" w:hanging="720"/>
        <w:jc w:val="both"/>
        <w:rPr>
          <w:noProof/>
        </w:rPr>
      </w:pPr>
      <w:r w:rsidRPr="000A6777">
        <w:rPr>
          <w:noProof/>
        </w:rPr>
        <w:t xml:space="preserve">Goodship, E. A., Lanyon, E. L., McFie, E. H. (1979) Functional adaptation of bone to increased stress. An experimental study. </w:t>
      </w:r>
      <w:r w:rsidRPr="000A6777">
        <w:rPr>
          <w:i/>
          <w:noProof/>
        </w:rPr>
        <w:t>The Journal of Bone and Joint Surgery,</w:t>
      </w:r>
      <w:r w:rsidRPr="000A6777">
        <w:rPr>
          <w:noProof/>
        </w:rPr>
        <w:t xml:space="preserve"> 61</w:t>
      </w:r>
      <w:r w:rsidRPr="000A6777">
        <w:rPr>
          <w:b/>
          <w:noProof/>
        </w:rPr>
        <w:t>:</w:t>
      </w:r>
      <w:r w:rsidRPr="000A6777">
        <w:rPr>
          <w:noProof/>
        </w:rPr>
        <w:t xml:space="preserve"> 539-546.</w:t>
      </w:r>
    </w:p>
    <w:p w14:paraId="7525DFBC" w14:textId="77777777" w:rsidR="00B32AAB" w:rsidRPr="000A6777" w:rsidRDefault="00B32AAB" w:rsidP="000A6777">
      <w:pPr>
        <w:pStyle w:val="EndNoteBibliography"/>
        <w:ind w:left="720" w:hanging="720"/>
        <w:jc w:val="both"/>
        <w:rPr>
          <w:noProof/>
        </w:rPr>
      </w:pPr>
      <w:r w:rsidRPr="000A6777">
        <w:rPr>
          <w:noProof/>
        </w:rPr>
        <w:t xml:space="preserve">Govender, S., Csimma, C., Genant, H. K., Valentin-Opran, A., Amit, Y., Arbel, R., Aro, H., Atar, D., Bishay, M., Börner, M. G., Chiron, P., Choong, P., Cinats, J., Courtenay, B., Feibel, R., Geulette, B., Gravel, C., Haas, N., Raschke, M., Hammacher, E., van Der Velde, D., Hardy, P., Holt, M., Josten, C., Ketterl, R. L., Lindeque, B., Lob, G., Mathevon, H., McCoy, G., Marsh, D., Miller, R., Munting, E., Oevre, S., Nordsletten, L., Patel, A., Pohl, A., Rennie, W., Reynders, P., Rommens, P. M., Rondia, J., Rossouw, W. C., Daneel, P. J., Ruff, S., Rüter, A., Santavirta, S., Schildhauer, T. A., Gekle, C., Schnettler, R., Segal, D., Seiler, H., Snowdowne, R. B., Stapert, J., Taglang, G., Verdonk, R., Vogels, L., Weckbach, A., Wentzensen, A., Wisniewski, T. (2002) Recombinant human bone morphogenetic protein- 2 for treatment of open tibial fractures: a prospective, controlled, randomized study of four hundred and fifty </w:t>
      </w:r>
      <w:r w:rsidRPr="000A6777">
        <w:rPr>
          <w:noProof/>
        </w:rPr>
        <w:lastRenderedPageBreak/>
        <w:t xml:space="preserve">patients. </w:t>
      </w:r>
      <w:r w:rsidR="00D376E0">
        <w:rPr>
          <w:i/>
          <w:noProof/>
        </w:rPr>
        <w:t>The Journal of Bone and Joint S</w:t>
      </w:r>
      <w:r w:rsidRPr="000A6777">
        <w:rPr>
          <w:i/>
          <w:noProof/>
        </w:rPr>
        <w:t>urgery. American volume,</w:t>
      </w:r>
      <w:r w:rsidRPr="000A6777">
        <w:rPr>
          <w:noProof/>
        </w:rPr>
        <w:t xml:space="preserve"> 84-A</w:t>
      </w:r>
      <w:r w:rsidRPr="000A6777">
        <w:rPr>
          <w:b/>
          <w:noProof/>
        </w:rPr>
        <w:t>:</w:t>
      </w:r>
      <w:r w:rsidRPr="000A6777">
        <w:rPr>
          <w:noProof/>
        </w:rPr>
        <w:t xml:space="preserve"> 2123-2134.</w:t>
      </w:r>
    </w:p>
    <w:p w14:paraId="49051A25" w14:textId="77777777" w:rsidR="00B32AAB" w:rsidRPr="000A6777" w:rsidRDefault="00B32AAB" w:rsidP="000A6777">
      <w:pPr>
        <w:pStyle w:val="EndNoteBibliography"/>
        <w:ind w:left="720" w:hanging="720"/>
        <w:jc w:val="both"/>
        <w:rPr>
          <w:noProof/>
        </w:rPr>
      </w:pPr>
      <w:r w:rsidRPr="000A6777">
        <w:rPr>
          <w:noProof/>
        </w:rPr>
        <w:t xml:space="preserve">Govoni, K. E. (2012) Insulin-like growth factor-I molecular pathways in osteoblasts: potential targets for pharmacological manipulation. </w:t>
      </w:r>
      <w:r w:rsidRPr="000A6777">
        <w:rPr>
          <w:i/>
          <w:noProof/>
        </w:rPr>
        <w:t>Current Molecular Pharmacology,</w:t>
      </w:r>
      <w:r w:rsidRPr="000A6777">
        <w:rPr>
          <w:noProof/>
        </w:rPr>
        <w:t xml:space="preserve"> 5(2)</w:t>
      </w:r>
      <w:r w:rsidRPr="000A6777">
        <w:rPr>
          <w:b/>
          <w:noProof/>
        </w:rPr>
        <w:t>:</w:t>
      </w:r>
      <w:r w:rsidRPr="000A6777">
        <w:rPr>
          <w:noProof/>
        </w:rPr>
        <w:t xml:space="preserve"> 143-152.</w:t>
      </w:r>
    </w:p>
    <w:p w14:paraId="63C8D82D" w14:textId="77777777" w:rsidR="00B32AAB" w:rsidRPr="000A6777" w:rsidRDefault="00B32AAB" w:rsidP="000A6777">
      <w:pPr>
        <w:pStyle w:val="EndNoteBibliography"/>
        <w:ind w:left="720" w:hanging="720"/>
        <w:jc w:val="both"/>
        <w:rPr>
          <w:noProof/>
        </w:rPr>
      </w:pPr>
      <w:r w:rsidRPr="000A6777">
        <w:rPr>
          <w:noProof/>
        </w:rPr>
        <w:t xml:space="preserve">Greenman, Y., Golani, N., Gilad, S., Yaron, M., Limor, R., Stern, N. (2004) Ghrelin secretion is modulated in a nutrient- and gender- specific manner. </w:t>
      </w:r>
      <w:r w:rsidR="00FB4761">
        <w:rPr>
          <w:i/>
          <w:noProof/>
        </w:rPr>
        <w:t>Clinical E</w:t>
      </w:r>
      <w:r w:rsidRPr="000A6777">
        <w:rPr>
          <w:i/>
          <w:noProof/>
        </w:rPr>
        <w:t>ndocrinology,</w:t>
      </w:r>
      <w:r w:rsidRPr="000A6777">
        <w:rPr>
          <w:noProof/>
        </w:rPr>
        <w:t xml:space="preserve"> 60</w:t>
      </w:r>
      <w:r w:rsidRPr="000A6777">
        <w:rPr>
          <w:b/>
          <w:noProof/>
        </w:rPr>
        <w:t>:</w:t>
      </w:r>
      <w:r w:rsidRPr="000A6777">
        <w:rPr>
          <w:noProof/>
        </w:rPr>
        <w:t xml:space="preserve"> 382-388.</w:t>
      </w:r>
    </w:p>
    <w:p w14:paraId="2B1A3547" w14:textId="77777777" w:rsidR="00B32AAB" w:rsidRPr="000A6777" w:rsidRDefault="00B32AAB" w:rsidP="000A6777">
      <w:pPr>
        <w:pStyle w:val="EndNoteBibliography"/>
        <w:ind w:left="720" w:hanging="720"/>
        <w:jc w:val="both"/>
        <w:rPr>
          <w:noProof/>
        </w:rPr>
      </w:pPr>
      <w:r w:rsidRPr="000A6777">
        <w:rPr>
          <w:noProof/>
        </w:rPr>
        <w:t xml:space="preserve">Greenspan, S. L., Bone, H. G., Ettinger, M. P., Hanley, D. A., Lindsay, R., Zanchetta, J. R., Blosch, C. M., Mathisen, A. L., Morris, S. A., Marriott, T. B. (2007) Effect of recombinant human parathyroid hormone (1-84) on vertebral fracture and bone mineral density in postmenopausal women with osteoporosis: a randomized trial. </w:t>
      </w:r>
      <w:r w:rsidR="00FB4761">
        <w:rPr>
          <w:i/>
          <w:noProof/>
        </w:rPr>
        <w:t>Annals of Internal M</w:t>
      </w:r>
      <w:r w:rsidRPr="000A6777">
        <w:rPr>
          <w:i/>
          <w:noProof/>
        </w:rPr>
        <w:t>edicine,</w:t>
      </w:r>
      <w:r w:rsidRPr="000A6777">
        <w:rPr>
          <w:noProof/>
        </w:rPr>
        <w:t xml:space="preserve"> 146</w:t>
      </w:r>
      <w:r w:rsidRPr="000A6777">
        <w:rPr>
          <w:b/>
          <w:noProof/>
        </w:rPr>
        <w:t>:</w:t>
      </w:r>
      <w:r w:rsidRPr="000A6777">
        <w:rPr>
          <w:noProof/>
        </w:rPr>
        <w:t xml:space="preserve"> 326-329.</w:t>
      </w:r>
    </w:p>
    <w:p w14:paraId="277AB318" w14:textId="77777777" w:rsidR="00B32AAB" w:rsidRPr="000A6777" w:rsidRDefault="00B32AAB" w:rsidP="000A6777">
      <w:pPr>
        <w:pStyle w:val="EndNoteBibliography"/>
        <w:ind w:left="720" w:hanging="720"/>
        <w:jc w:val="both"/>
        <w:rPr>
          <w:noProof/>
        </w:rPr>
      </w:pPr>
      <w:r w:rsidRPr="000A6777">
        <w:rPr>
          <w:noProof/>
        </w:rPr>
        <w:t xml:space="preserve">Gross, T. S., Srinivasan, S., Liu, C. C., Clemens, T. L., Bain, S. D. (2002) Noninvasive loading of the murine tibia: an in vivo model for the study of mechanotransduction. </w:t>
      </w:r>
      <w:r w:rsidRPr="000A6777">
        <w:rPr>
          <w:i/>
          <w:noProof/>
        </w:rPr>
        <w:t>Journal of  Bone and Mineral Research,</w:t>
      </w:r>
      <w:r w:rsidRPr="000A6777">
        <w:rPr>
          <w:noProof/>
        </w:rPr>
        <w:t xml:space="preserve"> 17</w:t>
      </w:r>
      <w:r w:rsidRPr="000A6777">
        <w:rPr>
          <w:b/>
          <w:noProof/>
        </w:rPr>
        <w:t>:</w:t>
      </w:r>
      <w:r w:rsidRPr="000A6777">
        <w:rPr>
          <w:noProof/>
        </w:rPr>
        <w:t xml:space="preserve"> 493-501.</w:t>
      </w:r>
    </w:p>
    <w:p w14:paraId="29357271" w14:textId="77777777" w:rsidR="00B32AAB" w:rsidRPr="000A6777" w:rsidRDefault="00B32AAB" w:rsidP="000A6777">
      <w:pPr>
        <w:pStyle w:val="EndNoteBibliography"/>
        <w:ind w:left="720" w:hanging="720"/>
        <w:jc w:val="both"/>
        <w:rPr>
          <w:noProof/>
        </w:rPr>
      </w:pPr>
      <w:r w:rsidRPr="000A6777">
        <w:rPr>
          <w:noProof/>
        </w:rPr>
        <w:t xml:space="preserve">Grundleger, M. L., Godbole, V. Y., Thenen, S. W. (1980) Age-dependent development of insulin resistance of soleus muscle in genetically obese (ob/ob) mice. </w:t>
      </w:r>
      <w:r w:rsidRPr="000A6777">
        <w:rPr>
          <w:i/>
          <w:noProof/>
        </w:rPr>
        <w:t>American Journal of Physiology - Endocrinology and Metabolism,</w:t>
      </w:r>
      <w:r w:rsidRPr="000A6777">
        <w:rPr>
          <w:noProof/>
        </w:rPr>
        <w:t xml:space="preserve"> 2</w:t>
      </w:r>
      <w:r w:rsidRPr="000A6777">
        <w:rPr>
          <w:b/>
          <w:noProof/>
        </w:rPr>
        <w:t>:</w:t>
      </w:r>
      <w:r w:rsidRPr="000A6777">
        <w:rPr>
          <w:noProof/>
        </w:rPr>
        <w:t xml:space="preserve"> E363-E371.</w:t>
      </w:r>
    </w:p>
    <w:p w14:paraId="027420E9" w14:textId="77777777" w:rsidR="00B32AAB" w:rsidRPr="000A6777" w:rsidRDefault="00B32AAB" w:rsidP="000A6777">
      <w:pPr>
        <w:pStyle w:val="EndNoteBibliography"/>
        <w:ind w:left="720" w:hanging="720"/>
        <w:jc w:val="both"/>
        <w:rPr>
          <w:noProof/>
        </w:rPr>
      </w:pPr>
      <w:r w:rsidRPr="000A6777">
        <w:rPr>
          <w:noProof/>
        </w:rPr>
        <w:t xml:space="preserve">Grynpas, M. D., Omelon, S. (2007) Transient precursor strategy or very small biological apatite crystals? </w:t>
      </w:r>
      <w:r w:rsidRPr="000A6777">
        <w:rPr>
          <w:i/>
          <w:noProof/>
        </w:rPr>
        <w:t>Bone,</w:t>
      </w:r>
      <w:r w:rsidRPr="000A6777">
        <w:rPr>
          <w:noProof/>
        </w:rPr>
        <w:t xml:space="preserve"> 41</w:t>
      </w:r>
      <w:r w:rsidRPr="000A6777">
        <w:rPr>
          <w:b/>
          <w:noProof/>
        </w:rPr>
        <w:t>:</w:t>
      </w:r>
      <w:r w:rsidRPr="000A6777">
        <w:rPr>
          <w:noProof/>
        </w:rPr>
        <w:t xml:space="preserve"> 162-164.</w:t>
      </w:r>
    </w:p>
    <w:p w14:paraId="3C1F458A" w14:textId="77777777" w:rsidR="00B32AAB" w:rsidRPr="000A6777" w:rsidRDefault="00B32AAB" w:rsidP="000A6777">
      <w:pPr>
        <w:pStyle w:val="EndNoteBibliography"/>
        <w:ind w:left="720" w:hanging="720"/>
        <w:jc w:val="both"/>
        <w:rPr>
          <w:noProof/>
        </w:rPr>
      </w:pPr>
      <w:r w:rsidRPr="000A6777">
        <w:rPr>
          <w:noProof/>
        </w:rPr>
        <w:t xml:space="preserve">Guntur, A. R., Rosen, C. J. (2012) Bone as an Endocrine Organ. </w:t>
      </w:r>
      <w:r w:rsidRPr="000A6777">
        <w:rPr>
          <w:i/>
          <w:noProof/>
        </w:rPr>
        <w:t>Endocrine Practice,</w:t>
      </w:r>
      <w:r w:rsidRPr="000A6777">
        <w:rPr>
          <w:noProof/>
        </w:rPr>
        <w:t xml:space="preserve"> 18(5)</w:t>
      </w:r>
      <w:r w:rsidRPr="000A6777">
        <w:rPr>
          <w:b/>
          <w:noProof/>
        </w:rPr>
        <w:t>:</w:t>
      </w:r>
      <w:r w:rsidRPr="000A6777">
        <w:rPr>
          <w:noProof/>
        </w:rPr>
        <w:t xml:space="preserve"> 758-762.</w:t>
      </w:r>
    </w:p>
    <w:p w14:paraId="16BB9023" w14:textId="77777777" w:rsidR="00B32AAB" w:rsidRPr="000A6777" w:rsidRDefault="00B32AAB" w:rsidP="000A6777">
      <w:pPr>
        <w:pStyle w:val="EndNoteBibliography"/>
        <w:ind w:left="720" w:hanging="720"/>
        <w:jc w:val="both"/>
        <w:rPr>
          <w:noProof/>
        </w:rPr>
      </w:pPr>
      <w:r w:rsidRPr="000A6777">
        <w:rPr>
          <w:noProof/>
        </w:rPr>
        <w:t xml:space="preserve">Haapasalo, H., Kontulainen, S., Slevanen, H., Kannus, P., Jarvinen, M., Vuori, I. (2000) Exercise-induced bone gain is due to enlargement in bone size without a change in volumetric bone density: a peripheral quantitative computed tomography study of the upper arms of male tennis players. </w:t>
      </w:r>
      <w:r w:rsidRPr="000A6777">
        <w:rPr>
          <w:i/>
          <w:noProof/>
        </w:rPr>
        <w:t>Bone,</w:t>
      </w:r>
      <w:r w:rsidRPr="000A6777">
        <w:rPr>
          <w:noProof/>
        </w:rPr>
        <w:t xml:space="preserve"> 27</w:t>
      </w:r>
      <w:r w:rsidRPr="000A6777">
        <w:rPr>
          <w:b/>
          <w:noProof/>
        </w:rPr>
        <w:t>:</w:t>
      </w:r>
      <w:r w:rsidRPr="000A6777">
        <w:rPr>
          <w:noProof/>
        </w:rPr>
        <w:t xml:space="preserve"> 351-357.</w:t>
      </w:r>
    </w:p>
    <w:p w14:paraId="34954065" w14:textId="77777777" w:rsidR="00B32AAB" w:rsidRPr="000A6777" w:rsidRDefault="00B32AAB" w:rsidP="000A6777">
      <w:pPr>
        <w:pStyle w:val="EndNoteBibliography"/>
        <w:ind w:left="720" w:hanging="720"/>
        <w:jc w:val="both"/>
        <w:rPr>
          <w:noProof/>
        </w:rPr>
      </w:pPr>
      <w:r w:rsidRPr="000A6777">
        <w:rPr>
          <w:noProof/>
        </w:rPr>
        <w:t xml:space="preserve">Haderslev, K. V., Jeppesen, P. B., Hartmann, B., Thulesen, J., Sorensen, H. A., Graff, J., Hansen, B. S., Tofteng, F., Poulsen, S. S., Madsen, J. L., Holst, J. J., Staun, N., Mortensen, P. B. (2002) Short-term administration of glucagon-like peptide-2. Effects on bone mineral density and markers of bone turnover in short-bowel patients with no colon. </w:t>
      </w:r>
      <w:r w:rsidRPr="000A6777">
        <w:rPr>
          <w:i/>
          <w:noProof/>
        </w:rPr>
        <w:t>Scandinavian Journal of Gastroenterology,</w:t>
      </w:r>
      <w:r w:rsidRPr="000A6777">
        <w:rPr>
          <w:noProof/>
        </w:rPr>
        <w:t xml:space="preserve"> 37</w:t>
      </w:r>
      <w:r w:rsidRPr="000A6777">
        <w:rPr>
          <w:b/>
          <w:noProof/>
        </w:rPr>
        <w:t>:</w:t>
      </w:r>
      <w:r w:rsidRPr="000A6777">
        <w:rPr>
          <w:noProof/>
        </w:rPr>
        <w:t xml:space="preserve"> 392-398.</w:t>
      </w:r>
    </w:p>
    <w:p w14:paraId="5CD42693" w14:textId="77777777" w:rsidR="00B32AAB" w:rsidRPr="000A6777" w:rsidRDefault="00FB4761" w:rsidP="000A6777">
      <w:pPr>
        <w:pStyle w:val="EndNoteBibliography"/>
        <w:ind w:left="720" w:hanging="720"/>
        <w:jc w:val="both"/>
        <w:rPr>
          <w:noProof/>
        </w:rPr>
      </w:pPr>
      <w:r>
        <w:rPr>
          <w:noProof/>
        </w:rPr>
        <w:t>Hadjidakis, D., Androulakis, I.</w:t>
      </w:r>
      <w:r w:rsidR="00B32AAB" w:rsidRPr="000A6777">
        <w:rPr>
          <w:noProof/>
        </w:rPr>
        <w:t xml:space="preserve"> (2006) Bone remodeling. </w:t>
      </w:r>
      <w:r w:rsidR="00B32AAB" w:rsidRPr="000A6777">
        <w:rPr>
          <w:i/>
          <w:noProof/>
        </w:rPr>
        <w:t>Ann</w:t>
      </w:r>
      <w:r>
        <w:rPr>
          <w:i/>
          <w:noProof/>
        </w:rPr>
        <w:t xml:space="preserve">als of the </w:t>
      </w:r>
      <w:r w:rsidR="00B32AAB" w:rsidRPr="000A6777">
        <w:rPr>
          <w:i/>
          <w:noProof/>
        </w:rPr>
        <w:t>N</w:t>
      </w:r>
      <w:r>
        <w:rPr>
          <w:i/>
          <w:noProof/>
        </w:rPr>
        <w:t xml:space="preserve">ew </w:t>
      </w:r>
      <w:r w:rsidR="00B32AAB" w:rsidRPr="000A6777">
        <w:rPr>
          <w:i/>
          <w:noProof/>
        </w:rPr>
        <w:t>Y</w:t>
      </w:r>
      <w:r>
        <w:rPr>
          <w:i/>
          <w:noProof/>
        </w:rPr>
        <w:t>ork Academy of Sciences</w:t>
      </w:r>
      <w:r w:rsidR="00B32AAB" w:rsidRPr="000A6777">
        <w:rPr>
          <w:i/>
          <w:noProof/>
        </w:rPr>
        <w:t>,</w:t>
      </w:r>
      <w:r w:rsidR="00B32AAB" w:rsidRPr="000A6777">
        <w:rPr>
          <w:noProof/>
        </w:rPr>
        <w:t xml:space="preserve"> 1092</w:t>
      </w:r>
      <w:r w:rsidR="00B32AAB" w:rsidRPr="000A6777">
        <w:rPr>
          <w:b/>
          <w:noProof/>
        </w:rPr>
        <w:t>:</w:t>
      </w:r>
      <w:r w:rsidR="00B32AAB" w:rsidRPr="000A6777">
        <w:rPr>
          <w:noProof/>
        </w:rPr>
        <w:t xml:space="preserve"> 385-396.</w:t>
      </w:r>
    </w:p>
    <w:p w14:paraId="51D8C4F8" w14:textId="77777777" w:rsidR="00B32AAB" w:rsidRPr="000A6777" w:rsidRDefault="00B32AAB" w:rsidP="000A6777">
      <w:pPr>
        <w:pStyle w:val="EndNoteBibliography"/>
        <w:ind w:left="720" w:hanging="720"/>
        <w:jc w:val="both"/>
        <w:rPr>
          <w:noProof/>
        </w:rPr>
      </w:pPr>
      <w:r w:rsidRPr="000A6777">
        <w:rPr>
          <w:noProof/>
        </w:rPr>
        <w:lastRenderedPageBreak/>
        <w:t xml:space="preserve">Hagino, H., Okano, T., Akhter, M. P., Enokida, M., Teshima, R. (2001) Effect of parathyroid hormone on cortical bone response to in vivo external loading of the rat tibia. </w:t>
      </w:r>
      <w:r w:rsidRPr="000A6777">
        <w:rPr>
          <w:i/>
          <w:noProof/>
        </w:rPr>
        <w:t>Journal of Bone and Mineral Metabolism,</w:t>
      </w:r>
      <w:r w:rsidRPr="000A6777">
        <w:rPr>
          <w:noProof/>
        </w:rPr>
        <w:t xml:space="preserve"> 19</w:t>
      </w:r>
      <w:r w:rsidRPr="000A6777">
        <w:rPr>
          <w:b/>
          <w:noProof/>
        </w:rPr>
        <w:t>:</w:t>
      </w:r>
      <w:r w:rsidRPr="000A6777">
        <w:rPr>
          <w:noProof/>
        </w:rPr>
        <w:t xml:space="preserve"> 244-250.</w:t>
      </w:r>
    </w:p>
    <w:p w14:paraId="040949B2" w14:textId="77777777" w:rsidR="00B32AAB" w:rsidRPr="000A6777" w:rsidRDefault="00B32AAB" w:rsidP="000A6777">
      <w:pPr>
        <w:pStyle w:val="EndNoteBibliography"/>
        <w:ind w:left="720" w:hanging="720"/>
        <w:jc w:val="both"/>
        <w:rPr>
          <w:noProof/>
        </w:rPr>
      </w:pPr>
      <w:r w:rsidRPr="000A6777">
        <w:rPr>
          <w:noProof/>
        </w:rPr>
        <w:t xml:space="preserve">Halberg, F., Albrecht, P. G., Bittner, J. J. (1959) Corticosterone rhythm of mouse adrenal in relation to serum corticosterone and sampling. </w:t>
      </w:r>
      <w:r w:rsidR="00E4497C">
        <w:rPr>
          <w:i/>
          <w:noProof/>
        </w:rPr>
        <w:t>The American Journal of P</w:t>
      </w:r>
      <w:r w:rsidRPr="000A6777">
        <w:rPr>
          <w:i/>
          <w:noProof/>
        </w:rPr>
        <w:t>hysiology,</w:t>
      </w:r>
      <w:r w:rsidRPr="000A6777">
        <w:rPr>
          <w:noProof/>
        </w:rPr>
        <w:t xml:space="preserve"> 197</w:t>
      </w:r>
      <w:r w:rsidRPr="000A6777">
        <w:rPr>
          <w:b/>
          <w:noProof/>
        </w:rPr>
        <w:t>:</w:t>
      </w:r>
      <w:r w:rsidRPr="000A6777">
        <w:rPr>
          <w:noProof/>
        </w:rPr>
        <w:t xml:space="preserve"> 1083-1085.</w:t>
      </w:r>
    </w:p>
    <w:p w14:paraId="735CDED8" w14:textId="77777777" w:rsidR="00B32AAB" w:rsidRPr="000A6777" w:rsidRDefault="00B32AAB" w:rsidP="000A6777">
      <w:pPr>
        <w:pStyle w:val="EndNoteBibliography"/>
        <w:ind w:left="720" w:hanging="720"/>
        <w:jc w:val="both"/>
        <w:rPr>
          <w:noProof/>
        </w:rPr>
      </w:pPr>
      <w:r w:rsidRPr="000A6777">
        <w:rPr>
          <w:noProof/>
        </w:rPr>
        <w:t xml:space="preserve">Hameed, M., Orrell, R. W., Cubbold, M., Goldspink, G., Harridge, S. D. R. (2003) Expression of IGF- I splice variants in young and old human skeletal muscle after high resistance exercise. </w:t>
      </w:r>
      <w:r w:rsidRPr="000A6777">
        <w:rPr>
          <w:i/>
          <w:noProof/>
        </w:rPr>
        <w:t>Journal of Physiology,</w:t>
      </w:r>
      <w:r w:rsidRPr="000A6777">
        <w:rPr>
          <w:noProof/>
        </w:rPr>
        <w:t xml:space="preserve"> 547</w:t>
      </w:r>
      <w:r w:rsidRPr="000A6777">
        <w:rPr>
          <w:b/>
          <w:noProof/>
        </w:rPr>
        <w:t>:</w:t>
      </w:r>
      <w:r w:rsidRPr="000A6777">
        <w:rPr>
          <w:noProof/>
        </w:rPr>
        <w:t xml:space="preserve"> 247-254.</w:t>
      </w:r>
    </w:p>
    <w:p w14:paraId="4CDDF29D" w14:textId="77777777" w:rsidR="00B32AAB" w:rsidRPr="000A6777" w:rsidRDefault="00B32AAB" w:rsidP="000A6777">
      <w:pPr>
        <w:pStyle w:val="EndNoteBibliography"/>
        <w:ind w:left="720" w:hanging="720"/>
        <w:jc w:val="both"/>
        <w:rPr>
          <w:noProof/>
        </w:rPr>
      </w:pPr>
      <w:r w:rsidRPr="000A6777">
        <w:rPr>
          <w:noProof/>
        </w:rPr>
        <w:t>Hameed, M., Toft, A. D., Pedersen, B. K., Harridge, S. D. R., Goldspink, G. (2008) Effects of eccentric cycling exercise on IGF</w:t>
      </w:r>
      <w:r w:rsidRPr="000A6777">
        <w:rPr>
          <w:rFonts w:ascii="American Typewriter Condensed" w:hAnsi="American Typewriter Condensed" w:cs="American Typewriter Condensed"/>
          <w:noProof/>
        </w:rPr>
        <w:t>‐</w:t>
      </w:r>
      <w:r w:rsidRPr="000A6777">
        <w:rPr>
          <w:noProof/>
        </w:rPr>
        <w:t xml:space="preserve"> I splice variant expression in the muscles of young and elderly people. </w:t>
      </w:r>
      <w:r w:rsidRPr="000A6777">
        <w:rPr>
          <w:i/>
          <w:noProof/>
        </w:rPr>
        <w:t>Scandinavian Journal of Medicine and Science in Sports,</w:t>
      </w:r>
      <w:r w:rsidRPr="000A6777">
        <w:rPr>
          <w:noProof/>
        </w:rPr>
        <w:t xml:space="preserve"> 18</w:t>
      </w:r>
      <w:r w:rsidRPr="000A6777">
        <w:rPr>
          <w:b/>
          <w:noProof/>
        </w:rPr>
        <w:t>:</w:t>
      </w:r>
      <w:r w:rsidRPr="000A6777">
        <w:rPr>
          <w:noProof/>
        </w:rPr>
        <w:t xml:space="preserve"> 447-452.</w:t>
      </w:r>
    </w:p>
    <w:p w14:paraId="79B14B78" w14:textId="77777777" w:rsidR="00B32AAB" w:rsidRPr="000A6777" w:rsidRDefault="00B32AAB" w:rsidP="000A6777">
      <w:pPr>
        <w:pStyle w:val="EndNoteBibliography"/>
        <w:ind w:left="720" w:hanging="720"/>
        <w:jc w:val="both"/>
        <w:rPr>
          <w:noProof/>
        </w:rPr>
      </w:pPr>
      <w:r w:rsidRPr="000A6777">
        <w:rPr>
          <w:noProof/>
        </w:rPr>
        <w:t xml:space="preserve">Hamilton, B., S.,, Paglia, D., Kwan, A. Y. M., Deitel, M. (1995) Increased obese mRNA expression in omental fat cells from massively obese humans. </w:t>
      </w:r>
      <w:r w:rsidRPr="000A6777">
        <w:rPr>
          <w:i/>
          <w:noProof/>
        </w:rPr>
        <w:t>Nature Medicine,</w:t>
      </w:r>
      <w:r w:rsidRPr="000A6777">
        <w:rPr>
          <w:noProof/>
        </w:rPr>
        <w:t xml:space="preserve"> 1</w:t>
      </w:r>
      <w:r w:rsidRPr="000A6777">
        <w:rPr>
          <w:b/>
          <w:noProof/>
        </w:rPr>
        <w:t>:</w:t>
      </w:r>
      <w:r w:rsidRPr="000A6777">
        <w:rPr>
          <w:noProof/>
        </w:rPr>
        <w:t xml:space="preserve"> 953-956.</w:t>
      </w:r>
    </w:p>
    <w:p w14:paraId="21A94404" w14:textId="77777777" w:rsidR="00B32AAB" w:rsidRPr="000A6777" w:rsidRDefault="00B32AAB" w:rsidP="000A6777">
      <w:pPr>
        <w:pStyle w:val="EndNoteBibliography"/>
        <w:ind w:left="720" w:hanging="720"/>
        <w:jc w:val="both"/>
        <w:rPr>
          <w:noProof/>
        </w:rPr>
      </w:pPr>
      <w:r w:rsidRPr="000A6777">
        <w:rPr>
          <w:noProof/>
        </w:rPr>
        <w:t xml:space="preserve">Hamrick, M., Ding, K. H., Ponnala, S., Ferrari, S., Isales, C. (2008a) Caloric Restriction Decreases Cortical Bone Mass but Spares Trabecular Bone in the Mouse Skeleton: Implications for the Regulation of Bone Mass by Body Weight. </w:t>
      </w:r>
      <w:r w:rsidRPr="000A6777">
        <w:rPr>
          <w:i/>
          <w:noProof/>
        </w:rPr>
        <w:t>Journal of Bone and Mineral Research,</w:t>
      </w:r>
      <w:r w:rsidRPr="000A6777">
        <w:rPr>
          <w:noProof/>
        </w:rPr>
        <w:t xml:space="preserve"> 23</w:t>
      </w:r>
      <w:r w:rsidRPr="000A6777">
        <w:rPr>
          <w:b/>
          <w:noProof/>
        </w:rPr>
        <w:t>:</w:t>
      </w:r>
      <w:r w:rsidRPr="000A6777">
        <w:rPr>
          <w:noProof/>
        </w:rPr>
        <w:t xml:space="preserve"> 870-878.</w:t>
      </w:r>
    </w:p>
    <w:p w14:paraId="75A30605" w14:textId="77777777" w:rsidR="00B32AAB" w:rsidRPr="000A6777" w:rsidRDefault="00B32AAB" w:rsidP="000A6777">
      <w:pPr>
        <w:pStyle w:val="EndNoteBibliography"/>
        <w:ind w:left="720" w:hanging="720"/>
        <w:jc w:val="both"/>
        <w:rPr>
          <w:noProof/>
        </w:rPr>
      </w:pPr>
      <w:r w:rsidRPr="000A6777">
        <w:rPr>
          <w:noProof/>
        </w:rPr>
        <w:t xml:space="preserve">Hamrick, M. W., Ferrari, S. L., Hamrick, S. L. (2008b) Leptin and the sympathetic connection of fat to bone. </w:t>
      </w:r>
      <w:r w:rsidR="00E4497C">
        <w:rPr>
          <w:i/>
          <w:noProof/>
        </w:rPr>
        <w:t>Osteoporosis Internationa</w:t>
      </w:r>
      <w:r w:rsidRPr="000A6777">
        <w:rPr>
          <w:i/>
          <w:noProof/>
        </w:rPr>
        <w:t>l,</w:t>
      </w:r>
      <w:r w:rsidRPr="000A6777">
        <w:rPr>
          <w:noProof/>
        </w:rPr>
        <w:t xml:space="preserve"> 19</w:t>
      </w:r>
      <w:r w:rsidRPr="000A6777">
        <w:rPr>
          <w:b/>
          <w:noProof/>
        </w:rPr>
        <w:t>:</w:t>
      </w:r>
      <w:r w:rsidRPr="000A6777">
        <w:rPr>
          <w:noProof/>
        </w:rPr>
        <w:t xml:space="preserve"> 905-912.</w:t>
      </w:r>
    </w:p>
    <w:p w14:paraId="0A2AF358" w14:textId="77777777" w:rsidR="00B32AAB" w:rsidRPr="000A6777" w:rsidRDefault="00B32AAB" w:rsidP="000A6777">
      <w:pPr>
        <w:pStyle w:val="EndNoteBibliography"/>
        <w:ind w:left="720" w:hanging="720"/>
        <w:jc w:val="both"/>
        <w:rPr>
          <w:noProof/>
        </w:rPr>
      </w:pPr>
      <w:r w:rsidRPr="000A6777">
        <w:rPr>
          <w:noProof/>
        </w:rPr>
        <w:t xml:space="preserve">Han, Y., Cowin, S. C., Weinbaum, S., Schaffler, M. B. (2004) Mechanotransduction and strain amplification in osteocyte cell processes. </w:t>
      </w:r>
      <w:r w:rsidRPr="000A6777">
        <w:rPr>
          <w:i/>
          <w:noProof/>
        </w:rPr>
        <w:t>Proceedings of the National Academy of Sciences of the United States of America,</w:t>
      </w:r>
      <w:r w:rsidRPr="000A6777">
        <w:rPr>
          <w:noProof/>
        </w:rPr>
        <w:t xml:space="preserve"> 101</w:t>
      </w:r>
      <w:r w:rsidRPr="000A6777">
        <w:rPr>
          <w:b/>
          <w:noProof/>
        </w:rPr>
        <w:t>:</w:t>
      </w:r>
      <w:r w:rsidRPr="000A6777">
        <w:rPr>
          <w:noProof/>
        </w:rPr>
        <w:t xml:space="preserve"> 16689-16694.</w:t>
      </w:r>
    </w:p>
    <w:p w14:paraId="2CC61E75" w14:textId="77777777" w:rsidR="00B32AAB" w:rsidRPr="000A6777" w:rsidRDefault="00B32AAB" w:rsidP="000A6777">
      <w:pPr>
        <w:pStyle w:val="EndNoteBibliography"/>
        <w:ind w:left="720" w:hanging="720"/>
        <w:jc w:val="both"/>
        <w:rPr>
          <w:noProof/>
        </w:rPr>
      </w:pPr>
      <w:r w:rsidRPr="000A6777">
        <w:rPr>
          <w:noProof/>
        </w:rPr>
        <w:t xml:space="preserve">Harris, S. B., Gunion, M. W., Rosenthal, M. J., Walford, R. L. (1994) Serum glucose, glucose tolerance, corticosterone and free fatty acids during aging in energy restricted mice. </w:t>
      </w:r>
      <w:r w:rsidRPr="000A6777">
        <w:rPr>
          <w:i/>
          <w:noProof/>
        </w:rPr>
        <w:t>Mechanisms of Ageing and Development,</w:t>
      </w:r>
      <w:r w:rsidRPr="000A6777">
        <w:rPr>
          <w:noProof/>
        </w:rPr>
        <w:t xml:space="preserve"> 73</w:t>
      </w:r>
      <w:r w:rsidRPr="000A6777">
        <w:rPr>
          <w:b/>
          <w:noProof/>
        </w:rPr>
        <w:t>:</w:t>
      </w:r>
      <w:r w:rsidRPr="000A6777">
        <w:rPr>
          <w:noProof/>
        </w:rPr>
        <w:t xml:space="preserve"> 209-221.</w:t>
      </w:r>
    </w:p>
    <w:p w14:paraId="478B3DC7" w14:textId="77777777" w:rsidR="00B32AAB" w:rsidRPr="000A6777" w:rsidRDefault="00B32AAB" w:rsidP="000A6777">
      <w:pPr>
        <w:pStyle w:val="EndNoteBibliography"/>
        <w:ind w:left="720" w:hanging="720"/>
        <w:jc w:val="both"/>
        <w:rPr>
          <w:noProof/>
        </w:rPr>
      </w:pPr>
      <w:r w:rsidRPr="000A6777">
        <w:rPr>
          <w:noProof/>
        </w:rPr>
        <w:t xml:space="preserve">Hartman, J., Tang, J., Wilkinson, S., Tarnopolsky, M. (2007) Consumption of fat- free fluid milk after resistance exercise promotes greater lean mass accretion than does consumption of soy or carbohydrate in young, novice, male weightlifters. </w:t>
      </w:r>
      <w:r w:rsidR="00E4497C">
        <w:rPr>
          <w:i/>
          <w:noProof/>
        </w:rPr>
        <w:t>The American Journal of Clinical N</w:t>
      </w:r>
      <w:r w:rsidRPr="000A6777">
        <w:rPr>
          <w:i/>
          <w:noProof/>
        </w:rPr>
        <w:t>utrition,</w:t>
      </w:r>
      <w:r w:rsidRPr="000A6777">
        <w:rPr>
          <w:noProof/>
        </w:rPr>
        <w:t xml:space="preserve"> 86</w:t>
      </w:r>
      <w:r w:rsidRPr="000A6777">
        <w:rPr>
          <w:b/>
          <w:noProof/>
        </w:rPr>
        <w:t>:</w:t>
      </w:r>
      <w:r w:rsidRPr="000A6777">
        <w:rPr>
          <w:noProof/>
        </w:rPr>
        <w:t xml:space="preserve"> 373-381.</w:t>
      </w:r>
    </w:p>
    <w:p w14:paraId="43CDDBE0" w14:textId="77777777" w:rsidR="00B32AAB" w:rsidRPr="000A6777" w:rsidRDefault="00B32AAB" w:rsidP="000A6777">
      <w:pPr>
        <w:pStyle w:val="EndNoteBibliography"/>
        <w:ind w:left="720" w:hanging="720"/>
        <w:jc w:val="both"/>
        <w:rPr>
          <w:noProof/>
        </w:rPr>
      </w:pPr>
      <w:r w:rsidRPr="000A6777">
        <w:rPr>
          <w:noProof/>
        </w:rPr>
        <w:t xml:space="preserve">Hatori, M., Vollmers, C., Zarrinpar, A., DiTacchio, L., Bushong, E. A., Gill, S., Leblanc, M., Chaix, A., Joens, M., Fitzpatrick, J. A. J., Ellisman, M. H., Panda, S. (2012) Time- </w:t>
      </w:r>
      <w:r w:rsidRPr="000A6777">
        <w:rPr>
          <w:noProof/>
        </w:rPr>
        <w:lastRenderedPageBreak/>
        <w:t xml:space="preserve">Restricted Feeding without Reducing Caloric Intake Prevents Metabolic Diseases in Mice Fed a High- Fat Diet. </w:t>
      </w:r>
      <w:r w:rsidR="00E4497C">
        <w:rPr>
          <w:i/>
          <w:noProof/>
        </w:rPr>
        <w:t>Cell M</w:t>
      </w:r>
      <w:r w:rsidRPr="000A6777">
        <w:rPr>
          <w:i/>
          <w:noProof/>
        </w:rPr>
        <w:t>etabolism,</w:t>
      </w:r>
      <w:r w:rsidRPr="000A6777">
        <w:rPr>
          <w:noProof/>
        </w:rPr>
        <w:t xml:space="preserve"> 15</w:t>
      </w:r>
      <w:r w:rsidRPr="000A6777">
        <w:rPr>
          <w:b/>
          <w:noProof/>
        </w:rPr>
        <w:t>:</w:t>
      </w:r>
      <w:r w:rsidRPr="000A6777">
        <w:rPr>
          <w:noProof/>
        </w:rPr>
        <w:t xml:space="preserve"> 848-860.</w:t>
      </w:r>
    </w:p>
    <w:p w14:paraId="4B78FF62" w14:textId="77777777" w:rsidR="00B32AAB" w:rsidRPr="000A6777" w:rsidRDefault="00B32AAB" w:rsidP="000A6777">
      <w:pPr>
        <w:pStyle w:val="EndNoteBibliography"/>
        <w:ind w:left="720" w:hanging="720"/>
        <w:jc w:val="both"/>
        <w:rPr>
          <w:noProof/>
        </w:rPr>
      </w:pPr>
      <w:r w:rsidRPr="000A6777">
        <w:rPr>
          <w:noProof/>
        </w:rPr>
        <w:t xml:space="preserve">Hattori, S., Park, J. H., Agata, U., Oda, M., Higano, M., Aikawa, Y., Akimoto, T., Nabekura, Y., Yamato, H., Ezawa, I., Omi, N. (2014) Food Restriction Causes Low Bone Strength and Microarchitectural Deterioration in Exercised Growing Male Rats. </w:t>
      </w:r>
      <w:r w:rsidRPr="000A6777">
        <w:rPr>
          <w:i/>
          <w:noProof/>
        </w:rPr>
        <w:t>Journal of Nutritional Science and Vitaminology,</w:t>
      </w:r>
      <w:r w:rsidRPr="000A6777">
        <w:rPr>
          <w:noProof/>
        </w:rPr>
        <w:t xml:space="preserve"> 60</w:t>
      </w:r>
      <w:r w:rsidRPr="000A6777">
        <w:rPr>
          <w:b/>
          <w:noProof/>
        </w:rPr>
        <w:t>:</w:t>
      </w:r>
      <w:r w:rsidRPr="000A6777">
        <w:rPr>
          <w:noProof/>
        </w:rPr>
        <w:t xml:space="preserve"> 35-42.</w:t>
      </w:r>
    </w:p>
    <w:p w14:paraId="7BEA38BA" w14:textId="77777777" w:rsidR="00B32AAB" w:rsidRPr="000A6777" w:rsidRDefault="00B32AAB" w:rsidP="000A6777">
      <w:pPr>
        <w:pStyle w:val="EndNoteBibliography"/>
        <w:ind w:left="720" w:hanging="720"/>
        <w:jc w:val="both"/>
        <w:rPr>
          <w:noProof/>
        </w:rPr>
      </w:pPr>
      <w:r w:rsidRPr="000A6777">
        <w:rPr>
          <w:noProof/>
        </w:rPr>
        <w:t xml:space="preserve">Havel, P. J. (2001) Peripheral signals conveying metabolic information to the brain: Short-term and long-term regulation of food intake and energy homeostasis. </w:t>
      </w:r>
      <w:r w:rsidRPr="000A6777">
        <w:rPr>
          <w:i/>
          <w:noProof/>
        </w:rPr>
        <w:t>Experimental Biology and Medicine,</w:t>
      </w:r>
      <w:r w:rsidRPr="000A6777">
        <w:rPr>
          <w:noProof/>
        </w:rPr>
        <w:t xml:space="preserve"> 226</w:t>
      </w:r>
      <w:r w:rsidRPr="000A6777">
        <w:rPr>
          <w:b/>
          <w:noProof/>
        </w:rPr>
        <w:t>:</w:t>
      </w:r>
      <w:r w:rsidRPr="000A6777">
        <w:rPr>
          <w:noProof/>
        </w:rPr>
        <w:t xml:space="preserve"> 963-977.</w:t>
      </w:r>
    </w:p>
    <w:p w14:paraId="638F2783" w14:textId="77777777" w:rsidR="00B32AAB" w:rsidRPr="000A6777" w:rsidRDefault="00B32AAB" w:rsidP="000A6777">
      <w:pPr>
        <w:pStyle w:val="EndNoteBibliography"/>
        <w:ind w:left="720" w:hanging="720"/>
        <w:jc w:val="both"/>
        <w:rPr>
          <w:noProof/>
        </w:rPr>
      </w:pPr>
      <w:r w:rsidRPr="000A6777">
        <w:rPr>
          <w:noProof/>
        </w:rPr>
        <w:t xml:space="preserve">Hay, D. L., Christopoulos, G., Christopoulos, A., Sexton, P. M. (2004) Amylin receptors: molecular composition and pharmacology. </w:t>
      </w:r>
      <w:r w:rsidRPr="000A6777">
        <w:rPr>
          <w:i/>
          <w:noProof/>
        </w:rPr>
        <w:t>Biochemical Society Transactions,</w:t>
      </w:r>
      <w:r w:rsidRPr="000A6777">
        <w:rPr>
          <w:noProof/>
        </w:rPr>
        <w:t xml:space="preserve"> 32</w:t>
      </w:r>
      <w:r w:rsidRPr="000A6777">
        <w:rPr>
          <w:b/>
          <w:noProof/>
        </w:rPr>
        <w:t>:</w:t>
      </w:r>
      <w:r w:rsidRPr="000A6777">
        <w:rPr>
          <w:noProof/>
        </w:rPr>
        <w:t xml:space="preserve"> 865-867.</w:t>
      </w:r>
    </w:p>
    <w:p w14:paraId="05EBB4D2" w14:textId="77777777" w:rsidR="00B32AAB" w:rsidRPr="000A6777" w:rsidRDefault="00B32AAB" w:rsidP="000A6777">
      <w:pPr>
        <w:pStyle w:val="EndNoteBibliography"/>
        <w:ind w:left="720" w:hanging="720"/>
        <w:jc w:val="both"/>
        <w:rPr>
          <w:noProof/>
        </w:rPr>
      </w:pPr>
      <w:r w:rsidRPr="000A6777">
        <w:rPr>
          <w:noProof/>
        </w:rPr>
        <w:t xml:space="preserve">Henquin, J. C., Nenquin, M., Stiernet, P., Ahrén, B. (2006) In vivo and in vitro glucose-induced biphasic insulin secretion in the mouse - Pattern and role of cytoplasmic Ca2+ and amplification signals in beta-cells. </w:t>
      </w:r>
      <w:r w:rsidRPr="000A6777">
        <w:rPr>
          <w:i/>
          <w:noProof/>
        </w:rPr>
        <w:t>Diabetes,</w:t>
      </w:r>
      <w:r w:rsidRPr="000A6777">
        <w:rPr>
          <w:noProof/>
        </w:rPr>
        <w:t xml:space="preserve"> 55</w:t>
      </w:r>
      <w:r w:rsidRPr="000A6777">
        <w:rPr>
          <w:b/>
          <w:noProof/>
        </w:rPr>
        <w:t>:</w:t>
      </w:r>
      <w:r w:rsidRPr="000A6777">
        <w:rPr>
          <w:noProof/>
        </w:rPr>
        <w:t xml:space="preserve"> 441-451.</w:t>
      </w:r>
    </w:p>
    <w:p w14:paraId="3E8482CD" w14:textId="77777777" w:rsidR="00B32AAB" w:rsidRPr="000A6777" w:rsidRDefault="00B32AAB" w:rsidP="000A6777">
      <w:pPr>
        <w:pStyle w:val="EndNoteBibliography"/>
        <w:ind w:left="720" w:hanging="720"/>
        <w:jc w:val="both"/>
        <w:rPr>
          <w:noProof/>
        </w:rPr>
      </w:pPr>
      <w:r w:rsidRPr="000A6777">
        <w:rPr>
          <w:noProof/>
        </w:rPr>
        <w:t xml:space="preserve">Henriksen, D., Alexandersen, P., Andersen, T., Byrjalsen, L., Henriksen, E., Hartmann, B., Christiansen, C., Holst, J. (2003a) GLP- 2 is a key player in the regulation of bone turnover: New prophylaxis? </w:t>
      </w:r>
      <w:r w:rsidRPr="000A6777">
        <w:rPr>
          <w:i/>
          <w:noProof/>
        </w:rPr>
        <w:t>Journal of Bone and Mineral Research,</w:t>
      </w:r>
      <w:r w:rsidRPr="000A6777">
        <w:rPr>
          <w:noProof/>
        </w:rPr>
        <w:t xml:space="preserve"> 18</w:t>
      </w:r>
      <w:r w:rsidRPr="000A6777">
        <w:rPr>
          <w:b/>
          <w:noProof/>
        </w:rPr>
        <w:t>:</w:t>
      </w:r>
      <w:r w:rsidRPr="000A6777">
        <w:rPr>
          <w:noProof/>
        </w:rPr>
        <w:t xml:space="preserve"> S54-S54.</w:t>
      </w:r>
    </w:p>
    <w:p w14:paraId="7C9ADA3F" w14:textId="77777777" w:rsidR="00B32AAB" w:rsidRPr="000A6777" w:rsidRDefault="00B32AAB" w:rsidP="000A6777">
      <w:pPr>
        <w:pStyle w:val="EndNoteBibliography"/>
        <w:ind w:left="720" w:hanging="720"/>
        <w:jc w:val="both"/>
        <w:rPr>
          <w:noProof/>
        </w:rPr>
      </w:pPr>
      <w:r w:rsidRPr="000A6777">
        <w:rPr>
          <w:noProof/>
        </w:rPr>
        <w:t xml:space="preserve">Henriksen, D. B., Henriksen, E. E., Byrjalsen, I., Alexandersen, P., Bjarnason, N. H., Christiansen, C., Vilsbøll, T., Krarup, T., Hartmann, B., Holst, J. J. (2003b) Role of Gastrointestinal Hormones in Postprandial Reduction of Bone Resorption. </w:t>
      </w:r>
      <w:r w:rsidRPr="000A6777">
        <w:rPr>
          <w:i/>
          <w:noProof/>
        </w:rPr>
        <w:t>Journal of Bone and Mineral Research,</w:t>
      </w:r>
      <w:r w:rsidRPr="000A6777">
        <w:rPr>
          <w:noProof/>
        </w:rPr>
        <w:t xml:space="preserve"> 18</w:t>
      </w:r>
      <w:r w:rsidRPr="000A6777">
        <w:rPr>
          <w:b/>
          <w:noProof/>
        </w:rPr>
        <w:t>:</w:t>
      </w:r>
      <w:r w:rsidRPr="000A6777">
        <w:rPr>
          <w:noProof/>
        </w:rPr>
        <w:t xml:space="preserve"> 2180-2189.</w:t>
      </w:r>
    </w:p>
    <w:p w14:paraId="5BB392AE" w14:textId="77777777" w:rsidR="00B32AAB" w:rsidRPr="000A6777" w:rsidRDefault="00B32AAB" w:rsidP="000A6777">
      <w:pPr>
        <w:pStyle w:val="EndNoteBibliography"/>
        <w:ind w:left="720" w:hanging="720"/>
        <w:jc w:val="both"/>
        <w:rPr>
          <w:noProof/>
        </w:rPr>
      </w:pPr>
      <w:r w:rsidRPr="000A6777">
        <w:rPr>
          <w:noProof/>
        </w:rPr>
        <w:t xml:space="preserve">Henriksen, K., Leeming, D., Byrjalsen, I., Nielsen, R., Sorensen, M., Dziegiel, M., Martin, T., Christiansen, C., Qvist, P., Karsdal, M. (2007) Osteoclasts prefer aged bone. </w:t>
      </w:r>
      <w:r w:rsidR="00F936E8">
        <w:rPr>
          <w:i/>
          <w:noProof/>
        </w:rPr>
        <w:t>Osteoporosis International</w:t>
      </w:r>
      <w:r w:rsidRPr="000A6777">
        <w:rPr>
          <w:i/>
          <w:noProof/>
        </w:rPr>
        <w:t>,</w:t>
      </w:r>
      <w:r w:rsidRPr="000A6777">
        <w:rPr>
          <w:noProof/>
        </w:rPr>
        <w:t xml:space="preserve"> 18</w:t>
      </w:r>
      <w:r w:rsidRPr="000A6777">
        <w:rPr>
          <w:b/>
          <w:noProof/>
        </w:rPr>
        <w:t>:</w:t>
      </w:r>
      <w:r w:rsidRPr="000A6777">
        <w:rPr>
          <w:noProof/>
        </w:rPr>
        <w:t xml:space="preserve"> 751-759.</w:t>
      </w:r>
    </w:p>
    <w:p w14:paraId="130EF75A" w14:textId="77777777" w:rsidR="00B32AAB" w:rsidRPr="000A6777" w:rsidRDefault="00B32AAB" w:rsidP="000A6777">
      <w:pPr>
        <w:pStyle w:val="EndNoteBibliography"/>
        <w:ind w:left="720" w:hanging="720"/>
        <w:jc w:val="both"/>
        <w:rPr>
          <w:noProof/>
        </w:rPr>
      </w:pPr>
      <w:r w:rsidRPr="000A6777">
        <w:rPr>
          <w:noProof/>
        </w:rPr>
        <w:t xml:space="preserve">Herrmann, C., Goke, R., Richter, G., Fehmann, H. C., Arnold, R., Goke, B. (1995) Glucagon-Like Peptide-1 And Glucose-Dependent Insulin-Releasing Polypeptide Plasma-Levels In Response To Nutrients. </w:t>
      </w:r>
      <w:r w:rsidRPr="000A6777">
        <w:rPr>
          <w:i/>
          <w:noProof/>
        </w:rPr>
        <w:t>Digestion,</w:t>
      </w:r>
      <w:r w:rsidRPr="000A6777">
        <w:rPr>
          <w:noProof/>
        </w:rPr>
        <w:t xml:space="preserve"> 56</w:t>
      </w:r>
      <w:r w:rsidRPr="000A6777">
        <w:rPr>
          <w:b/>
          <w:noProof/>
        </w:rPr>
        <w:t>:</w:t>
      </w:r>
      <w:r w:rsidRPr="000A6777">
        <w:rPr>
          <w:noProof/>
        </w:rPr>
        <w:t xml:space="preserve"> 117-126.</w:t>
      </w:r>
    </w:p>
    <w:p w14:paraId="4033FEE1" w14:textId="77777777" w:rsidR="00B32AAB" w:rsidRPr="000A6777" w:rsidRDefault="00B32AAB" w:rsidP="000A6777">
      <w:pPr>
        <w:pStyle w:val="EndNoteBibliography"/>
        <w:ind w:left="720" w:hanging="720"/>
        <w:jc w:val="both"/>
        <w:rPr>
          <w:noProof/>
        </w:rPr>
      </w:pPr>
      <w:r w:rsidRPr="000A6777">
        <w:rPr>
          <w:noProof/>
        </w:rPr>
        <w:t xml:space="preserve">Hert, J., Lisková, M., Landa, J. (1971) Reaction of bone to mechanical stimuli. 1. Continuous and intermittent loading of tibia in rabbit. </w:t>
      </w:r>
      <w:r w:rsidR="00E4497C">
        <w:rPr>
          <w:i/>
          <w:noProof/>
        </w:rPr>
        <w:t>Folia M</w:t>
      </w:r>
      <w:r w:rsidRPr="000A6777">
        <w:rPr>
          <w:i/>
          <w:noProof/>
        </w:rPr>
        <w:t>orphologica,</w:t>
      </w:r>
      <w:r w:rsidRPr="000A6777">
        <w:rPr>
          <w:noProof/>
        </w:rPr>
        <w:t xml:space="preserve"> 19:3</w:t>
      </w:r>
      <w:r w:rsidRPr="000A6777">
        <w:rPr>
          <w:b/>
          <w:noProof/>
        </w:rPr>
        <w:t>:</w:t>
      </w:r>
      <w:r w:rsidRPr="000A6777">
        <w:rPr>
          <w:noProof/>
        </w:rPr>
        <w:t xml:space="preserve"> 290-300.</w:t>
      </w:r>
    </w:p>
    <w:p w14:paraId="25C5C6A5" w14:textId="77777777" w:rsidR="00B32AAB" w:rsidRPr="000A6777" w:rsidRDefault="00B32AAB" w:rsidP="000A6777">
      <w:pPr>
        <w:pStyle w:val="EndNoteBibliography"/>
        <w:ind w:left="720" w:hanging="720"/>
        <w:jc w:val="both"/>
        <w:rPr>
          <w:noProof/>
        </w:rPr>
      </w:pPr>
      <w:r w:rsidRPr="000A6777">
        <w:rPr>
          <w:noProof/>
        </w:rPr>
        <w:t xml:space="preserve">Hess, R., Pino, A. M., Ríos, S., Fernández, M., Rodríguez, J. P. (2005) High affinity leptin receptors are present in human mesenchymal stem cells ( MSCs) derived from control and osteoporotic donors. </w:t>
      </w:r>
      <w:r w:rsidRPr="000A6777">
        <w:rPr>
          <w:i/>
          <w:noProof/>
        </w:rPr>
        <w:t>Journal of Cellular Biochemistry,</w:t>
      </w:r>
      <w:r w:rsidRPr="000A6777">
        <w:rPr>
          <w:noProof/>
        </w:rPr>
        <w:t xml:space="preserve"> 94</w:t>
      </w:r>
      <w:r w:rsidRPr="000A6777">
        <w:rPr>
          <w:b/>
          <w:noProof/>
        </w:rPr>
        <w:t>:</w:t>
      </w:r>
      <w:r w:rsidRPr="000A6777">
        <w:rPr>
          <w:noProof/>
        </w:rPr>
        <w:t xml:space="preserve"> 50-57.</w:t>
      </w:r>
    </w:p>
    <w:p w14:paraId="2F6277AB" w14:textId="77777777" w:rsidR="00B32AAB" w:rsidRPr="000A6777" w:rsidRDefault="00B32AAB" w:rsidP="000A6777">
      <w:pPr>
        <w:pStyle w:val="EndNoteBibliography"/>
        <w:ind w:left="720" w:hanging="720"/>
        <w:jc w:val="both"/>
        <w:rPr>
          <w:noProof/>
        </w:rPr>
      </w:pPr>
      <w:r w:rsidRPr="000A6777">
        <w:rPr>
          <w:noProof/>
        </w:rPr>
        <w:lastRenderedPageBreak/>
        <w:t xml:space="preserve">Hill, J. W., Elmquist, J., Elias, C. (2008) Hypothalamic pathways linking energy balance and reproduction. </w:t>
      </w:r>
      <w:r w:rsidRPr="000A6777">
        <w:rPr>
          <w:i/>
          <w:noProof/>
        </w:rPr>
        <w:t>American Journal of Physiology</w:t>
      </w:r>
      <w:r w:rsidR="00F25624">
        <w:rPr>
          <w:i/>
          <w:noProof/>
        </w:rPr>
        <w:t xml:space="preserve"> </w:t>
      </w:r>
      <w:r w:rsidRPr="000A6777">
        <w:rPr>
          <w:i/>
          <w:noProof/>
        </w:rPr>
        <w:t>-</w:t>
      </w:r>
      <w:r w:rsidR="00F25624">
        <w:rPr>
          <w:i/>
          <w:noProof/>
        </w:rPr>
        <w:t xml:space="preserve"> </w:t>
      </w:r>
      <w:r w:rsidRPr="000A6777">
        <w:rPr>
          <w:i/>
          <w:noProof/>
        </w:rPr>
        <w:t>Endocrinology and Metabolism,</w:t>
      </w:r>
      <w:r w:rsidRPr="000A6777">
        <w:rPr>
          <w:noProof/>
        </w:rPr>
        <w:t xml:space="preserve"> 294</w:t>
      </w:r>
      <w:r w:rsidRPr="000A6777">
        <w:rPr>
          <w:b/>
          <w:noProof/>
        </w:rPr>
        <w:t>:</w:t>
      </w:r>
      <w:r w:rsidRPr="000A6777">
        <w:rPr>
          <w:noProof/>
        </w:rPr>
        <w:t xml:space="preserve"> E827-E832.</w:t>
      </w:r>
    </w:p>
    <w:p w14:paraId="6F9598C9" w14:textId="77777777" w:rsidR="00B32AAB" w:rsidRPr="000A6777" w:rsidRDefault="00B32AAB" w:rsidP="000A6777">
      <w:pPr>
        <w:pStyle w:val="EndNoteBibliography"/>
        <w:ind w:left="720" w:hanging="720"/>
        <w:jc w:val="both"/>
        <w:rPr>
          <w:noProof/>
        </w:rPr>
      </w:pPr>
      <w:r w:rsidRPr="000A6777">
        <w:rPr>
          <w:noProof/>
        </w:rPr>
        <w:t xml:space="preserve">Hillam, R. A., Goodship, A. E., Skerry, T. M. (2015) Peak strain magnitudes and rates in the tibia exceed greatly those in the skull: An in vivo study in a human subject. </w:t>
      </w:r>
      <w:r w:rsidRPr="000A6777">
        <w:rPr>
          <w:i/>
          <w:noProof/>
        </w:rPr>
        <w:t>Journal of Biomechanics,</w:t>
      </w:r>
      <w:r w:rsidRPr="000A6777">
        <w:rPr>
          <w:noProof/>
        </w:rPr>
        <w:t xml:space="preserve"> 48</w:t>
      </w:r>
      <w:r w:rsidRPr="000A6777">
        <w:rPr>
          <w:b/>
          <w:noProof/>
        </w:rPr>
        <w:t>:</w:t>
      </w:r>
      <w:r w:rsidRPr="000A6777">
        <w:rPr>
          <w:noProof/>
        </w:rPr>
        <w:t xml:space="preserve"> 3292-3298.</w:t>
      </w:r>
    </w:p>
    <w:p w14:paraId="591343AA" w14:textId="77777777" w:rsidR="00B32AAB" w:rsidRPr="000A6777" w:rsidRDefault="00B32AAB" w:rsidP="000A6777">
      <w:pPr>
        <w:pStyle w:val="EndNoteBibliography"/>
        <w:ind w:left="720" w:hanging="720"/>
        <w:jc w:val="both"/>
        <w:rPr>
          <w:noProof/>
        </w:rPr>
      </w:pPr>
      <w:r w:rsidRPr="000A6777">
        <w:rPr>
          <w:noProof/>
        </w:rPr>
        <w:t xml:space="preserve">Hillam, R. A., Skerry, T. M. (1995) Inhibition of bone resorption and stimulation of formation by mechanical loading of the modeling rat ulna in vivo. </w:t>
      </w:r>
      <w:r w:rsidRPr="000A6777">
        <w:rPr>
          <w:i/>
          <w:noProof/>
        </w:rPr>
        <w:t>Journal of  Bone and Mineral Research,</w:t>
      </w:r>
      <w:r w:rsidRPr="000A6777">
        <w:rPr>
          <w:noProof/>
        </w:rPr>
        <w:t xml:space="preserve"> 10(5)</w:t>
      </w:r>
      <w:r w:rsidRPr="000A6777">
        <w:rPr>
          <w:b/>
          <w:noProof/>
        </w:rPr>
        <w:t>:</w:t>
      </w:r>
      <w:r w:rsidRPr="000A6777">
        <w:rPr>
          <w:noProof/>
        </w:rPr>
        <w:t xml:space="preserve"> 683-689.</w:t>
      </w:r>
    </w:p>
    <w:p w14:paraId="5317B948" w14:textId="77777777" w:rsidR="00B32AAB" w:rsidRPr="000A6777" w:rsidRDefault="00B32AAB" w:rsidP="000A6777">
      <w:pPr>
        <w:pStyle w:val="EndNoteBibliography"/>
        <w:ind w:left="720" w:hanging="720"/>
        <w:jc w:val="both"/>
        <w:rPr>
          <w:noProof/>
        </w:rPr>
      </w:pPr>
      <w:r w:rsidRPr="000A6777">
        <w:rPr>
          <w:noProof/>
        </w:rPr>
        <w:t xml:space="preserve">Hille, E., Schulitz, K., Gipperich, J., Dettmann, B. (1988) Experimental stress-induced changes in growing long bones. </w:t>
      </w:r>
      <w:r w:rsidRPr="000A6777">
        <w:rPr>
          <w:i/>
          <w:noProof/>
        </w:rPr>
        <w:t>Official Journal of the Société Internationale de Chirurgie Orthopédique et de Traumatologie (SICOT),</w:t>
      </w:r>
      <w:r w:rsidRPr="000A6777">
        <w:rPr>
          <w:noProof/>
        </w:rPr>
        <w:t xml:space="preserve"> 12</w:t>
      </w:r>
      <w:r w:rsidRPr="000A6777">
        <w:rPr>
          <w:b/>
          <w:noProof/>
        </w:rPr>
        <w:t>:</w:t>
      </w:r>
      <w:r w:rsidRPr="000A6777">
        <w:rPr>
          <w:noProof/>
        </w:rPr>
        <w:t xml:space="preserve"> 309-315.</w:t>
      </w:r>
    </w:p>
    <w:p w14:paraId="502BE7E8" w14:textId="77777777" w:rsidR="00B32AAB" w:rsidRPr="000A6777" w:rsidRDefault="00B32AAB" w:rsidP="000A6777">
      <w:pPr>
        <w:pStyle w:val="EndNoteBibliography"/>
        <w:ind w:left="720" w:hanging="720"/>
        <w:jc w:val="both"/>
        <w:rPr>
          <w:noProof/>
        </w:rPr>
      </w:pPr>
      <w:r w:rsidRPr="000A6777">
        <w:rPr>
          <w:noProof/>
        </w:rPr>
        <w:t xml:space="preserve">Hinoi, E., Gao, N., Jung, D. Y., Yadav, V., Yoshizawa, T., Kajimura, D., Myers, J. M. G., Chua, J. S. C., Wang, Q., Kim, J. K., Kaestner, K. H., Karsenty, G. (2009) An Osteoblast-dependent Mechanism Contributes to the Leptin Regulation of Insulin Secretion. </w:t>
      </w:r>
      <w:r w:rsidRPr="000A6777">
        <w:rPr>
          <w:i/>
          <w:noProof/>
        </w:rPr>
        <w:t>Annals of the New York Academy of Sciences,</w:t>
      </w:r>
      <w:r w:rsidRPr="000A6777">
        <w:rPr>
          <w:noProof/>
        </w:rPr>
        <w:t xml:space="preserve"> 11732</w:t>
      </w:r>
      <w:r w:rsidRPr="000A6777">
        <w:rPr>
          <w:b/>
          <w:noProof/>
        </w:rPr>
        <w:t>:</w:t>
      </w:r>
      <w:r w:rsidRPr="000A6777">
        <w:rPr>
          <w:noProof/>
        </w:rPr>
        <w:t xml:space="preserve"> E20-E30.</w:t>
      </w:r>
    </w:p>
    <w:p w14:paraId="3F6C8693" w14:textId="77777777" w:rsidR="00B32AAB" w:rsidRPr="000A6777" w:rsidRDefault="00B32AAB" w:rsidP="000A6777">
      <w:pPr>
        <w:pStyle w:val="EndNoteBibliography"/>
        <w:ind w:left="720" w:hanging="720"/>
        <w:jc w:val="both"/>
        <w:rPr>
          <w:noProof/>
        </w:rPr>
      </w:pPr>
      <w:r w:rsidRPr="000A6777">
        <w:rPr>
          <w:noProof/>
        </w:rPr>
        <w:t xml:space="preserve">Hoshi, A., Watanabe, H., Chiba, M., Inaba, Y. (1998) Effects of exercise at different ages on bone density and mechanical properties of femoral bone of aged mice. </w:t>
      </w:r>
      <w:r w:rsidR="00F25624">
        <w:rPr>
          <w:i/>
          <w:noProof/>
        </w:rPr>
        <w:t>The Tohoku Journal of Experimental M</w:t>
      </w:r>
      <w:r w:rsidRPr="000A6777">
        <w:rPr>
          <w:i/>
          <w:noProof/>
        </w:rPr>
        <w:t>edicine,</w:t>
      </w:r>
      <w:r w:rsidRPr="000A6777">
        <w:rPr>
          <w:noProof/>
        </w:rPr>
        <w:t xml:space="preserve"> 185</w:t>
      </w:r>
      <w:r w:rsidRPr="000A6777">
        <w:rPr>
          <w:b/>
          <w:noProof/>
        </w:rPr>
        <w:t>:</w:t>
      </w:r>
      <w:r w:rsidRPr="000A6777">
        <w:rPr>
          <w:noProof/>
        </w:rPr>
        <w:t xml:space="preserve"> 15-24.</w:t>
      </w:r>
    </w:p>
    <w:p w14:paraId="41738055" w14:textId="77777777" w:rsidR="00B32AAB" w:rsidRPr="000A6777" w:rsidRDefault="00B32AAB" w:rsidP="000A6777">
      <w:pPr>
        <w:pStyle w:val="EndNoteBibliography"/>
        <w:ind w:left="720" w:hanging="720"/>
        <w:jc w:val="both"/>
        <w:rPr>
          <w:noProof/>
        </w:rPr>
      </w:pPr>
      <w:r w:rsidRPr="000A6777">
        <w:rPr>
          <w:noProof/>
        </w:rPr>
        <w:t xml:space="preserve">Hosoda, H., Kojima, M., Matsuo, H., Kangawa, K. (2000) Ghrelin and des-acyl ghrelin: two major forms of rat ghrelin peptide in gastrointestinal tissue. </w:t>
      </w:r>
      <w:r w:rsidRPr="000A6777">
        <w:rPr>
          <w:i/>
          <w:noProof/>
        </w:rPr>
        <w:t>Biochemical and Biophysical Research Communications,</w:t>
      </w:r>
      <w:r w:rsidRPr="000A6777">
        <w:rPr>
          <w:noProof/>
        </w:rPr>
        <w:t xml:space="preserve"> 279</w:t>
      </w:r>
      <w:r w:rsidRPr="000A6777">
        <w:rPr>
          <w:b/>
          <w:noProof/>
        </w:rPr>
        <w:t>:</w:t>
      </w:r>
      <w:r w:rsidRPr="000A6777">
        <w:rPr>
          <w:noProof/>
        </w:rPr>
        <w:t xml:space="preserve"> 909-913.</w:t>
      </w:r>
    </w:p>
    <w:p w14:paraId="070F08EF" w14:textId="77777777" w:rsidR="00B32AAB" w:rsidRPr="000A6777" w:rsidRDefault="00B32AAB" w:rsidP="000A6777">
      <w:pPr>
        <w:pStyle w:val="EndNoteBibliography"/>
        <w:ind w:left="720" w:hanging="720"/>
        <w:jc w:val="both"/>
        <w:rPr>
          <w:noProof/>
        </w:rPr>
      </w:pPr>
      <w:r w:rsidRPr="000A6777">
        <w:rPr>
          <w:noProof/>
        </w:rPr>
        <w:t xml:space="preserve">Houtkooper, R. H., Argmann, C., Houten, S. M., Cantó, C., Jeninga, E. H., Andreux, P. A., Thomas, C., Doenlen, R., Schoonjans, K., Auwerx, J. (2011) The metabolic footprint of aging in mice. </w:t>
      </w:r>
      <w:r w:rsidRPr="000A6777">
        <w:rPr>
          <w:i/>
          <w:noProof/>
        </w:rPr>
        <w:t>Scientific Reports,</w:t>
      </w:r>
      <w:r w:rsidRPr="000A6777">
        <w:rPr>
          <w:noProof/>
        </w:rPr>
        <w:t xml:space="preserve"> 1</w:t>
      </w:r>
      <w:r w:rsidRPr="000A6777">
        <w:rPr>
          <w:b/>
          <w:noProof/>
        </w:rPr>
        <w:t>:</w:t>
      </w:r>
      <w:r w:rsidRPr="000A6777">
        <w:rPr>
          <w:noProof/>
        </w:rPr>
        <w:t xml:space="preserve"> 245-260.</w:t>
      </w:r>
    </w:p>
    <w:p w14:paraId="66D67A4F" w14:textId="77777777" w:rsidR="00B32AAB" w:rsidRPr="000A6777" w:rsidRDefault="00B32AAB" w:rsidP="000A6777">
      <w:pPr>
        <w:pStyle w:val="EndNoteBibliography"/>
        <w:ind w:left="720" w:hanging="720"/>
        <w:jc w:val="both"/>
        <w:rPr>
          <w:noProof/>
        </w:rPr>
      </w:pPr>
      <w:r w:rsidRPr="000A6777">
        <w:rPr>
          <w:noProof/>
        </w:rPr>
        <w:t xml:space="preserve">Huda, M. S. B., Durham, B. H., Wong, S. P., Dovey, T. M., McCulloch, P., Kerrigan, D., Pinkney, J. H., Fraser, W. D., Wilding, J. P. H. (2007) Lack of an acute effect of ghrelin on markers of bone turnover in healthy controls and post- gastrectomy subjects. </w:t>
      </w:r>
      <w:r w:rsidRPr="000A6777">
        <w:rPr>
          <w:i/>
          <w:noProof/>
        </w:rPr>
        <w:t>Bone,</w:t>
      </w:r>
      <w:r w:rsidRPr="000A6777">
        <w:rPr>
          <w:noProof/>
        </w:rPr>
        <w:t xml:space="preserve"> 41</w:t>
      </w:r>
      <w:r w:rsidRPr="000A6777">
        <w:rPr>
          <w:b/>
          <w:noProof/>
        </w:rPr>
        <w:t>:</w:t>
      </w:r>
      <w:r w:rsidRPr="000A6777">
        <w:rPr>
          <w:noProof/>
        </w:rPr>
        <w:t xml:space="preserve"> 406-413.</w:t>
      </w:r>
    </w:p>
    <w:p w14:paraId="4D1F1F76" w14:textId="77777777" w:rsidR="00B32AAB" w:rsidRPr="000A6777" w:rsidRDefault="00B32AAB" w:rsidP="000A6777">
      <w:pPr>
        <w:pStyle w:val="EndNoteBibliography"/>
        <w:ind w:left="720" w:hanging="720"/>
        <w:jc w:val="both"/>
        <w:rPr>
          <w:noProof/>
        </w:rPr>
      </w:pPr>
      <w:r w:rsidRPr="000A6777">
        <w:rPr>
          <w:noProof/>
        </w:rPr>
        <w:t xml:space="preserve">Humphrey, M. B., Lanier, L., Nakamura, M. C. (2005) Role of ITAM- containing adapter proteins and their receptors in the immune system and bone. </w:t>
      </w:r>
      <w:r w:rsidRPr="000A6777">
        <w:rPr>
          <w:i/>
          <w:noProof/>
        </w:rPr>
        <w:t>Immunological Reviews,</w:t>
      </w:r>
      <w:r w:rsidRPr="000A6777">
        <w:rPr>
          <w:noProof/>
        </w:rPr>
        <w:t xml:space="preserve"> 208</w:t>
      </w:r>
      <w:r w:rsidRPr="000A6777">
        <w:rPr>
          <w:b/>
          <w:noProof/>
        </w:rPr>
        <w:t>:</w:t>
      </w:r>
      <w:r w:rsidRPr="000A6777">
        <w:rPr>
          <w:noProof/>
        </w:rPr>
        <w:t xml:space="preserve"> 50-65.</w:t>
      </w:r>
    </w:p>
    <w:p w14:paraId="3E06C7E3" w14:textId="77777777" w:rsidR="00B32AAB" w:rsidRPr="000A6777" w:rsidRDefault="00B32AAB" w:rsidP="000A6777">
      <w:pPr>
        <w:pStyle w:val="EndNoteBibliography"/>
        <w:ind w:left="720" w:hanging="720"/>
        <w:jc w:val="both"/>
        <w:rPr>
          <w:noProof/>
        </w:rPr>
      </w:pPr>
      <w:r w:rsidRPr="000A6777">
        <w:rPr>
          <w:noProof/>
        </w:rPr>
        <w:t xml:space="preserve">Hurson, C. J., Butler, J. S., Keating, D. T., Murray, D. W., Sadlier, D. M., Byrne, J. M., Doran, P. P. (2007) Gene expression analysis in human osteoblasts exposed to </w:t>
      </w:r>
      <w:r w:rsidRPr="000A6777">
        <w:rPr>
          <w:noProof/>
        </w:rPr>
        <w:lastRenderedPageBreak/>
        <w:t xml:space="preserve">dexamethasone identifies altered developmental pathways as putative drivers of osteoporosis. </w:t>
      </w:r>
      <w:r w:rsidR="00F25624">
        <w:rPr>
          <w:i/>
          <w:noProof/>
        </w:rPr>
        <w:t>BMC Musculoskeletal D</w:t>
      </w:r>
      <w:r w:rsidRPr="000A6777">
        <w:rPr>
          <w:i/>
          <w:noProof/>
        </w:rPr>
        <w:t>isorders,</w:t>
      </w:r>
      <w:r w:rsidRPr="000A6777">
        <w:rPr>
          <w:noProof/>
        </w:rPr>
        <w:t xml:space="preserve"> 8</w:t>
      </w:r>
      <w:r w:rsidRPr="000A6777">
        <w:rPr>
          <w:b/>
          <w:noProof/>
        </w:rPr>
        <w:t>:</w:t>
      </w:r>
      <w:r w:rsidRPr="000A6777">
        <w:rPr>
          <w:noProof/>
        </w:rPr>
        <w:t xml:space="preserve"> 1-12.</w:t>
      </w:r>
    </w:p>
    <w:p w14:paraId="252F1706" w14:textId="77777777" w:rsidR="00B32AAB" w:rsidRPr="000A6777" w:rsidRDefault="00B32AAB" w:rsidP="000A6777">
      <w:pPr>
        <w:pStyle w:val="EndNoteBibliography"/>
        <w:ind w:left="720" w:hanging="720"/>
        <w:jc w:val="both"/>
        <w:rPr>
          <w:noProof/>
        </w:rPr>
      </w:pPr>
      <w:r w:rsidRPr="000A6777">
        <w:rPr>
          <w:noProof/>
        </w:rPr>
        <w:t xml:space="preserve">Hwalla, N. C., El Koury, D., Obeid, O., Azar, S. (2006) Variation in postprandial ghrelin status following ingestion of high carbohydrate, high fat and high protein meals in healthy males. </w:t>
      </w:r>
      <w:r w:rsidRPr="000A6777">
        <w:rPr>
          <w:i/>
          <w:noProof/>
        </w:rPr>
        <w:t>The Federation of American Societies for Experimental Biology Journal,</w:t>
      </w:r>
      <w:r w:rsidRPr="000A6777">
        <w:rPr>
          <w:noProof/>
        </w:rPr>
        <w:t xml:space="preserve"> 20</w:t>
      </w:r>
      <w:r w:rsidRPr="000A6777">
        <w:rPr>
          <w:b/>
          <w:noProof/>
        </w:rPr>
        <w:t>:</w:t>
      </w:r>
      <w:r w:rsidRPr="000A6777">
        <w:rPr>
          <w:noProof/>
        </w:rPr>
        <w:t xml:space="preserve"> A575-A575.</w:t>
      </w:r>
    </w:p>
    <w:p w14:paraId="1A930691" w14:textId="77777777" w:rsidR="00B32AAB" w:rsidRPr="000A6777" w:rsidRDefault="00B32AAB" w:rsidP="000A6777">
      <w:pPr>
        <w:pStyle w:val="EndNoteBibliography"/>
        <w:ind w:left="720" w:hanging="720"/>
        <w:jc w:val="both"/>
        <w:rPr>
          <w:noProof/>
        </w:rPr>
      </w:pPr>
      <w:r w:rsidRPr="000A6777">
        <w:rPr>
          <w:noProof/>
        </w:rPr>
        <w:t xml:space="preserve">IOF. (2018). Available: </w:t>
      </w:r>
      <w:hyperlink r:id="rId154" w:history="1">
        <w:r w:rsidRPr="000A6777">
          <w:rPr>
            <w:rStyle w:val="Hyperlink"/>
            <w:rFonts w:cs="Times New Roman"/>
            <w:noProof/>
            <w:lang w:val="en-GB"/>
          </w:rPr>
          <w:t>http://www.iofbonehealth.org/</w:t>
        </w:r>
      </w:hyperlink>
      <w:r w:rsidRPr="000A6777">
        <w:rPr>
          <w:noProof/>
        </w:rPr>
        <w:t xml:space="preserve"> [Accessed 19 March 2018].</w:t>
      </w:r>
    </w:p>
    <w:p w14:paraId="156FA3CC" w14:textId="77777777" w:rsidR="00B32AAB" w:rsidRPr="000A6777" w:rsidRDefault="00B32AAB" w:rsidP="000A6777">
      <w:pPr>
        <w:pStyle w:val="EndNoteBibliography"/>
        <w:ind w:left="720" w:hanging="720"/>
        <w:jc w:val="both"/>
        <w:rPr>
          <w:noProof/>
        </w:rPr>
      </w:pPr>
      <w:r w:rsidRPr="000A6777">
        <w:rPr>
          <w:noProof/>
        </w:rPr>
        <w:t xml:space="preserve">Ireland, A., Korhonen, M., Heinonen, A., Suominen, H., Baur, C., Stevens, S., Degens, H., Rittweger, J. (2011) Side-to- side differences in bone strength in master jumpers and sprinters. </w:t>
      </w:r>
      <w:r w:rsidR="004A1B4C">
        <w:rPr>
          <w:i/>
          <w:noProof/>
        </w:rPr>
        <w:t>Journal of Musculoskeletal a</w:t>
      </w:r>
      <w:r w:rsidRPr="000A6777">
        <w:rPr>
          <w:i/>
          <w:noProof/>
        </w:rPr>
        <w:t>nd Neuronal Interactions,</w:t>
      </w:r>
      <w:r w:rsidRPr="000A6777">
        <w:rPr>
          <w:noProof/>
        </w:rPr>
        <w:t xml:space="preserve"> 11</w:t>
      </w:r>
      <w:r w:rsidRPr="000A6777">
        <w:rPr>
          <w:b/>
          <w:noProof/>
        </w:rPr>
        <w:t>:</w:t>
      </w:r>
      <w:r w:rsidRPr="000A6777">
        <w:rPr>
          <w:noProof/>
        </w:rPr>
        <w:t xml:space="preserve"> 298-305.</w:t>
      </w:r>
    </w:p>
    <w:p w14:paraId="76EB88A5" w14:textId="77777777" w:rsidR="00B32AAB" w:rsidRPr="000A6777" w:rsidRDefault="00B32AAB" w:rsidP="000A6777">
      <w:pPr>
        <w:pStyle w:val="EndNoteBibliography"/>
        <w:ind w:left="720" w:hanging="720"/>
        <w:jc w:val="both"/>
        <w:rPr>
          <w:noProof/>
        </w:rPr>
      </w:pPr>
      <w:r w:rsidRPr="000A6777">
        <w:rPr>
          <w:noProof/>
        </w:rPr>
        <w:t xml:space="preserve">Ireland, A., Maden-Wilkinson, T., McPhee, J., Cooke, K., Narici, M., Degens, H., Rittweger, J. (2013) Upper limb muscle-bone asymmetries and bone adaptation in elite youth tennis players. </w:t>
      </w:r>
      <w:r w:rsidRPr="000A6777">
        <w:rPr>
          <w:i/>
          <w:noProof/>
        </w:rPr>
        <w:t>Medicine and Science in Sports and Exercise,</w:t>
      </w:r>
      <w:r w:rsidRPr="000A6777">
        <w:rPr>
          <w:noProof/>
        </w:rPr>
        <w:t xml:space="preserve"> 45(9)</w:t>
      </w:r>
      <w:r w:rsidRPr="000A6777">
        <w:rPr>
          <w:b/>
          <w:noProof/>
        </w:rPr>
        <w:t>:</w:t>
      </w:r>
      <w:r w:rsidRPr="000A6777">
        <w:rPr>
          <w:noProof/>
        </w:rPr>
        <w:t xml:space="preserve"> 1749-1758.</w:t>
      </w:r>
    </w:p>
    <w:p w14:paraId="44E62358" w14:textId="77777777" w:rsidR="00B32AAB" w:rsidRPr="000A6777" w:rsidRDefault="00B32AAB" w:rsidP="000A6777">
      <w:pPr>
        <w:pStyle w:val="EndNoteBibliography"/>
        <w:ind w:left="720" w:hanging="720"/>
        <w:jc w:val="both"/>
        <w:rPr>
          <w:noProof/>
        </w:rPr>
      </w:pPr>
      <w:r w:rsidRPr="000A6777">
        <w:rPr>
          <w:noProof/>
        </w:rPr>
        <w:t xml:space="preserve">Ireland, A., Rittweger, J., Degens, H. (2014a) The Influence of Muscular Action on Bone Strength Via Exercise. </w:t>
      </w:r>
      <w:r w:rsidRPr="000A6777">
        <w:rPr>
          <w:i/>
          <w:noProof/>
        </w:rPr>
        <w:t>Clinical Reviews in Bone and Mineral Metabolism,</w:t>
      </w:r>
      <w:r w:rsidRPr="000A6777">
        <w:rPr>
          <w:noProof/>
        </w:rPr>
        <w:t xml:space="preserve"> 12</w:t>
      </w:r>
      <w:r w:rsidRPr="000A6777">
        <w:rPr>
          <w:b/>
          <w:noProof/>
        </w:rPr>
        <w:t>:</w:t>
      </w:r>
      <w:r w:rsidRPr="000A6777">
        <w:rPr>
          <w:noProof/>
        </w:rPr>
        <w:t xml:space="preserve"> 93-102.</w:t>
      </w:r>
    </w:p>
    <w:p w14:paraId="4BE6B51E" w14:textId="77777777" w:rsidR="00B32AAB" w:rsidRPr="000A6777" w:rsidRDefault="00B32AAB" w:rsidP="000A6777">
      <w:pPr>
        <w:pStyle w:val="EndNoteBibliography"/>
        <w:ind w:left="720" w:hanging="720"/>
        <w:jc w:val="both"/>
        <w:rPr>
          <w:noProof/>
        </w:rPr>
      </w:pPr>
      <w:r w:rsidRPr="000A6777">
        <w:rPr>
          <w:noProof/>
        </w:rPr>
        <w:t xml:space="preserve">Ireland, A., Rittweger, J., Schönau, E., Lamberg-Allardt, C., Viljakainen, H. (2014b) Time since onset of walking predicts tibial bone strength in early childhood. </w:t>
      </w:r>
      <w:r w:rsidRPr="000A6777">
        <w:rPr>
          <w:i/>
          <w:noProof/>
        </w:rPr>
        <w:t>Bone,</w:t>
      </w:r>
      <w:r w:rsidRPr="000A6777">
        <w:rPr>
          <w:noProof/>
        </w:rPr>
        <w:t xml:space="preserve"> 68</w:t>
      </w:r>
      <w:r w:rsidRPr="000A6777">
        <w:rPr>
          <w:b/>
          <w:noProof/>
        </w:rPr>
        <w:t>:</w:t>
      </w:r>
      <w:r w:rsidRPr="000A6777">
        <w:rPr>
          <w:noProof/>
        </w:rPr>
        <w:t xml:space="preserve"> 76-84.</w:t>
      </w:r>
    </w:p>
    <w:p w14:paraId="6CBF2B0B" w14:textId="77777777" w:rsidR="00B32AAB" w:rsidRPr="000A6777" w:rsidRDefault="00B32AAB" w:rsidP="000A6777">
      <w:pPr>
        <w:pStyle w:val="EndNoteBibliography"/>
        <w:ind w:left="720" w:hanging="720"/>
        <w:jc w:val="both"/>
        <w:rPr>
          <w:noProof/>
        </w:rPr>
      </w:pPr>
      <w:r w:rsidRPr="000A6777">
        <w:rPr>
          <w:noProof/>
        </w:rPr>
        <w:t xml:space="preserve">Iwamoto, I., Fujino, T., Douchi, T. (2004) The leptin receptor in human osteoblasts and the direct effect of leptin on bone metabolism. </w:t>
      </w:r>
      <w:r w:rsidRPr="000A6777">
        <w:rPr>
          <w:i/>
          <w:noProof/>
        </w:rPr>
        <w:t>Gynecological Endocrinology,</w:t>
      </w:r>
      <w:r w:rsidRPr="000A6777">
        <w:rPr>
          <w:noProof/>
        </w:rPr>
        <w:t xml:space="preserve"> 19</w:t>
      </w:r>
      <w:r w:rsidRPr="000A6777">
        <w:rPr>
          <w:b/>
          <w:noProof/>
        </w:rPr>
        <w:t>:</w:t>
      </w:r>
      <w:r w:rsidRPr="000A6777">
        <w:rPr>
          <w:noProof/>
        </w:rPr>
        <w:t xml:space="preserve"> 97-104.</w:t>
      </w:r>
    </w:p>
    <w:p w14:paraId="7CE33B74" w14:textId="77777777" w:rsidR="00B32AAB" w:rsidRPr="000A6777" w:rsidRDefault="00B32AAB" w:rsidP="000A6777">
      <w:pPr>
        <w:pStyle w:val="EndNoteBibliography"/>
        <w:ind w:left="720" w:hanging="720"/>
        <w:jc w:val="both"/>
        <w:rPr>
          <w:noProof/>
        </w:rPr>
      </w:pPr>
      <w:r w:rsidRPr="000A6777">
        <w:rPr>
          <w:noProof/>
        </w:rPr>
        <w:t xml:space="preserve">Iwaniec, U., Turner, R. (2016) Influence of body weight on bone mass, architecture and turnover. </w:t>
      </w:r>
      <w:r w:rsidR="00F25624">
        <w:rPr>
          <w:i/>
          <w:noProof/>
        </w:rPr>
        <w:t>The Journal of E</w:t>
      </w:r>
      <w:r w:rsidRPr="000A6777">
        <w:rPr>
          <w:i/>
          <w:noProof/>
        </w:rPr>
        <w:t>ndocrinology,</w:t>
      </w:r>
      <w:r w:rsidRPr="000A6777">
        <w:rPr>
          <w:noProof/>
        </w:rPr>
        <w:t xml:space="preserve"> 230</w:t>
      </w:r>
      <w:r w:rsidRPr="000A6777">
        <w:rPr>
          <w:b/>
          <w:noProof/>
        </w:rPr>
        <w:t>:</w:t>
      </w:r>
      <w:r w:rsidRPr="000A6777">
        <w:rPr>
          <w:noProof/>
        </w:rPr>
        <w:t xml:space="preserve"> R115-R130.</w:t>
      </w:r>
    </w:p>
    <w:p w14:paraId="346CD816" w14:textId="77777777" w:rsidR="00B32AAB" w:rsidRPr="000A6777" w:rsidRDefault="00B32AAB" w:rsidP="000A6777">
      <w:pPr>
        <w:pStyle w:val="EndNoteBibliography"/>
        <w:ind w:left="720" w:hanging="720"/>
        <w:jc w:val="both"/>
        <w:rPr>
          <w:noProof/>
        </w:rPr>
      </w:pPr>
      <w:r w:rsidRPr="000A6777">
        <w:rPr>
          <w:noProof/>
        </w:rPr>
        <w:t xml:space="preserve">Jacobs, C. (2000) The mechanobiology of cancellous bone structural adaptation. </w:t>
      </w:r>
      <w:r w:rsidRPr="000A6777">
        <w:rPr>
          <w:i/>
          <w:noProof/>
        </w:rPr>
        <w:t>Journal of Rehabilitation Research and Development,</w:t>
      </w:r>
      <w:r w:rsidRPr="000A6777">
        <w:rPr>
          <w:noProof/>
        </w:rPr>
        <w:t xml:space="preserve"> 37</w:t>
      </w:r>
      <w:r w:rsidRPr="000A6777">
        <w:rPr>
          <w:b/>
          <w:noProof/>
        </w:rPr>
        <w:t>:</w:t>
      </w:r>
      <w:r w:rsidRPr="000A6777">
        <w:rPr>
          <w:noProof/>
        </w:rPr>
        <w:t xml:space="preserve"> 209-216.</w:t>
      </w:r>
    </w:p>
    <w:p w14:paraId="4EAAA313" w14:textId="77777777" w:rsidR="00B32AAB" w:rsidRPr="000A6777" w:rsidRDefault="00B32AAB" w:rsidP="000A6777">
      <w:pPr>
        <w:pStyle w:val="EndNoteBibliography"/>
        <w:ind w:left="720" w:hanging="720"/>
        <w:jc w:val="both"/>
        <w:rPr>
          <w:noProof/>
        </w:rPr>
      </w:pPr>
      <w:r w:rsidRPr="000A6777">
        <w:rPr>
          <w:noProof/>
        </w:rPr>
        <w:t xml:space="preserve">Jee, W. S. (2000) Principles in bone physiology. </w:t>
      </w:r>
      <w:r w:rsidR="00F25624">
        <w:rPr>
          <w:i/>
          <w:noProof/>
        </w:rPr>
        <w:t>Journal of Musculoskeletal a</w:t>
      </w:r>
      <w:r w:rsidRPr="000A6777">
        <w:rPr>
          <w:i/>
          <w:noProof/>
        </w:rPr>
        <w:t>nd Neuronal Interactions,</w:t>
      </w:r>
      <w:r w:rsidRPr="000A6777">
        <w:rPr>
          <w:noProof/>
        </w:rPr>
        <w:t xml:space="preserve"> 1</w:t>
      </w:r>
      <w:r w:rsidRPr="000A6777">
        <w:rPr>
          <w:b/>
          <w:noProof/>
        </w:rPr>
        <w:t>:</w:t>
      </w:r>
      <w:r w:rsidRPr="000A6777">
        <w:rPr>
          <w:noProof/>
        </w:rPr>
        <w:t xml:space="preserve"> 11-13.</w:t>
      </w:r>
    </w:p>
    <w:p w14:paraId="033EFD01" w14:textId="77777777" w:rsidR="00B32AAB" w:rsidRPr="000A6777" w:rsidRDefault="00B32AAB" w:rsidP="000A6777">
      <w:pPr>
        <w:pStyle w:val="EndNoteBibliography"/>
        <w:ind w:left="720" w:hanging="720"/>
        <w:jc w:val="both"/>
        <w:rPr>
          <w:noProof/>
        </w:rPr>
      </w:pPr>
      <w:r w:rsidRPr="000A6777">
        <w:rPr>
          <w:noProof/>
        </w:rPr>
        <w:t xml:space="preserve">Jepsen, K. J., Silva, M. J., Vashishth, D., Guo, X. E., Van Der Meulen, M. C. (2015) Establishing Biomechanical Mechanisms in Mouse Models: Practical Guidelines for Systematically Evaluating Phenotypic Changes in the Diaphyses of Long Bones. </w:t>
      </w:r>
      <w:r w:rsidRPr="000A6777">
        <w:rPr>
          <w:i/>
          <w:noProof/>
        </w:rPr>
        <w:t>Journal of Bone and Mineral Research,</w:t>
      </w:r>
      <w:r w:rsidRPr="000A6777">
        <w:rPr>
          <w:noProof/>
        </w:rPr>
        <w:t xml:space="preserve"> 30</w:t>
      </w:r>
      <w:r w:rsidRPr="000A6777">
        <w:rPr>
          <w:b/>
          <w:noProof/>
        </w:rPr>
        <w:t>:</w:t>
      </w:r>
      <w:r w:rsidRPr="000A6777">
        <w:rPr>
          <w:noProof/>
        </w:rPr>
        <w:t xml:space="preserve"> 951-966.</w:t>
      </w:r>
    </w:p>
    <w:p w14:paraId="227CAE76" w14:textId="77777777" w:rsidR="00B32AAB" w:rsidRPr="000A6777" w:rsidRDefault="00B32AAB" w:rsidP="000A6777">
      <w:pPr>
        <w:pStyle w:val="EndNoteBibliography"/>
        <w:ind w:left="720" w:hanging="720"/>
        <w:jc w:val="both"/>
        <w:rPr>
          <w:noProof/>
        </w:rPr>
      </w:pPr>
      <w:r w:rsidRPr="000A6777">
        <w:rPr>
          <w:noProof/>
        </w:rPr>
        <w:lastRenderedPageBreak/>
        <w:t xml:space="preserve">Jia, J., Yao, W., Guan, M., Dai, W., Shahnazari, M., Kar, R., Bonewald, L., Jiang, J. X., Lane, N. E. (2011) Glucocorticoid dose determines osteocyte cell fate. </w:t>
      </w:r>
      <w:r w:rsidRPr="000A6777">
        <w:rPr>
          <w:i/>
          <w:noProof/>
        </w:rPr>
        <w:t>The Federation of American Societies for Experimental Biology Journal,</w:t>
      </w:r>
      <w:r w:rsidRPr="000A6777">
        <w:rPr>
          <w:noProof/>
        </w:rPr>
        <w:t xml:space="preserve"> 25</w:t>
      </w:r>
      <w:r w:rsidRPr="000A6777">
        <w:rPr>
          <w:b/>
          <w:noProof/>
        </w:rPr>
        <w:t>:</w:t>
      </w:r>
      <w:r w:rsidRPr="000A6777">
        <w:rPr>
          <w:noProof/>
        </w:rPr>
        <w:t xml:space="preserve"> 3366-3376.</w:t>
      </w:r>
    </w:p>
    <w:p w14:paraId="243DA6F5" w14:textId="77777777" w:rsidR="00B32AAB" w:rsidRPr="000A6777" w:rsidRDefault="00B32AAB" w:rsidP="000A6777">
      <w:pPr>
        <w:pStyle w:val="EndNoteBibliography"/>
        <w:ind w:left="720" w:hanging="720"/>
        <w:jc w:val="both"/>
        <w:rPr>
          <w:noProof/>
        </w:rPr>
      </w:pPr>
      <w:r w:rsidRPr="000A6777">
        <w:rPr>
          <w:noProof/>
        </w:rPr>
        <w:t>Jiang, Y., Mishima, H., Sakai, S., Liu, Y. K., Ohyabu, Y., Uemura, T. (2008) Gene expression analysis of major lineage</w:t>
      </w:r>
      <w:r w:rsidRPr="000A6777">
        <w:rPr>
          <w:rFonts w:ascii="American Typewriter Condensed" w:hAnsi="American Typewriter Condensed" w:cs="American Typewriter Condensed"/>
          <w:noProof/>
        </w:rPr>
        <w:t>‐</w:t>
      </w:r>
      <w:r w:rsidRPr="000A6777">
        <w:rPr>
          <w:noProof/>
        </w:rPr>
        <w:t xml:space="preserve"> defining factors in human bone marrow cells: Effect of aging, gender, and age-related disorders. </w:t>
      </w:r>
      <w:r w:rsidRPr="000A6777">
        <w:rPr>
          <w:i/>
          <w:noProof/>
        </w:rPr>
        <w:t>Journal of Orthopaedic Research,</w:t>
      </w:r>
      <w:r w:rsidRPr="000A6777">
        <w:rPr>
          <w:noProof/>
        </w:rPr>
        <w:t xml:space="preserve"> 26</w:t>
      </w:r>
      <w:r w:rsidRPr="000A6777">
        <w:rPr>
          <w:b/>
          <w:noProof/>
        </w:rPr>
        <w:t>:</w:t>
      </w:r>
      <w:r w:rsidRPr="000A6777">
        <w:rPr>
          <w:noProof/>
        </w:rPr>
        <w:t xml:space="preserve"> 910-917.</w:t>
      </w:r>
    </w:p>
    <w:p w14:paraId="6C3AD76C" w14:textId="77777777" w:rsidR="00B32AAB" w:rsidRPr="000A6777" w:rsidRDefault="00B32AAB" w:rsidP="000A6777">
      <w:pPr>
        <w:pStyle w:val="EndNoteBibliography"/>
        <w:ind w:left="720" w:hanging="720"/>
        <w:jc w:val="both"/>
        <w:rPr>
          <w:noProof/>
        </w:rPr>
      </w:pPr>
      <w:r w:rsidRPr="000A6777">
        <w:rPr>
          <w:noProof/>
        </w:rPr>
        <w:t xml:space="preserve">Jilka, R. L. (2013) The Relevance of Mouse Models for Investigating Age-Related Bone Loss in Humans. </w:t>
      </w:r>
      <w:r w:rsidRPr="000A6777">
        <w:rPr>
          <w:i/>
          <w:noProof/>
        </w:rPr>
        <w:t>Journals of Gerontology Series A: Biomedical Sciences and Medical Sciences,</w:t>
      </w:r>
      <w:r w:rsidRPr="000A6777">
        <w:rPr>
          <w:noProof/>
        </w:rPr>
        <w:t xml:space="preserve"> 68</w:t>
      </w:r>
      <w:r w:rsidRPr="000A6777">
        <w:rPr>
          <w:b/>
          <w:noProof/>
        </w:rPr>
        <w:t>:</w:t>
      </w:r>
      <w:r w:rsidRPr="000A6777">
        <w:rPr>
          <w:noProof/>
        </w:rPr>
        <w:t xml:space="preserve"> 1209-1217.</w:t>
      </w:r>
    </w:p>
    <w:p w14:paraId="286742F2" w14:textId="77777777" w:rsidR="00B32AAB" w:rsidRPr="000A6777" w:rsidRDefault="00B32AAB" w:rsidP="000A6777">
      <w:pPr>
        <w:pStyle w:val="EndNoteBibliography"/>
        <w:ind w:left="720" w:hanging="720"/>
        <w:jc w:val="both"/>
        <w:rPr>
          <w:noProof/>
        </w:rPr>
      </w:pPr>
      <w:r w:rsidRPr="000A6777">
        <w:rPr>
          <w:noProof/>
        </w:rPr>
        <w:t xml:space="preserve">Jilka, R. L., Weinstein, R. S., Bellido, T., Parfitt, A. M., Manolagas, S. C. (1998) Osteoblast programmed cell death ( apoptosis): Modulation by growth factors and cytokines. </w:t>
      </w:r>
      <w:r w:rsidRPr="000A6777">
        <w:rPr>
          <w:i/>
          <w:noProof/>
        </w:rPr>
        <w:t>Journal of Bone and Mineral Research,</w:t>
      </w:r>
      <w:r w:rsidRPr="000A6777">
        <w:rPr>
          <w:noProof/>
        </w:rPr>
        <w:t xml:space="preserve"> 13</w:t>
      </w:r>
      <w:r w:rsidRPr="000A6777">
        <w:rPr>
          <w:b/>
          <w:noProof/>
        </w:rPr>
        <w:t>:</w:t>
      </w:r>
      <w:r w:rsidRPr="000A6777">
        <w:rPr>
          <w:noProof/>
        </w:rPr>
        <w:t xml:space="preserve"> 793-802.</w:t>
      </w:r>
    </w:p>
    <w:p w14:paraId="1C80095F" w14:textId="77777777" w:rsidR="00B32AAB" w:rsidRPr="000A6777" w:rsidRDefault="00B32AAB" w:rsidP="000A6777">
      <w:pPr>
        <w:pStyle w:val="EndNoteBibliography"/>
        <w:ind w:left="720" w:hanging="720"/>
        <w:jc w:val="both"/>
        <w:rPr>
          <w:noProof/>
        </w:rPr>
      </w:pPr>
      <w:r w:rsidRPr="000A6777">
        <w:rPr>
          <w:noProof/>
        </w:rPr>
        <w:t xml:space="preserve">Johnell, O., Kanis, J. A. (2006) An estimate of the worldwide prevalence and disability associated with osteoporotic fractures. </w:t>
      </w:r>
      <w:r w:rsidR="00F25624">
        <w:rPr>
          <w:i/>
          <w:noProof/>
        </w:rPr>
        <w:t>Osteoporosis Internationa</w:t>
      </w:r>
      <w:r w:rsidRPr="000A6777">
        <w:rPr>
          <w:i/>
          <w:noProof/>
        </w:rPr>
        <w:t>l,</w:t>
      </w:r>
      <w:r w:rsidRPr="000A6777">
        <w:rPr>
          <w:noProof/>
        </w:rPr>
        <w:t xml:space="preserve"> 17</w:t>
      </w:r>
      <w:r w:rsidRPr="000A6777">
        <w:rPr>
          <w:b/>
          <w:noProof/>
        </w:rPr>
        <w:t>:</w:t>
      </w:r>
      <w:r w:rsidRPr="000A6777">
        <w:rPr>
          <w:noProof/>
        </w:rPr>
        <w:t xml:space="preserve"> 1726-1733.</w:t>
      </w:r>
    </w:p>
    <w:p w14:paraId="76F4319D" w14:textId="77777777" w:rsidR="00B32AAB" w:rsidRPr="000A6777" w:rsidRDefault="00B32AAB" w:rsidP="000A6777">
      <w:pPr>
        <w:pStyle w:val="EndNoteBibliography"/>
        <w:ind w:left="720" w:hanging="720"/>
        <w:jc w:val="both"/>
        <w:rPr>
          <w:noProof/>
        </w:rPr>
      </w:pPr>
      <w:r w:rsidRPr="000A6777">
        <w:rPr>
          <w:noProof/>
        </w:rPr>
        <w:t xml:space="preserve">Jones, H. H., Priest, J. D., Hayes, W. C., Tichenor, C. C., Nagel, D. A. (1977) Humeral hypertrophy in response to exercise. </w:t>
      </w:r>
      <w:r w:rsidR="00F25624">
        <w:rPr>
          <w:i/>
          <w:noProof/>
        </w:rPr>
        <w:t>The Journal of Bone and Joint S</w:t>
      </w:r>
      <w:r w:rsidRPr="000A6777">
        <w:rPr>
          <w:i/>
          <w:noProof/>
        </w:rPr>
        <w:t>urgery. American volume,</w:t>
      </w:r>
      <w:r w:rsidRPr="000A6777">
        <w:rPr>
          <w:noProof/>
        </w:rPr>
        <w:t xml:space="preserve"> 59</w:t>
      </w:r>
      <w:r w:rsidRPr="000A6777">
        <w:rPr>
          <w:b/>
          <w:noProof/>
        </w:rPr>
        <w:t>:</w:t>
      </w:r>
      <w:r w:rsidRPr="000A6777">
        <w:rPr>
          <w:noProof/>
        </w:rPr>
        <w:t xml:space="preserve"> 204-208.</w:t>
      </w:r>
    </w:p>
    <w:p w14:paraId="11204568" w14:textId="77777777" w:rsidR="00B32AAB" w:rsidRPr="000A6777" w:rsidRDefault="00B32AAB" w:rsidP="000A6777">
      <w:pPr>
        <w:pStyle w:val="EndNoteBibliography"/>
        <w:ind w:left="720" w:hanging="720"/>
        <w:jc w:val="both"/>
        <w:rPr>
          <w:noProof/>
        </w:rPr>
      </w:pPr>
      <w:r w:rsidRPr="000A6777">
        <w:rPr>
          <w:noProof/>
        </w:rPr>
        <w:t xml:space="preserve">Juntunen, K. S., Niskanen, L. K., Liukkonen, K. H., Poutanen, K. S., Holst, J. J., Mykkänen, H. M. (2002) Postprandial glucose, insulin, and incretin responses to grain products in healthy subjects. </w:t>
      </w:r>
      <w:r w:rsidR="00F25624">
        <w:rPr>
          <w:i/>
          <w:noProof/>
        </w:rPr>
        <w:t>The American Journal of Clinical N</w:t>
      </w:r>
      <w:r w:rsidRPr="000A6777">
        <w:rPr>
          <w:i/>
          <w:noProof/>
        </w:rPr>
        <w:t>utrition,</w:t>
      </w:r>
      <w:r w:rsidRPr="000A6777">
        <w:rPr>
          <w:noProof/>
        </w:rPr>
        <w:t xml:space="preserve"> 75</w:t>
      </w:r>
      <w:r w:rsidRPr="000A6777">
        <w:rPr>
          <w:b/>
          <w:noProof/>
        </w:rPr>
        <w:t>:</w:t>
      </w:r>
      <w:r w:rsidRPr="000A6777">
        <w:rPr>
          <w:noProof/>
        </w:rPr>
        <w:t xml:space="preserve"> 254-262.</w:t>
      </w:r>
    </w:p>
    <w:p w14:paraId="1E135384" w14:textId="77777777" w:rsidR="00B32AAB" w:rsidRPr="000A6777" w:rsidRDefault="00B32AAB" w:rsidP="000A6777">
      <w:pPr>
        <w:pStyle w:val="EndNoteBibliography"/>
        <w:ind w:left="720" w:hanging="720"/>
        <w:jc w:val="both"/>
        <w:rPr>
          <w:noProof/>
        </w:rPr>
      </w:pPr>
      <w:r w:rsidRPr="000A6777">
        <w:rPr>
          <w:noProof/>
        </w:rPr>
        <w:t xml:space="preserve">Just, T., Pau, H. W., Engel, U., Hummel, T. (2008) Cephalic phase insulin release in healthy humans after taste stimulation? </w:t>
      </w:r>
      <w:r w:rsidRPr="000A6777">
        <w:rPr>
          <w:i/>
          <w:noProof/>
        </w:rPr>
        <w:t>Appetite,</w:t>
      </w:r>
      <w:r w:rsidRPr="000A6777">
        <w:rPr>
          <w:noProof/>
        </w:rPr>
        <w:t xml:space="preserve"> 51</w:t>
      </w:r>
      <w:r w:rsidRPr="000A6777">
        <w:rPr>
          <w:b/>
          <w:noProof/>
        </w:rPr>
        <w:t>:</w:t>
      </w:r>
      <w:r w:rsidRPr="000A6777">
        <w:rPr>
          <w:noProof/>
        </w:rPr>
        <w:t xml:space="preserve"> 622-627.</w:t>
      </w:r>
    </w:p>
    <w:p w14:paraId="6677B349" w14:textId="77777777" w:rsidR="00B32AAB" w:rsidRPr="000A6777" w:rsidRDefault="00B32AAB" w:rsidP="000A6777">
      <w:pPr>
        <w:pStyle w:val="EndNoteBibliography"/>
        <w:ind w:left="720" w:hanging="720"/>
        <w:jc w:val="both"/>
        <w:rPr>
          <w:noProof/>
        </w:rPr>
      </w:pPr>
      <w:r w:rsidRPr="000A6777">
        <w:rPr>
          <w:noProof/>
        </w:rPr>
        <w:t xml:space="preserve">Kalaitzoglou, E., Popescu, I., Bunn, R., Fowlkes, J., Thrailkill, K. (2016) Effects of Type 1 Diabetes on Osteoblasts, Osteocytes, and Osteoclasts. </w:t>
      </w:r>
      <w:r w:rsidRPr="000A6777">
        <w:rPr>
          <w:i/>
          <w:noProof/>
        </w:rPr>
        <w:t>Current Osteoporosis Reports,</w:t>
      </w:r>
      <w:r w:rsidRPr="000A6777">
        <w:rPr>
          <w:noProof/>
        </w:rPr>
        <w:t xml:space="preserve"> 14</w:t>
      </w:r>
      <w:r w:rsidRPr="000A6777">
        <w:rPr>
          <w:b/>
          <w:noProof/>
        </w:rPr>
        <w:t>:</w:t>
      </w:r>
      <w:r w:rsidRPr="000A6777">
        <w:rPr>
          <w:noProof/>
        </w:rPr>
        <w:t xml:space="preserve"> 310-319.</w:t>
      </w:r>
    </w:p>
    <w:p w14:paraId="1925EA8A" w14:textId="77777777" w:rsidR="00B32AAB" w:rsidRPr="000A6777" w:rsidRDefault="00B32AAB" w:rsidP="000A6777">
      <w:pPr>
        <w:pStyle w:val="EndNoteBibliography"/>
        <w:ind w:left="720" w:hanging="720"/>
        <w:jc w:val="both"/>
        <w:rPr>
          <w:noProof/>
        </w:rPr>
      </w:pPr>
      <w:r w:rsidRPr="000A6777">
        <w:rPr>
          <w:noProof/>
        </w:rPr>
        <w:t xml:space="preserve">Kamohara, S., Burcelin, R., Halaas, J. L., Friedman, J. M., Charron, M. J. (1997) Acute stimulation of glucose metabolism in mice by leptin treatment. </w:t>
      </w:r>
      <w:r w:rsidRPr="000A6777">
        <w:rPr>
          <w:i/>
          <w:noProof/>
        </w:rPr>
        <w:t>Nature,</w:t>
      </w:r>
      <w:r w:rsidRPr="000A6777">
        <w:rPr>
          <w:noProof/>
        </w:rPr>
        <w:t xml:space="preserve"> 389</w:t>
      </w:r>
      <w:r w:rsidRPr="000A6777">
        <w:rPr>
          <w:b/>
          <w:noProof/>
        </w:rPr>
        <w:t>:</w:t>
      </w:r>
      <w:r w:rsidRPr="000A6777">
        <w:rPr>
          <w:noProof/>
        </w:rPr>
        <w:t xml:space="preserve"> 374-377.</w:t>
      </w:r>
    </w:p>
    <w:p w14:paraId="5EA35CA4" w14:textId="77777777" w:rsidR="00B32AAB" w:rsidRPr="000A6777" w:rsidRDefault="00B32AAB" w:rsidP="000A6777">
      <w:pPr>
        <w:pStyle w:val="EndNoteBibliography"/>
        <w:ind w:left="720" w:hanging="720"/>
        <w:jc w:val="both"/>
        <w:rPr>
          <w:noProof/>
        </w:rPr>
      </w:pPr>
      <w:r w:rsidRPr="000A6777">
        <w:rPr>
          <w:noProof/>
        </w:rPr>
        <w:t xml:space="preserve">Kanis, J. A. (2002) Diagnosis of osteoporosis and assessment of fracture risk. </w:t>
      </w:r>
      <w:r w:rsidRPr="000A6777">
        <w:rPr>
          <w:i/>
          <w:noProof/>
        </w:rPr>
        <w:t>The Lancet,</w:t>
      </w:r>
      <w:r w:rsidRPr="000A6777">
        <w:rPr>
          <w:noProof/>
        </w:rPr>
        <w:t xml:space="preserve"> 359</w:t>
      </w:r>
      <w:r w:rsidRPr="000A6777">
        <w:rPr>
          <w:b/>
          <w:noProof/>
        </w:rPr>
        <w:t>:</w:t>
      </w:r>
      <w:r w:rsidRPr="000A6777">
        <w:rPr>
          <w:noProof/>
        </w:rPr>
        <w:t xml:space="preserve"> 1929-1936.</w:t>
      </w:r>
    </w:p>
    <w:p w14:paraId="3C25D55F" w14:textId="77777777" w:rsidR="00B32AAB" w:rsidRPr="000A6777" w:rsidRDefault="00B32AAB" w:rsidP="000A6777">
      <w:pPr>
        <w:pStyle w:val="EndNoteBibliography"/>
        <w:ind w:left="720" w:hanging="720"/>
        <w:jc w:val="both"/>
        <w:rPr>
          <w:noProof/>
        </w:rPr>
      </w:pPr>
      <w:r w:rsidRPr="000A6777">
        <w:rPr>
          <w:noProof/>
        </w:rPr>
        <w:t xml:space="preserve">Kanizsai, P., Garami, A., Solymár, M., Szolcsányi, J., Szelényi, Z. (2009) Energetics of fasting heterothermia in TRPV1- KO and wild type mice. </w:t>
      </w:r>
      <w:r w:rsidRPr="000A6777">
        <w:rPr>
          <w:i/>
          <w:noProof/>
        </w:rPr>
        <w:t>Physiology and Behavior,</w:t>
      </w:r>
      <w:r w:rsidRPr="000A6777">
        <w:rPr>
          <w:noProof/>
        </w:rPr>
        <w:t xml:space="preserve"> 96</w:t>
      </w:r>
      <w:r w:rsidRPr="000A6777">
        <w:rPr>
          <w:b/>
          <w:noProof/>
        </w:rPr>
        <w:t>:</w:t>
      </w:r>
      <w:r w:rsidRPr="000A6777">
        <w:rPr>
          <w:noProof/>
        </w:rPr>
        <w:t xml:space="preserve"> 149-154.</w:t>
      </w:r>
    </w:p>
    <w:p w14:paraId="12777688" w14:textId="77777777" w:rsidR="00B32AAB" w:rsidRPr="000A6777" w:rsidRDefault="00B32AAB" w:rsidP="000A6777">
      <w:pPr>
        <w:pStyle w:val="EndNoteBibliography"/>
        <w:ind w:left="720" w:hanging="720"/>
        <w:jc w:val="both"/>
        <w:rPr>
          <w:noProof/>
        </w:rPr>
      </w:pPr>
      <w:r w:rsidRPr="000A6777">
        <w:rPr>
          <w:noProof/>
        </w:rPr>
        <w:lastRenderedPageBreak/>
        <w:t xml:space="preserve">Kapur, S., Amoui, M., Kesavan, C., Wang, X., Mohan, S., Baylink, D., Lau, K. H. (2010) Leptin Receptor (Lepr) Is a Negative Modulator of Bone Mechanosensitivity and Genetic Variations in Lepr May Contribute to the Differential Osteogenic Response to Mechanical Stimulation in the C57BL/6J and C3H/HeJ Pair of Mouse Strains. </w:t>
      </w:r>
      <w:r w:rsidRPr="000A6777">
        <w:rPr>
          <w:i/>
          <w:noProof/>
        </w:rPr>
        <w:t>Journal of Biological Chemistry,</w:t>
      </w:r>
      <w:r w:rsidRPr="000A6777">
        <w:rPr>
          <w:noProof/>
        </w:rPr>
        <w:t xml:space="preserve"> 285</w:t>
      </w:r>
      <w:r w:rsidRPr="000A6777">
        <w:rPr>
          <w:b/>
          <w:noProof/>
        </w:rPr>
        <w:t>:</w:t>
      </w:r>
      <w:r w:rsidRPr="000A6777">
        <w:rPr>
          <w:noProof/>
        </w:rPr>
        <w:t xml:space="preserve"> 37607-37618.</w:t>
      </w:r>
    </w:p>
    <w:p w14:paraId="0C0AEACB" w14:textId="77777777" w:rsidR="00B32AAB" w:rsidRPr="000A6777" w:rsidRDefault="00B32AAB" w:rsidP="000A6777">
      <w:pPr>
        <w:pStyle w:val="EndNoteBibliography"/>
        <w:ind w:left="720" w:hanging="720"/>
        <w:jc w:val="both"/>
        <w:rPr>
          <w:noProof/>
        </w:rPr>
      </w:pPr>
      <w:r w:rsidRPr="000A6777">
        <w:rPr>
          <w:noProof/>
        </w:rPr>
        <w:t xml:space="preserve">Karhunen, L. J., Juvonen, K. R., Huotari, A., Purhonen, A. K., Herzig, K. H. (2008) Effect of protein, fat, carbohydrate and fibre on gastrointestinal peptide release in humans. </w:t>
      </w:r>
      <w:r w:rsidRPr="000A6777">
        <w:rPr>
          <w:i/>
          <w:noProof/>
        </w:rPr>
        <w:t>Regulatory Peptides,</w:t>
      </w:r>
      <w:r w:rsidRPr="000A6777">
        <w:rPr>
          <w:noProof/>
        </w:rPr>
        <w:t xml:space="preserve"> 149</w:t>
      </w:r>
      <w:r w:rsidRPr="000A6777">
        <w:rPr>
          <w:b/>
          <w:noProof/>
        </w:rPr>
        <w:t>:</w:t>
      </w:r>
      <w:r w:rsidRPr="000A6777">
        <w:rPr>
          <w:noProof/>
        </w:rPr>
        <w:t xml:space="preserve"> 70-78.</w:t>
      </w:r>
    </w:p>
    <w:p w14:paraId="19DE27BE" w14:textId="77777777" w:rsidR="00B32AAB" w:rsidRPr="000A6777" w:rsidRDefault="00B32AAB" w:rsidP="000A6777">
      <w:pPr>
        <w:pStyle w:val="EndNoteBibliography"/>
        <w:ind w:left="720" w:hanging="720"/>
        <w:jc w:val="both"/>
        <w:rPr>
          <w:noProof/>
        </w:rPr>
      </w:pPr>
      <w:r w:rsidRPr="000A6777">
        <w:rPr>
          <w:noProof/>
        </w:rPr>
        <w:t xml:space="preserve">Karsdal, M. A., Holst, J., Henriksen, D. (2004) GLP- 2 reduces bone resorption in vitro via the osteoclast GLP- 2 receptor. </w:t>
      </w:r>
      <w:r w:rsidRPr="000A6777">
        <w:rPr>
          <w:i/>
          <w:noProof/>
        </w:rPr>
        <w:t>Journal of Bone and Mineral Research,</w:t>
      </w:r>
      <w:r w:rsidRPr="000A6777">
        <w:rPr>
          <w:noProof/>
        </w:rPr>
        <w:t xml:space="preserve"> 19</w:t>
      </w:r>
      <w:r w:rsidRPr="000A6777">
        <w:rPr>
          <w:b/>
          <w:noProof/>
        </w:rPr>
        <w:t>:</w:t>
      </w:r>
      <w:r w:rsidRPr="000A6777">
        <w:rPr>
          <w:noProof/>
        </w:rPr>
        <w:t xml:space="preserve"> S416-S416.</w:t>
      </w:r>
    </w:p>
    <w:p w14:paraId="7AA76E20" w14:textId="77777777" w:rsidR="00B32AAB" w:rsidRPr="000A6777" w:rsidRDefault="00B32AAB" w:rsidP="000A6777">
      <w:pPr>
        <w:pStyle w:val="EndNoteBibliography"/>
        <w:ind w:left="720" w:hanging="720"/>
        <w:jc w:val="both"/>
        <w:rPr>
          <w:noProof/>
        </w:rPr>
      </w:pPr>
      <w:r w:rsidRPr="000A6777">
        <w:rPr>
          <w:noProof/>
        </w:rPr>
        <w:t xml:space="preserve">Karsenty, G. (2011) Bone endocrine regulation of energy metabolism and male reproduction. </w:t>
      </w:r>
      <w:r w:rsidR="00CC0FAC">
        <w:rPr>
          <w:i/>
          <w:noProof/>
        </w:rPr>
        <w:t>Comptes R</w:t>
      </w:r>
      <w:r w:rsidRPr="000A6777">
        <w:rPr>
          <w:i/>
          <w:noProof/>
        </w:rPr>
        <w:t>endus - Biologies,</w:t>
      </w:r>
      <w:r w:rsidRPr="000A6777">
        <w:rPr>
          <w:noProof/>
        </w:rPr>
        <w:t xml:space="preserve"> 334</w:t>
      </w:r>
      <w:r w:rsidRPr="000A6777">
        <w:rPr>
          <w:b/>
          <w:noProof/>
        </w:rPr>
        <w:t>:</w:t>
      </w:r>
      <w:r w:rsidRPr="000A6777">
        <w:rPr>
          <w:noProof/>
        </w:rPr>
        <w:t xml:space="preserve"> 720-724.</w:t>
      </w:r>
    </w:p>
    <w:p w14:paraId="0438B41F" w14:textId="77777777" w:rsidR="00B32AAB" w:rsidRPr="000A6777" w:rsidRDefault="00B32AAB" w:rsidP="000A6777">
      <w:pPr>
        <w:pStyle w:val="EndNoteBibliography"/>
        <w:ind w:left="720" w:hanging="720"/>
        <w:jc w:val="both"/>
        <w:rPr>
          <w:noProof/>
        </w:rPr>
      </w:pPr>
      <w:r w:rsidRPr="000A6777">
        <w:rPr>
          <w:noProof/>
        </w:rPr>
        <w:t xml:space="preserve">Karsenty, G. (2014) Broadening the Role of Osteocalcin in Leydig Cells. </w:t>
      </w:r>
      <w:r w:rsidRPr="000A6777">
        <w:rPr>
          <w:i/>
          <w:noProof/>
        </w:rPr>
        <w:t>Endocrinology,</w:t>
      </w:r>
      <w:r w:rsidRPr="000A6777">
        <w:rPr>
          <w:noProof/>
        </w:rPr>
        <w:t xml:space="preserve"> 155</w:t>
      </w:r>
      <w:r w:rsidRPr="000A6777">
        <w:rPr>
          <w:b/>
          <w:noProof/>
        </w:rPr>
        <w:t>:</w:t>
      </w:r>
      <w:r w:rsidRPr="000A6777">
        <w:rPr>
          <w:noProof/>
        </w:rPr>
        <w:t xml:space="preserve"> 4115-4116.</w:t>
      </w:r>
    </w:p>
    <w:p w14:paraId="0E62AB5C" w14:textId="77777777" w:rsidR="00B32AAB" w:rsidRPr="000A6777" w:rsidRDefault="00B32AAB" w:rsidP="000A6777">
      <w:pPr>
        <w:pStyle w:val="EndNoteBibliography"/>
        <w:ind w:left="720" w:hanging="720"/>
        <w:jc w:val="both"/>
        <w:rPr>
          <w:noProof/>
        </w:rPr>
      </w:pPr>
      <w:r w:rsidRPr="000A6777">
        <w:rPr>
          <w:noProof/>
        </w:rPr>
        <w:t xml:space="preserve">Karsenty, G., Ferron, M. (2012) The contribution of bone to whole- organism physiology. </w:t>
      </w:r>
      <w:r w:rsidRPr="000A6777">
        <w:rPr>
          <w:i/>
          <w:noProof/>
        </w:rPr>
        <w:t>Nature,</w:t>
      </w:r>
      <w:r w:rsidRPr="000A6777">
        <w:rPr>
          <w:noProof/>
        </w:rPr>
        <w:t xml:space="preserve"> 481</w:t>
      </w:r>
      <w:r w:rsidRPr="000A6777">
        <w:rPr>
          <w:b/>
          <w:noProof/>
        </w:rPr>
        <w:t>:</w:t>
      </w:r>
      <w:r w:rsidRPr="000A6777">
        <w:rPr>
          <w:noProof/>
        </w:rPr>
        <w:t xml:space="preserve"> 314-320.</w:t>
      </w:r>
    </w:p>
    <w:p w14:paraId="7A548E55" w14:textId="77777777" w:rsidR="00B32AAB" w:rsidRPr="000A6777" w:rsidRDefault="00B32AAB" w:rsidP="000A6777">
      <w:pPr>
        <w:pStyle w:val="EndNoteBibliography"/>
        <w:ind w:left="720" w:hanging="720"/>
        <w:jc w:val="both"/>
        <w:rPr>
          <w:noProof/>
        </w:rPr>
      </w:pPr>
      <w:r w:rsidRPr="000A6777">
        <w:rPr>
          <w:noProof/>
        </w:rPr>
        <w:t xml:space="preserve">Karsenty, G., Settembre, C., Kronenberg, H. M. (2009) Genetic control of bone formation. </w:t>
      </w:r>
      <w:r w:rsidRPr="000A6777">
        <w:rPr>
          <w:i/>
          <w:noProof/>
        </w:rPr>
        <w:t>Annual Review of Cell and Developmental Biology,</w:t>
      </w:r>
      <w:r w:rsidRPr="000A6777">
        <w:rPr>
          <w:noProof/>
        </w:rPr>
        <w:t xml:space="preserve"> 25</w:t>
      </w:r>
      <w:r w:rsidRPr="000A6777">
        <w:rPr>
          <w:b/>
          <w:noProof/>
        </w:rPr>
        <w:t>:</w:t>
      </w:r>
      <w:r w:rsidRPr="000A6777">
        <w:rPr>
          <w:noProof/>
        </w:rPr>
        <w:t xml:space="preserve"> 629-648.</w:t>
      </w:r>
    </w:p>
    <w:p w14:paraId="18E54FA3" w14:textId="77777777" w:rsidR="00B32AAB" w:rsidRPr="000A6777" w:rsidRDefault="00B32AAB" w:rsidP="000A6777">
      <w:pPr>
        <w:pStyle w:val="EndNoteBibliography"/>
        <w:ind w:left="720" w:hanging="720"/>
        <w:jc w:val="both"/>
        <w:rPr>
          <w:i/>
          <w:noProof/>
        </w:rPr>
      </w:pPr>
      <w:r w:rsidRPr="000A6777">
        <w:rPr>
          <w:noProof/>
        </w:rPr>
        <w:t xml:space="preserve">Kassem, M., Marie, P. (2011) Senescence- associated intrinsic mechanisms of osteoblast dysfunctions. </w:t>
      </w:r>
      <w:r w:rsidR="00D8560D">
        <w:rPr>
          <w:i/>
          <w:noProof/>
        </w:rPr>
        <w:t xml:space="preserve">Aging Cell, </w:t>
      </w:r>
      <w:r w:rsidR="00D8560D">
        <w:rPr>
          <w:noProof/>
        </w:rPr>
        <w:t>10: 191-197</w:t>
      </w:r>
      <w:r w:rsidRPr="000A6777">
        <w:rPr>
          <w:i/>
          <w:noProof/>
        </w:rPr>
        <w:t>.</w:t>
      </w:r>
    </w:p>
    <w:p w14:paraId="302CE453" w14:textId="77777777" w:rsidR="00B32AAB" w:rsidRPr="000A6777" w:rsidRDefault="00B32AAB" w:rsidP="000A6777">
      <w:pPr>
        <w:pStyle w:val="EndNoteBibliography"/>
        <w:ind w:left="720" w:hanging="720"/>
        <w:jc w:val="both"/>
        <w:rPr>
          <w:noProof/>
        </w:rPr>
      </w:pPr>
      <w:r w:rsidRPr="000A6777">
        <w:rPr>
          <w:noProof/>
        </w:rPr>
        <w:t xml:space="preserve">Khosla, S., Melton, L. J., Riggs, B. L. (2001) Estrogens and Bone Health in Men. </w:t>
      </w:r>
      <w:r w:rsidRPr="000A6777">
        <w:rPr>
          <w:i/>
          <w:noProof/>
        </w:rPr>
        <w:t>Calcified Tissue International,</w:t>
      </w:r>
      <w:r w:rsidRPr="000A6777">
        <w:rPr>
          <w:noProof/>
        </w:rPr>
        <w:t xml:space="preserve"> 69</w:t>
      </w:r>
      <w:r w:rsidRPr="000A6777">
        <w:rPr>
          <w:b/>
          <w:noProof/>
        </w:rPr>
        <w:t>:</w:t>
      </w:r>
      <w:r w:rsidRPr="000A6777">
        <w:rPr>
          <w:noProof/>
        </w:rPr>
        <w:t xml:space="preserve"> 189-192.</w:t>
      </w:r>
    </w:p>
    <w:p w14:paraId="45402243" w14:textId="77777777" w:rsidR="00B32AAB" w:rsidRPr="000A6777" w:rsidRDefault="00B32AAB" w:rsidP="000A6777">
      <w:pPr>
        <w:pStyle w:val="EndNoteBibliography"/>
        <w:ind w:left="720" w:hanging="720"/>
        <w:jc w:val="both"/>
        <w:rPr>
          <w:noProof/>
        </w:rPr>
      </w:pPr>
      <w:r w:rsidRPr="000A6777">
        <w:rPr>
          <w:noProof/>
        </w:rPr>
        <w:t xml:space="preserve">Khosla, S., Riggs, B. L., Atkinson, E. J., Oberg, A. L., McDaniel, L. J., Holets, M., Peterson, J. M., Melton Iii, L. J. (2006) Effects of sex and age on bone microstructure at the ultradistal radius: A population-based noninvasive in vivo assessment. </w:t>
      </w:r>
      <w:r w:rsidRPr="000A6777">
        <w:rPr>
          <w:i/>
          <w:noProof/>
        </w:rPr>
        <w:t>Journal of Bone and Mineral Research,</w:t>
      </w:r>
      <w:r w:rsidRPr="000A6777">
        <w:rPr>
          <w:noProof/>
        </w:rPr>
        <w:t xml:space="preserve"> 21</w:t>
      </w:r>
      <w:r w:rsidRPr="000A6777">
        <w:rPr>
          <w:b/>
          <w:noProof/>
        </w:rPr>
        <w:t>:</w:t>
      </w:r>
      <w:r w:rsidRPr="000A6777">
        <w:rPr>
          <w:noProof/>
        </w:rPr>
        <w:t xml:space="preserve"> 124-131.</w:t>
      </w:r>
    </w:p>
    <w:p w14:paraId="486F4393" w14:textId="77777777" w:rsidR="00B32AAB" w:rsidRPr="000A6777" w:rsidRDefault="00B32AAB" w:rsidP="000A6777">
      <w:pPr>
        <w:pStyle w:val="EndNoteBibliography"/>
        <w:ind w:left="720" w:hanging="720"/>
        <w:jc w:val="both"/>
        <w:rPr>
          <w:noProof/>
        </w:rPr>
      </w:pPr>
      <w:r w:rsidRPr="000A6777">
        <w:rPr>
          <w:noProof/>
        </w:rPr>
        <w:t xml:space="preserve">Kim, C. H., Takai, E., Zhou, H., Von Stechow, D., Müller, R., Dempster, D. W., Guo, X. E. (2003) Trabecular Bone Response to Mechanical and Parathyroid Hormone Stimulation: The Role of Mechanical Microenvironment. </w:t>
      </w:r>
      <w:r w:rsidRPr="000A6777">
        <w:rPr>
          <w:i/>
          <w:noProof/>
        </w:rPr>
        <w:t>Journal of Bone and Mineral Research,</w:t>
      </w:r>
      <w:r w:rsidRPr="000A6777">
        <w:rPr>
          <w:noProof/>
        </w:rPr>
        <w:t xml:space="preserve"> 18</w:t>
      </w:r>
      <w:r w:rsidRPr="000A6777">
        <w:rPr>
          <w:b/>
          <w:noProof/>
        </w:rPr>
        <w:t>:</w:t>
      </w:r>
      <w:r w:rsidRPr="000A6777">
        <w:rPr>
          <w:noProof/>
        </w:rPr>
        <w:t xml:space="preserve"> 2116-2125.</w:t>
      </w:r>
    </w:p>
    <w:p w14:paraId="6F803312" w14:textId="77777777" w:rsidR="00B32AAB" w:rsidRPr="000A6777" w:rsidRDefault="00B32AAB" w:rsidP="000A6777">
      <w:pPr>
        <w:pStyle w:val="EndNoteBibliography"/>
        <w:ind w:left="720" w:hanging="720"/>
        <w:jc w:val="both"/>
        <w:rPr>
          <w:noProof/>
        </w:rPr>
      </w:pPr>
      <w:r w:rsidRPr="000A6777">
        <w:rPr>
          <w:noProof/>
        </w:rPr>
        <w:t xml:space="preserve">Kim, S. W., Her, S. J., Park, S. J., Kim, D., Park, K. S., Lee, H. K., Shin, C. S., Kim, S. Y., Han, B. H., Kim, M. S. (2005) Ghrelin stimulates proliferation and differentiation and inhibits apoptosis in osteoblastic MC3T3- E1 cells. </w:t>
      </w:r>
      <w:r w:rsidRPr="000A6777">
        <w:rPr>
          <w:i/>
          <w:noProof/>
        </w:rPr>
        <w:t>Bone,</w:t>
      </w:r>
      <w:r w:rsidRPr="000A6777">
        <w:rPr>
          <w:noProof/>
        </w:rPr>
        <w:t xml:space="preserve"> 37</w:t>
      </w:r>
      <w:r w:rsidRPr="000A6777">
        <w:rPr>
          <w:b/>
          <w:noProof/>
        </w:rPr>
        <w:t>:</w:t>
      </w:r>
      <w:r w:rsidRPr="000A6777">
        <w:rPr>
          <w:noProof/>
        </w:rPr>
        <w:t xml:space="preserve"> 359-369.</w:t>
      </w:r>
    </w:p>
    <w:p w14:paraId="24341D1F" w14:textId="77777777" w:rsidR="00B32AAB" w:rsidRPr="000A6777" w:rsidRDefault="00B32AAB" w:rsidP="000A6777">
      <w:pPr>
        <w:pStyle w:val="EndNoteBibliography"/>
        <w:ind w:left="720" w:hanging="720"/>
        <w:jc w:val="both"/>
        <w:rPr>
          <w:noProof/>
        </w:rPr>
      </w:pPr>
      <w:r w:rsidRPr="000A6777">
        <w:rPr>
          <w:noProof/>
        </w:rPr>
        <w:lastRenderedPageBreak/>
        <w:t xml:space="preserve">Kmiec, Z. (2006) Central Regulation Of Food Intake In Ageing. </w:t>
      </w:r>
      <w:r w:rsidRPr="000A6777">
        <w:rPr>
          <w:i/>
          <w:noProof/>
        </w:rPr>
        <w:t>Journal of Physiology and Pharmacology,</w:t>
      </w:r>
      <w:r w:rsidRPr="000A6777">
        <w:rPr>
          <w:noProof/>
        </w:rPr>
        <w:t xml:space="preserve"> 57</w:t>
      </w:r>
      <w:r w:rsidRPr="000A6777">
        <w:rPr>
          <w:b/>
          <w:noProof/>
        </w:rPr>
        <w:t>:</w:t>
      </w:r>
      <w:r w:rsidRPr="000A6777">
        <w:rPr>
          <w:noProof/>
        </w:rPr>
        <w:t xml:space="preserve"> 7-16.</w:t>
      </w:r>
    </w:p>
    <w:p w14:paraId="7E4DF12B" w14:textId="77777777" w:rsidR="00B32AAB" w:rsidRPr="000A6777" w:rsidRDefault="00B32AAB" w:rsidP="000A6777">
      <w:pPr>
        <w:pStyle w:val="EndNoteBibliography"/>
        <w:ind w:left="720" w:hanging="720"/>
        <w:jc w:val="both"/>
        <w:rPr>
          <w:noProof/>
        </w:rPr>
      </w:pPr>
      <w:r w:rsidRPr="000A6777">
        <w:rPr>
          <w:noProof/>
        </w:rPr>
        <w:t xml:space="preserve">Knopp, E., Troiano, N., Bouxsein, M., Sun, B.-H., Lostritto, K., Gundberg, C., Dziura, J., Insogna, K. (2005) The Effect of Aging on the Skeletal Response to Intermittent Treatment with Parathyroid Hormone. </w:t>
      </w:r>
      <w:r w:rsidRPr="000A6777">
        <w:rPr>
          <w:i/>
          <w:noProof/>
        </w:rPr>
        <w:t>Endocrinology,</w:t>
      </w:r>
      <w:r w:rsidRPr="000A6777">
        <w:rPr>
          <w:noProof/>
        </w:rPr>
        <w:t xml:space="preserve"> 146</w:t>
      </w:r>
      <w:r w:rsidRPr="000A6777">
        <w:rPr>
          <w:b/>
          <w:noProof/>
        </w:rPr>
        <w:t>:</w:t>
      </w:r>
      <w:r w:rsidRPr="000A6777">
        <w:rPr>
          <w:noProof/>
        </w:rPr>
        <w:t xml:space="preserve"> 1983-1990.</w:t>
      </w:r>
    </w:p>
    <w:p w14:paraId="0F2A06B2" w14:textId="77777777" w:rsidR="00B32AAB" w:rsidRPr="000A6777" w:rsidRDefault="00B32AAB" w:rsidP="000A6777">
      <w:pPr>
        <w:pStyle w:val="EndNoteBibliography"/>
        <w:ind w:left="720" w:hanging="720"/>
        <w:jc w:val="both"/>
        <w:rPr>
          <w:noProof/>
        </w:rPr>
      </w:pPr>
      <w:r w:rsidRPr="000A6777">
        <w:rPr>
          <w:noProof/>
        </w:rPr>
        <w:t xml:space="preserve">Kohno, D., Sone, H., Minokoshi, Y., Yada, T. (2008) Ghrelin raises [Ca2+]i via AMPK in hypothalamic arcuate nucleus NPY neurons. </w:t>
      </w:r>
      <w:r w:rsidRPr="000A6777">
        <w:rPr>
          <w:i/>
          <w:noProof/>
        </w:rPr>
        <w:t>Biochemical and Biophysical Research Communications,</w:t>
      </w:r>
      <w:r w:rsidRPr="000A6777">
        <w:rPr>
          <w:noProof/>
        </w:rPr>
        <w:t xml:space="preserve"> 366</w:t>
      </w:r>
      <w:r w:rsidRPr="000A6777">
        <w:rPr>
          <w:b/>
          <w:noProof/>
        </w:rPr>
        <w:t>:</w:t>
      </w:r>
      <w:r w:rsidRPr="000A6777">
        <w:rPr>
          <w:noProof/>
        </w:rPr>
        <w:t xml:space="preserve"> 388-392.</w:t>
      </w:r>
    </w:p>
    <w:p w14:paraId="5A4F88BE" w14:textId="77777777" w:rsidR="00B32AAB" w:rsidRPr="000A6777" w:rsidRDefault="00B32AAB" w:rsidP="000A6777">
      <w:pPr>
        <w:pStyle w:val="EndNoteBibliography"/>
        <w:ind w:left="720" w:hanging="720"/>
        <w:jc w:val="both"/>
        <w:rPr>
          <w:noProof/>
        </w:rPr>
      </w:pPr>
      <w:r w:rsidRPr="000A6777">
        <w:rPr>
          <w:noProof/>
        </w:rPr>
        <w:t xml:space="preserve">Kohsaka, A., Laposky, A. D., Ramsey, K. M., Estrada, C., Joshu, C., Kobayashi, Y., Turek, F. W., Bass, J. (2007) High- fat diet disrupts behavioral and molecular circadian rhythms in mice. </w:t>
      </w:r>
      <w:r w:rsidR="008F3916">
        <w:rPr>
          <w:i/>
          <w:noProof/>
        </w:rPr>
        <w:t>Cell M</w:t>
      </w:r>
      <w:r w:rsidRPr="000A6777">
        <w:rPr>
          <w:i/>
          <w:noProof/>
        </w:rPr>
        <w:t>etabolism,</w:t>
      </w:r>
      <w:r w:rsidRPr="000A6777">
        <w:rPr>
          <w:noProof/>
        </w:rPr>
        <w:t xml:space="preserve"> 6</w:t>
      </w:r>
      <w:r w:rsidRPr="000A6777">
        <w:rPr>
          <w:b/>
          <w:noProof/>
        </w:rPr>
        <w:t>:</w:t>
      </w:r>
      <w:r w:rsidRPr="000A6777">
        <w:rPr>
          <w:noProof/>
        </w:rPr>
        <w:t xml:space="preserve"> 414-421.</w:t>
      </w:r>
    </w:p>
    <w:p w14:paraId="383DD610" w14:textId="77777777" w:rsidR="00B32AAB" w:rsidRPr="000A6777" w:rsidRDefault="00B32AAB" w:rsidP="000A6777">
      <w:pPr>
        <w:pStyle w:val="EndNoteBibliography"/>
        <w:ind w:left="720" w:hanging="720"/>
        <w:jc w:val="both"/>
        <w:rPr>
          <w:noProof/>
        </w:rPr>
      </w:pPr>
      <w:r w:rsidRPr="000A6777">
        <w:rPr>
          <w:noProof/>
        </w:rPr>
        <w:t xml:space="preserve">Kojima, M., Hosoda, H., Date, Y., Nakazato, M., Matsuo, H., Kangawa, K. (1999) Ghrelin is a growth-hormone-releasing acylated peptide from stomach. </w:t>
      </w:r>
      <w:r w:rsidRPr="000A6777">
        <w:rPr>
          <w:i/>
          <w:noProof/>
        </w:rPr>
        <w:t>Nature,</w:t>
      </w:r>
      <w:r w:rsidRPr="000A6777">
        <w:rPr>
          <w:noProof/>
        </w:rPr>
        <w:t xml:space="preserve"> 402(6762)</w:t>
      </w:r>
      <w:r w:rsidRPr="000A6777">
        <w:rPr>
          <w:b/>
          <w:noProof/>
        </w:rPr>
        <w:t>:</w:t>
      </w:r>
      <w:r w:rsidRPr="000A6777">
        <w:rPr>
          <w:noProof/>
        </w:rPr>
        <w:t xml:space="preserve"> 656-660.</w:t>
      </w:r>
    </w:p>
    <w:p w14:paraId="3749F303" w14:textId="77777777" w:rsidR="00B32AAB" w:rsidRPr="000A6777" w:rsidRDefault="00B32AAB" w:rsidP="000A6777">
      <w:pPr>
        <w:pStyle w:val="EndNoteBibliography"/>
        <w:ind w:left="720" w:hanging="720"/>
        <w:jc w:val="both"/>
        <w:rPr>
          <w:noProof/>
        </w:rPr>
      </w:pPr>
      <w:r w:rsidRPr="000A6777">
        <w:rPr>
          <w:noProof/>
        </w:rPr>
        <w:t xml:space="preserve">Kojima, M., Hosoda, H., Matsuo, H., Kangawa, K. (2001) Ghrelin: discovery of the natural endogenous ligand for the growth hormone secretagogue receptor. </w:t>
      </w:r>
      <w:r w:rsidRPr="000A6777">
        <w:rPr>
          <w:i/>
          <w:noProof/>
        </w:rPr>
        <w:t>Trends in Endocrinology and Metabolism,</w:t>
      </w:r>
      <w:r w:rsidRPr="000A6777">
        <w:rPr>
          <w:noProof/>
        </w:rPr>
        <w:t xml:space="preserve"> 12</w:t>
      </w:r>
      <w:r w:rsidRPr="000A6777">
        <w:rPr>
          <w:b/>
          <w:noProof/>
        </w:rPr>
        <w:t>:</w:t>
      </w:r>
      <w:r w:rsidRPr="000A6777">
        <w:rPr>
          <w:noProof/>
        </w:rPr>
        <w:t xml:space="preserve"> 118-122.</w:t>
      </w:r>
    </w:p>
    <w:p w14:paraId="2AFC93B5" w14:textId="77777777" w:rsidR="00B32AAB" w:rsidRPr="000A6777" w:rsidRDefault="00B32AAB" w:rsidP="000A6777">
      <w:pPr>
        <w:pStyle w:val="EndNoteBibliography"/>
        <w:ind w:left="720" w:hanging="720"/>
        <w:jc w:val="both"/>
        <w:rPr>
          <w:noProof/>
        </w:rPr>
      </w:pPr>
      <w:r w:rsidRPr="000A6777">
        <w:rPr>
          <w:noProof/>
        </w:rPr>
        <w:t xml:space="preserve">Kojima, M., Kangawa, K. (2005) Ghrelin: Structure and Function. </w:t>
      </w:r>
      <w:r w:rsidRPr="000A6777">
        <w:rPr>
          <w:i/>
          <w:noProof/>
        </w:rPr>
        <w:t>Physiological Reviews,</w:t>
      </w:r>
      <w:r w:rsidRPr="000A6777">
        <w:rPr>
          <w:noProof/>
        </w:rPr>
        <w:t xml:space="preserve"> 85</w:t>
      </w:r>
      <w:r w:rsidRPr="000A6777">
        <w:rPr>
          <w:b/>
          <w:noProof/>
        </w:rPr>
        <w:t>:</w:t>
      </w:r>
      <w:r w:rsidRPr="000A6777">
        <w:rPr>
          <w:noProof/>
        </w:rPr>
        <w:t xml:space="preserve"> 495-522.</w:t>
      </w:r>
    </w:p>
    <w:p w14:paraId="36BB4386" w14:textId="77777777" w:rsidR="00B32AAB" w:rsidRPr="000A6777" w:rsidRDefault="00B32AAB" w:rsidP="000A6777">
      <w:pPr>
        <w:pStyle w:val="EndNoteBibliography"/>
        <w:ind w:left="720" w:hanging="720"/>
        <w:jc w:val="both"/>
        <w:rPr>
          <w:noProof/>
        </w:rPr>
      </w:pPr>
      <w:r w:rsidRPr="000A6777">
        <w:rPr>
          <w:noProof/>
        </w:rPr>
        <w:t xml:space="preserve">Komori, T. (2010) Regulation of bone development and extracellular matrix protein genes by RUNX2. </w:t>
      </w:r>
      <w:r w:rsidRPr="000A6777">
        <w:rPr>
          <w:i/>
          <w:noProof/>
        </w:rPr>
        <w:t>Cell and Tissue Research,</w:t>
      </w:r>
      <w:r w:rsidRPr="000A6777">
        <w:rPr>
          <w:noProof/>
        </w:rPr>
        <w:t xml:space="preserve"> 339</w:t>
      </w:r>
      <w:r w:rsidRPr="000A6777">
        <w:rPr>
          <w:b/>
          <w:noProof/>
        </w:rPr>
        <w:t>:</w:t>
      </w:r>
      <w:r w:rsidRPr="000A6777">
        <w:rPr>
          <w:noProof/>
        </w:rPr>
        <w:t xml:space="preserve"> 189-195.</w:t>
      </w:r>
    </w:p>
    <w:p w14:paraId="491A2B12" w14:textId="77777777" w:rsidR="00B32AAB" w:rsidRPr="000A6777" w:rsidRDefault="00B32AAB" w:rsidP="000A6777">
      <w:pPr>
        <w:pStyle w:val="EndNoteBibliography"/>
        <w:ind w:left="720" w:hanging="720"/>
        <w:jc w:val="both"/>
        <w:rPr>
          <w:noProof/>
        </w:rPr>
      </w:pPr>
      <w:r w:rsidRPr="000A6777">
        <w:rPr>
          <w:noProof/>
        </w:rPr>
        <w:t xml:space="preserve">Komori, T. (2015) Animal models for osteoporosis. </w:t>
      </w:r>
      <w:r w:rsidRPr="000A6777">
        <w:rPr>
          <w:i/>
          <w:noProof/>
        </w:rPr>
        <w:t>European Journal of Pharmacology,</w:t>
      </w:r>
      <w:r w:rsidRPr="000A6777">
        <w:rPr>
          <w:noProof/>
        </w:rPr>
        <w:t xml:space="preserve"> 759</w:t>
      </w:r>
      <w:r w:rsidRPr="000A6777">
        <w:rPr>
          <w:b/>
          <w:noProof/>
        </w:rPr>
        <w:t>:</w:t>
      </w:r>
      <w:r w:rsidRPr="000A6777">
        <w:rPr>
          <w:noProof/>
        </w:rPr>
        <w:t xml:space="preserve"> 287-294.</w:t>
      </w:r>
    </w:p>
    <w:p w14:paraId="0BF31EA5" w14:textId="77777777" w:rsidR="00B32AAB" w:rsidRPr="000A6777" w:rsidRDefault="00B32AAB" w:rsidP="000A6777">
      <w:pPr>
        <w:pStyle w:val="EndNoteBibliography"/>
        <w:ind w:left="720" w:hanging="720"/>
        <w:jc w:val="both"/>
        <w:rPr>
          <w:noProof/>
        </w:rPr>
      </w:pPr>
      <w:r w:rsidRPr="000A6777">
        <w:rPr>
          <w:noProof/>
        </w:rPr>
        <w:t xml:space="preserve">Komori, T. (2016) Glucocorticoid Signaling and Bone Biology. </w:t>
      </w:r>
      <w:r w:rsidR="008F3916">
        <w:rPr>
          <w:i/>
          <w:noProof/>
        </w:rPr>
        <w:t>Hormone and Metabolic R</w:t>
      </w:r>
      <w:r w:rsidRPr="000A6777">
        <w:rPr>
          <w:i/>
          <w:noProof/>
        </w:rPr>
        <w:t>esearch.,</w:t>
      </w:r>
      <w:r w:rsidRPr="000A6777">
        <w:rPr>
          <w:noProof/>
        </w:rPr>
        <w:t xml:space="preserve"> 48</w:t>
      </w:r>
      <w:r w:rsidRPr="000A6777">
        <w:rPr>
          <w:b/>
          <w:noProof/>
        </w:rPr>
        <w:t>:</w:t>
      </w:r>
      <w:r w:rsidRPr="000A6777">
        <w:rPr>
          <w:noProof/>
        </w:rPr>
        <w:t xml:space="preserve"> 755-763.</w:t>
      </w:r>
    </w:p>
    <w:p w14:paraId="08EB4FE6" w14:textId="77777777" w:rsidR="00B32AAB" w:rsidRPr="000A6777" w:rsidRDefault="00B32AAB" w:rsidP="000A6777">
      <w:pPr>
        <w:pStyle w:val="EndNoteBibliography"/>
        <w:ind w:left="720" w:hanging="720"/>
        <w:jc w:val="both"/>
        <w:rPr>
          <w:noProof/>
        </w:rPr>
      </w:pPr>
      <w:r w:rsidRPr="000A6777">
        <w:rPr>
          <w:noProof/>
        </w:rPr>
        <w:t xml:space="preserve">Kream, B. E., Smith, M. D., Canalis, E., Raisz, L. G. (1985) Characterization of the Effect of Insulin on Collagen Synthesis in Fetal Rat Bone. </w:t>
      </w:r>
      <w:r w:rsidR="0063439A">
        <w:rPr>
          <w:i/>
          <w:noProof/>
        </w:rPr>
        <w:t>Endocrinology</w:t>
      </w:r>
      <w:r w:rsidRPr="000A6777">
        <w:rPr>
          <w:i/>
          <w:noProof/>
        </w:rPr>
        <w:t>,</w:t>
      </w:r>
      <w:r w:rsidRPr="000A6777">
        <w:rPr>
          <w:noProof/>
        </w:rPr>
        <w:t xml:space="preserve"> 116</w:t>
      </w:r>
      <w:r w:rsidRPr="000A6777">
        <w:rPr>
          <w:b/>
          <w:noProof/>
        </w:rPr>
        <w:t>:</w:t>
      </w:r>
      <w:r w:rsidRPr="000A6777">
        <w:rPr>
          <w:noProof/>
        </w:rPr>
        <w:t xml:space="preserve"> 296-302.</w:t>
      </w:r>
    </w:p>
    <w:p w14:paraId="4664E79F" w14:textId="77777777" w:rsidR="00B32AAB" w:rsidRPr="000A6777" w:rsidRDefault="00B32AAB" w:rsidP="000A6777">
      <w:pPr>
        <w:pStyle w:val="EndNoteBibliography"/>
        <w:ind w:left="720" w:hanging="720"/>
        <w:jc w:val="both"/>
        <w:rPr>
          <w:noProof/>
        </w:rPr>
      </w:pPr>
      <w:r w:rsidRPr="000A6777">
        <w:rPr>
          <w:noProof/>
        </w:rPr>
        <w:t xml:space="preserve">Kuro-O., M., Matsumura, Y., Aizawa, H., Kawaguchi, H., Suga. T., Utsugi, T., Ohyama, Y., Kurabayashi, M., Kaname, T., Kume, E., Iwasaki, H., Iida, A., Shiraki-Iida, T., Nishikawa, S., Nagai, R., Nabeshima, Y. (1997) Mutation of the mouse klotho gene leads to a syndrome resembling ageing. </w:t>
      </w:r>
      <w:r w:rsidRPr="000A6777">
        <w:rPr>
          <w:i/>
          <w:noProof/>
        </w:rPr>
        <w:t>Nature,</w:t>
      </w:r>
      <w:r w:rsidRPr="000A6777">
        <w:rPr>
          <w:noProof/>
        </w:rPr>
        <w:t xml:space="preserve"> 390</w:t>
      </w:r>
      <w:r w:rsidRPr="000A6777">
        <w:rPr>
          <w:b/>
          <w:noProof/>
        </w:rPr>
        <w:t>:</w:t>
      </w:r>
      <w:r w:rsidRPr="000A6777">
        <w:rPr>
          <w:noProof/>
        </w:rPr>
        <w:t xml:space="preserve"> 45-51.</w:t>
      </w:r>
    </w:p>
    <w:p w14:paraId="28169A07" w14:textId="77777777" w:rsidR="00B32AAB" w:rsidRPr="000A6777" w:rsidRDefault="00B32AAB" w:rsidP="000A6777">
      <w:pPr>
        <w:pStyle w:val="EndNoteBibliography"/>
        <w:ind w:left="720" w:hanging="720"/>
        <w:jc w:val="both"/>
        <w:rPr>
          <w:noProof/>
        </w:rPr>
      </w:pPr>
      <w:r w:rsidRPr="000A6777">
        <w:rPr>
          <w:noProof/>
        </w:rPr>
        <w:t xml:space="preserve">Kurokawa, M., Akino, K., Kanda, K. (2000) A new apparatus for studying feeding and drinking in the mouse. </w:t>
      </w:r>
      <w:r w:rsidRPr="000A6777">
        <w:rPr>
          <w:i/>
          <w:noProof/>
        </w:rPr>
        <w:t>Physiology and Behavior,</w:t>
      </w:r>
      <w:r w:rsidRPr="000A6777">
        <w:rPr>
          <w:noProof/>
        </w:rPr>
        <w:t xml:space="preserve"> 70</w:t>
      </w:r>
      <w:r w:rsidRPr="000A6777">
        <w:rPr>
          <w:b/>
          <w:noProof/>
        </w:rPr>
        <w:t>:</w:t>
      </w:r>
      <w:r w:rsidRPr="000A6777">
        <w:rPr>
          <w:noProof/>
        </w:rPr>
        <w:t xml:space="preserve"> 105-112.</w:t>
      </w:r>
    </w:p>
    <w:p w14:paraId="061FBB2A" w14:textId="77777777" w:rsidR="00B32AAB" w:rsidRPr="000A6777" w:rsidRDefault="00B32AAB" w:rsidP="000A6777">
      <w:pPr>
        <w:pStyle w:val="EndNoteBibliography"/>
        <w:ind w:left="720" w:hanging="720"/>
        <w:jc w:val="both"/>
        <w:rPr>
          <w:noProof/>
        </w:rPr>
      </w:pPr>
      <w:r w:rsidRPr="000A6777">
        <w:rPr>
          <w:noProof/>
        </w:rPr>
        <w:t xml:space="preserve">Landin-Wilhelmsen, K., Wilhelmsen, L., Lappas, G., Rosén, T., Lindstedt, G., Lundberg, P. A., Bengtsson, B. A. (1994) Serum insulin-like growth factor I in a random </w:t>
      </w:r>
      <w:r w:rsidRPr="000A6777">
        <w:rPr>
          <w:noProof/>
        </w:rPr>
        <w:lastRenderedPageBreak/>
        <w:t xml:space="preserve">population sample of men and women: relation to age, sex, smoking habits, coffee consumption and physical activity, blood pressure and concentrations of plasma lipids, fibrinogen, parathyroid hormone and osteocalcin. </w:t>
      </w:r>
      <w:r w:rsidRPr="000A6777">
        <w:rPr>
          <w:i/>
          <w:noProof/>
        </w:rPr>
        <w:t>Clinic</w:t>
      </w:r>
      <w:r w:rsidR="008F3916">
        <w:rPr>
          <w:i/>
          <w:noProof/>
        </w:rPr>
        <w:t>al E</w:t>
      </w:r>
      <w:r w:rsidRPr="000A6777">
        <w:rPr>
          <w:i/>
          <w:noProof/>
        </w:rPr>
        <w:t>ndocrinology,</w:t>
      </w:r>
      <w:r w:rsidRPr="000A6777">
        <w:rPr>
          <w:noProof/>
        </w:rPr>
        <w:t xml:space="preserve"> 41</w:t>
      </w:r>
      <w:r w:rsidRPr="000A6777">
        <w:rPr>
          <w:b/>
          <w:noProof/>
        </w:rPr>
        <w:t>:</w:t>
      </w:r>
      <w:r w:rsidRPr="000A6777">
        <w:rPr>
          <w:noProof/>
        </w:rPr>
        <w:t xml:space="preserve"> 351-357.</w:t>
      </w:r>
    </w:p>
    <w:p w14:paraId="0A5BEBB7" w14:textId="77777777" w:rsidR="00B32AAB" w:rsidRPr="000A6777" w:rsidRDefault="00B32AAB" w:rsidP="000A6777">
      <w:pPr>
        <w:pStyle w:val="EndNoteBibliography"/>
        <w:ind w:left="720" w:hanging="720"/>
        <w:jc w:val="both"/>
        <w:rPr>
          <w:noProof/>
        </w:rPr>
      </w:pPr>
      <w:r w:rsidRPr="000A6777">
        <w:rPr>
          <w:noProof/>
        </w:rPr>
        <w:t xml:space="preserve">Lanyon, L., Skerry, T. (2001) Postmenopausal osteoporosis as a failure of bone's adaptation to functional loading: A hypothesis. </w:t>
      </w:r>
      <w:r w:rsidRPr="000A6777">
        <w:rPr>
          <w:i/>
          <w:noProof/>
        </w:rPr>
        <w:t>Journal of Bone and Mineral Research,</w:t>
      </w:r>
      <w:r w:rsidRPr="000A6777">
        <w:rPr>
          <w:noProof/>
        </w:rPr>
        <w:t xml:space="preserve"> 16</w:t>
      </w:r>
      <w:r w:rsidRPr="000A6777">
        <w:rPr>
          <w:b/>
          <w:noProof/>
        </w:rPr>
        <w:t>:</w:t>
      </w:r>
      <w:r w:rsidRPr="000A6777">
        <w:rPr>
          <w:noProof/>
        </w:rPr>
        <w:t xml:space="preserve"> 1937-1947.</w:t>
      </w:r>
    </w:p>
    <w:p w14:paraId="036E7A77" w14:textId="77777777" w:rsidR="00B32AAB" w:rsidRPr="000A6777" w:rsidRDefault="00B32AAB" w:rsidP="000A6777">
      <w:pPr>
        <w:pStyle w:val="EndNoteBibliography"/>
        <w:ind w:left="720" w:hanging="720"/>
        <w:jc w:val="both"/>
        <w:rPr>
          <w:noProof/>
        </w:rPr>
      </w:pPr>
      <w:r w:rsidRPr="000A6777">
        <w:rPr>
          <w:noProof/>
        </w:rPr>
        <w:t xml:space="preserve">Lanyon, L., Sugiyama, T., Price, J. S. (2009) Regulation of bone mass: Local control or systemic influence or both? </w:t>
      </w:r>
      <w:r w:rsidRPr="000A6777">
        <w:rPr>
          <w:i/>
          <w:noProof/>
        </w:rPr>
        <w:t>IBMS BoneKEy,</w:t>
      </w:r>
      <w:r w:rsidRPr="000A6777">
        <w:rPr>
          <w:noProof/>
        </w:rPr>
        <w:t xml:space="preserve"> 6</w:t>
      </w:r>
      <w:r w:rsidRPr="000A6777">
        <w:rPr>
          <w:b/>
          <w:noProof/>
        </w:rPr>
        <w:t>:</w:t>
      </w:r>
      <w:r w:rsidRPr="000A6777">
        <w:rPr>
          <w:noProof/>
        </w:rPr>
        <w:t xml:space="preserve"> 218-226.</w:t>
      </w:r>
    </w:p>
    <w:p w14:paraId="405CD670" w14:textId="77777777" w:rsidR="00B32AAB" w:rsidRPr="000A6777" w:rsidRDefault="00B32AAB" w:rsidP="000A6777">
      <w:pPr>
        <w:pStyle w:val="EndNoteBibliography"/>
        <w:ind w:left="720" w:hanging="720"/>
        <w:jc w:val="both"/>
        <w:rPr>
          <w:noProof/>
        </w:rPr>
      </w:pPr>
      <w:r w:rsidRPr="000A6777">
        <w:rPr>
          <w:noProof/>
        </w:rPr>
        <w:t xml:space="preserve">Lanyon, L. E. (1987) Functional strain in bone tissue as an objective, and controlling stimulus for adaptive bone remodelling. </w:t>
      </w:r>
      <w:r w:rsidRPr="000A6777">
        <w:rPr>
          <w:i/>
          <w:noProof/>
        </w:rPr>
        <w:t>Journal of Biomechanics,</w:t>
      </w:r>
      <w:r w:rsidRPr="000A6777">
        <w:rPr>
          <w:noProof/>
        </w:rPr>
        <w:t xml:space="preserve"> 20</w:t>
      </w:r>
      <w:r w:rsidRPr="000A6777">
        <w:rPr>
          <w:b/>
          <w:noProof/>
        </w:rPr>
        <w:t>:</w:t>
      </w:r>
      <w:r w:rsidRPr="000A6777">
        <w:rPr>
          <w:noProof/>
        </w:rPr>
        <w:t xml:space="preserve"> 1083-1093.</w:t>
      </w:r>
    </w:p>
    <w:p w14:paraId="449B4ACC" w14:textId="77777777" w:rsidR="00B32AAB" w:rsidRPr="000A6777" w:rsidRDefault="00B32AAB" w:rsidP="000A6777">
      <w:pPr>
        <w:pStyle w:val="EndNoteBibliography"/>
        <w:ind w:left="720" w:hanging="720"/>
        <w:jc w:val="both"/>
        <w:rPr>
          <w:noProof/>
        </w:rPr>
      </w:pPr>
      <w:r w:rsidRPr="000A6777">
        <w:rPr>
          <w:noProof/>
        </w:rPr>
        <w:t xml:space="preserve">Lanyon, L. E., Goodship, A. E., Pye, C. J., Macfie, J. H. (1982) Mechanically adaptive bone remodelling. </w:t>
      </w:r>
      <w:r w:rsidRPr="000A6777">
        <w:rPr>
          <w:i/>
          <w:noProof/>
        </w:rPr>
        <w:t>Journal of Biomechanics,</w:t>
      </w:r>
      <w:r w:rsidRPr="000A6777">
        <w:rPr>
          <w:noProof/>
        </w:rPr>
        <w:t xml:space="preserve"> 15</w:t>
      </w:r>
      <w:r w:rsidRPr="000A6777">
        <w:rPr>
          <w:b/>
          <w:noProof/>
        </w:rPr>
        <w:t>:</w:t>
      </w:r>
      <w:r w:rsidRPr="000A6777">
        <w:rPr>
          <w:noProof/>
        </w:rPr>
        <w:t xml:space="preserve"> 141-154.</w:t>
      </w:r>
    </w:p>
    <w:p w14:paraId="14915239" w14:textId="77777777" w:rsidR="00B32AAB" w:rsidRPr="000A6777" w:rsidRDefault="00B32AAB" w:rsidP="000A6777">
      <w:pPr>
        <w:pStyle w:val="EndNoteBibliography"/>
        <w:ind w:left="720" w:hanging="720"/>
        <w:jc w:val="both"/>
        <w:rPr>
          <w:noProof/>
        </w:rPr>
      </w:pPr>
      <w:r w:rsidRPr="000A6777">
        <w:rPr>
          <w:noProof/>
        </w:rPr>
        <w:t xml:space="preserve">Lee, K., Jessop, H., Suswillo, R., Zaman, G., Lanyon, L. (2003) Endocrinology: Bone adaptation requires oestrogen receptor-α. </w:t>
      </w:r>
      <w:r w:rsidRPr="000A6777">
        <w:rPr>
          <w:i/>
          <w:noProof/>
        </w:rPr>
        <w:t>Nature,</w:t>
      </w:r>
      <w:r w:rsidRPr="000A6777">
        <w:rPr>
          <w:noProof/>
        </w:rPr>
        <w:t xml:space="preserve"> 424</w:t>
      </w:r>
      <w:r w:rsidRPr="000A6777">
        <w:rPr>
          <w:b/>
          <w:noProof/>
        </w:rPr>
        <w:t>:</w:t>
      </w:r>
      <w:r w:rsidRPr="000A6777">
        <w:rPr>
          <w:noProof/>
        </w:rPr>
        <w:t xml:space="preserve"> 389-390.</w:t>
      </w:r>
    </w:p>
    <w:p w14:paraId="260C0D94" w14:textId="77777777" w:rsidR="00B32AAB" w:rsidRPr="000A6777" w:rsidRDefault="00B32AAB" w:rsidP="000A6777">
      <w:pPr>
        <w:pStyle w:val="EndNoteBibliography"/>
        <w:ind w:left="720" w:hanging="720"/>
        <w:jc w:val="both"/>
        <w:rPr>
          <w:noProof/>
        </w:rPr>
      </w:pPr>
      <w:r w:rsidRPr="000A6777">
        <w:rPr>
          <w:noProof/>
        </w:rPr>
        <w:t xml:space="preserve">Lee, N. K., Sowa, H., Hinoi, E., Ferron, M., Ahn, J. D., Confavreux, C., Dacquin, R., Mee, P. J., McKee, M. D., Jung, D. Y., Zhang, Z., Kim, J. K., Mauvais-Jarvis, F., Ducy, P., Karsenty, G. (2007) Endocrine Regulation of Energy Metabolism by the Skeleton. </w:t>
      </w:r>
      <w:r w:rsidRPr="000A6777">
        <w:rPr>
          <w:i/>
          <w:noProof/>
        </w:rPr>
        <w:t>Cell,</w:t>
      </w:r>
      <w:r w:rsidRPr="000A6777">
        <w:rPr>
          <w:noProof/>
        </w:rPr>
        <w:t xml:space="preserve"> 130</w:t>
      </w:r>
      <w:r w:rsidRPr="000A6777">
        <w:rPr>
          <w:b/>
          <w:noProof/>
        </w:rPr>
        <w:t>:</w:t>
      </w:r>
      <w:r w:rsidRPr="000A6777">
        <w:rPr>
          <w:noProof/>
        </w:rPr>
        <w:t xml:space="preserve"> 456-469.</w:t>
      </w:r>
    </w:p>
    <w:p w14:paraId="3771BB6F" w14:textId="77777777" w:rsidR="00B32AAB" w:rsidRPr="000A6777" w:rsidRDefault="00B32AAB" w:rsidP="000A6777">
      <w:pPr>
        <w:pStyle w:val="EndNoteBibliography"/>
        <w:ind w:left="720" w:hanging="720"/>
        <w:jc w:val="both"/>
        <w:rPr>
          <w:noProof/>
        </w:rPr>
      </w:pPr>
      <w:r w:rsidRPr="000A6777">
        <w:rPr>
          <w:noProof/>
        </w:rPr>
        <w:t xml:space="preserve">Lerner, U. H. (2006) Bone remodeling in post-menopausal osteoporosis. </w:t>
      </w:r>
      <w:r w:rsidRPr="000A6777">
        <w:rPr>
          <w:i/>
          <w:noProof/>
        </w:rPr>
        <w:t>Journal of Dental Research,</w:t>
      </w:r>
      <w:r w:rsidRPr="000A6777">
        <w:rPr>
          <w:noProof/>
        </w:rPr>
        <w:t xml:space="preserve"> 85</w:t>
      </w:r>
      <w:r w:rsidRPr="000A6777">
        <w:rPr>
          <w:b/>
          <w:noProof/>
        </w:rPr>
        <w:t>:</w:t>
      </w:r>
      <w:r w:rsidRPr="000A6777">
        <w:rPr>
          <w:noProof/>
        </w:rPr>
        <w:t xml:space="preserve"> 584-595.</w:t>
      </w:r>
    </w:p>
    <w:p w14:paraId="213074E8" w14:textId="77777777" w:rsidR="00B32AAB" w:rsidRPr="000A6777" w:rsidRDefault="00B32AAB" w:rsidP="000A6777">
      <w:pPr>
        <w:pStyle w:val="EndNoteBibliography"/>
        <w:ind w:left="720" w:hanging="720"/>
        <w:jc w:val="both"/>
        <w:rPr>
          <w:noProof/>
        </w:rPr>
      </w:pPr>
      <w:r w:rsidRPr="000A6777">
        <w:rPr>
          <w:noProof/>
        </w:rPr>
        <w:t xml:space="preserve">Li, J., Duncan, R. L., Burr, D. B., Gattone, V. H., Turner, C. H. (2003) Parathyroid Hormone Enhances Mechanically Induced Bone Formation, Possibly Involving L-Type Voltage-Sensitive Calcium Channels. </w:t>
      </w:r>
      <w:r w:rsidRPr="000A6777">
        <w:rPr>
          <w:i/>
          <w:noProof/>
        </w:rPr>
        <w:t>Endocrinology,</w:t>
      </w:r>
      <w:r w:rsidRPr="000A6777">
        <w:rPr>
          <w:noProof/>
        </w:rPr>
        <w:t xml:space="preserve"> 144</w:t>
      </w:r>
      <w:r w:rsidRPr="000A6777">
        <w:rPr>
          <w:b/>
          <w:noProof/>
        </w:rPr>
        <w:t>:</w:t>
      </w:r>
      <w:r w:rsidRPr="000A6777">
        <w:rPr>
          <w:noProof/>
        </w:rPr>
        <w:t xml:space="preserve"> 1226-1233.</w:t>
      </w:r>
    </w:p>
    <w:p w14:paraId="5B01AB1E" w14:textId="77777777" w:rsidR="00B32AAB" w:rsidRPr="000A6777" w:rsidRDefault="00B32AAB" w:rsidP="000A6777">
      <w:pPr>
        <w:pStyle w:val="EndNoteBibliography"/>
        <w:ind w:left="720" w:hanging="720"/>
        <w:jc w:val="both"/>
        <w:rPr>
          <w:noProof/>
        </w:rPr>
      </w:pPr>
      <w:r w:rsidRPr="000A6777">
        <w:rPr>
          <w:noProof/>
        </w:rPr>
        <w:t xml:space="preserve">Li, X., Liu, H., Qin, L., Tamasi, J., Bergenstock, M., Shapses, S., Feyen, J., Notterman, D., Partridge, N. (2007) Determination of Dual Effects of Parathyroid Hormone on Skeletal Gene Expression in Vivo by Microarray and Network Analysis. </w:t>
      </w:r>
      <w:r w:rsidRPr="000A6777">
        <w:rPr>
          <w:i/>
          <w:noProof/>
        </w:rPr>
        <w:t>Journal of Biological Chemistry,</w:t>
      </w:r>
      <w:r w:rsidRPr="000A6777">
        <w:rPr>
          <w:noProof/>
        </w:rPr>
        <w:t xml:space="preserve"> 282</w:t>
      </w:r>
      <w:r w:rsidRPr="000A6777">
        <w:rPr>
          <w:b/>
          <w:noProof/>
        </w:rPr>
        <w:t>:</w:t>
      </w:r>
      <w:r w:rsidRPr="000A6777">
        <w:rPr>
          <w:noProof/>
        </w:rPr>
        <w:t xml:space="preserve"> 33086-33097.</w:t>
      </w:r>
    </w:p>
    <w:p w14:paraId="6A0E78A2" w14:textId="77777777" w:rsidR="00B32AAB" w:rsidRPr="000A6777" w:rsidRDefault="00B32AAB" w:rsidP="000A6777">
      <w:pPr>
        <w:pStyle w:val="EndNoteBibliography"/>
        <w:ind w:left="720" w:hanging="720"/>
        <w:jc w:val="both"/>
        <w:rPr>
          <w:noProof/>
        </w:rPr>
      </w:pPr>
      <w:r w:rsidRPr="000A6777">
        <w:rPr>
          <w:noProof/>
        </w:rPr>
        <w:t xml:space="preserve">Li, X., Okada, Y., Pilbeam, C. C., Lorenzo, J. A., Kennedy, C. R. J., Breyer, R. M., Raisz, L. G. (2000) Knockout of the Murine Prostaglandin EP2 Receptor Impairs Osteoclastogenesis in Vitro1. </w:t>
      </w:r>
      <w:r w:rsidRPr="000A6777">
        <w:rPr>
          <w:i/>
          <w:noProof/>
        </w:rPr>
        <w:t>Endocrinology,</w:t>
      </w:r>
      <w:r w:rsidRPr="000A6777">
        <w:rPr>
          <w:noProof/>
        </w:rPr>
        <w:t xml:space="preserve"> 141</w:t>
      </w:r>
      <w:r w:rsidRPr="000A6777">
        <w:rPr>
          <w:b/>
          <w:noProof/>
        </w:rPr>
        <w:t>:</w:t>
      </w:r>
      <w:r w:rsidRPr="000A6777">
        <w:rPr>
          <w:noProof/>
        </w:rPr>
        <w:t xml:space="preserve"> 2054-2061.</w:t>
      </w:r>
    </w:p>
    <w:p w14:paraId="4836DDC8" w14:textId="77777777" w:rsidR="00B32AAB" w:rsidRPr="000A6777" w:rsidRDefault="00B32AAB" w:rsidP="000A6777">
      <w:pPr>
        <w:pStyle w:val="EndNoteBibliography"/>
        <w:ind w:left="720" w:hanging="720"/>
        <w:jc w:val="both"/>
        <w:rPr>
          <w:noProof/>
        </w:rPr>
      </w:pPr>
      <w:r w:rsidRPr="000A6777">
        <w:rPr>
          <w:noProof/>
        </w:rPr>
        <w:t>Lin, L., Lee, J. H., Bongmba, O. Y. N., Ma, X., Zhu, X., Sheikh-Hamad, D., Sun, Y. (2014) The suppression of ghrelin signaling mitigates age</w:t>
      </w:r>
      <w:r w:rsidRPr="000A6777">
        <w:rPr>
          <w:rFonts w:ascii="American Typewriter Condensed" w:hAnsi="American Typewriter Condensed" w:cs="American Typewriter Condensed"/>
          <w:noProof/>
        </w:rPr>
        <w:t>‐</w:t>
      </w:r>
      <w:r w:rsidRPr="000A6777">
        <w:rPr>
          <w:noProof/>
        </w:rPr>
        <w:t xml:space="preserve">associated thermogenic impairment. </w:t>
      </w:r>
      <w:r w:rsidRPr="000A6777">
        <w:rPr>
          <w:i/>
          <w:noProof/>
        </w:rPr>
        <w:t>Aging,</w:t>
      </w:r>
      <w:r w:rsidRPr="000A6777">
        <w:rPr>
          <w:noProof/>
        </w:rPr>
        <w:t xml:space="preserve"> 6</w:t>
      </w:r>
      <w:r w:rsidRPr="000A6777">
        <w:rPr>
          <w:b/>
          <w:noProof/>
        </w:rPr>
        <w:t>:</w:t>
      </w:r>
      <w:r w:rsidRPr="000A6777">
        <w:rPr>
          <w:noProof/>
        </w:rPr>
        <w:t xml:space="preserve"> 1019-1032.</w:t>
      </w:r>
    </w:p>
    <w:p w14:paraId="7BE70FF4" w14:textId="77777777" w:rsidR="00B32AAB" w:rsidRPr="000A6777" w:rsidRDefault="00B32AAB" w:rsidP="000A6777">
      <w:pPr>
        <w:pStyle w:val="EndNoteBibliography"/>
        <w:ind w:left="720" w:hanging="720"/>
        <w:jc w:val="both"/>
        <w:rPr>
          <w:noProof/>
        </w:rPr>
      </w:pPr>
      <w:r w:rsidRPr="000A6777">
        <w:rPr>
          <w:noProof/>
        </w:rPr>
        <w:lastRenderedPageBreak/>
        <w:t>Lindsay, R., Zhou, H., Cosman, F., Nieves, J., Dempster, D. W., Hodsman, A. B. (2007) Effects Of a One</w:t>
      </w:r>
      <w:r w:rsidRPr="000A6777">
        <w:rPr>
          <w:rFonts w:ascii="American Typewriter Condensed" w:hAnsi="American Typewriter Condensed" w:cs="American Typewriter Condensed"/>
          <w:noProof/>
        </w:rPr>
        <w:t>‐</w:t>
      </w:r>
      <w:r w:rsidRPr="000A6777">
        <w:rPr>
          <w:noProof/>
        </w:rPr>
        <w:t xml:space="preserve">Month Treatment With PTH(1–34) on Bone Formation on Cancellous, Endocortical, and Periosteal Surfaces of the Human Ilium. </w:t>
      </w:r>
      <w:r w:rsidRPr="000A6777">
        <w:rPr>
          <w:i/>
          <w:noProof/>
        </w:rPr>
        <w:t>Journal of Bone and Mineral Research,</w:t>
      </w:r>
      <w:r w:rsidRPr="000A6777">
        <w:rPr>
          <w:noProof/>
        </w:rPr>
        <w:t xml:space="preserve"> 22</w:t>
      </w:r>
      <w:r w:rsidRPr="000A6777">
        <w:rPr>
          <w:b/>
          <w:noProof/>
        </w:rPr>
        <w:t>:</w:t>
      </w:r>
      <w:r w:rsidRPr="000A6777">
        <w:rPr>
          <w:noProof/>
        </w:rPr>
        <w:t xml:space="preserve"> 495-502.</w:t>
      </w:r>
    </w:p>
    <w:p w14:paraId="6A5BFCB9" w14:textId="77777777" w:rsidR="00B32AAB" w:rsidRPr="000A6777" w:rsidRDefault="00B32AAB" w:rsidP="000A6777">
      <w:pPr>
        <w:pStyle w:val="EndNoteBibliography"/>
        <w:ind w:left="720" w:hanging="720"/>
        <w:jc w:val="both"/>
        <w:rPr>
          <w:noProof/>
        </w:rPr>
      </w:pPr>
      <w:r w:rsidRPr="000A6777">
        <w:rPr>
          <w:noProof/>
        </w:rPr>
        <w:t xml:space="preserve">Lisková, M., Hert, J. (1971) Reaction of bone to mechanical stimuli. 2. Periosteal and endosteal reaction of tibial diaphysis in rabbit to intermittent loading. </w:t>
      </w:r>
      <w:r w:rsidR="008F3916">
        <w:rPr>
          <w:i/>
          <w:noProof/>
        </w:rPr>
        <w:t>Folia M</w:t>
      </w:r>
      <w:r w:rsidRPr="000A6777">
        <w:rPr>
          <w:i/>
          <w:noProof/>
        </w:rPr>
        <w:t>orphologica,</w:t>
      </w:r>
      <w:r w:rsidRPr="000A6777">
        <w:rPr>
          <w:noProof/>
        </w:rPr>
        <w:t xml:space="preserve"> 19:3</w:t>
      </w:r>
      <w:r w:rsidRPr="000A6777">
        <w:rPr>
          <w:b/>
          <w:noProof/>
        </w:rPr>
        <w:t>:</w:t>
      </w:r>
      <w:r w:rsidRPr="000A6777">
        <w:rPr>
          <w:noProof/>
        </w:rPr>
        <w:t xml:space="preserve"> 301-317.</w:t>
      </w:r>
    </w:p>
    <w:p w14:paraId="65FB336D" w14:textId="77777777" w:rsidR="00B32AAB" w:rsidRPr="000A6777" w:rsidRDefault="00B32AAB" w:rsidP="000A6777">
      <w:pPr>
        <w:pStyle w:val="EndNoteBibliography"/>
        <w:ind w:left="720" w:hanging="720"/>
        <w:jc w:val="both"/>
        <w:rPr>
          <w:noProof/>
        </w:rPr>
      </w:pPr>
      <w:r w:rsidRPr="000A6777">
        <w:rPr>
          <w:noProof/>
        </w:rPr>
        <w:t>Liu, Y.-X., Cheng, Y.-N., Miao, Y.-L., Wei, D.-L., Zhao, L.-H., Luo, M.-J., Tan, J.-H. (2012) Psychological Stress on Female Mice Diminishes the Developmental Potential of Oocytes: A Study Using the Predatory Stress Model</w:t>
      </w:r>
      <w:r w:rsidR="006600F7">
        <w:rPr>
          <w:noProof/>
        </w:rPr>
        <w:t>.</w:t>
      </w:r>
      <w:r w:rsidRPr="000A6777">
        <w:rPr>
          <w:noProof/>
        </w:rPr>
        <w:t xml:space="preserve"> </w:t>
      </w:r>
      <w:r w:rsidRPr="000A6777">
        <w:rPr>
          <w:i/>
          <w:noProof/>
        </w:rPr>
        <w:t>Public Library of Science ONE,</w:t>
      </w:r>
      <w:r w:rsidRPr="000A6777">
        <w:rPr>
          <w:noProof/>
        </w:rPr>
        <w:t xml:space="preserve"> 7(10)</w:t>
      </w:r>
      <w:r w:rsidRPr="000A6777">
        <w:rPr>
          <w:b/>
          <w:noProof/>
        </w:rPr>
        <w:t>:</w:t>
      </w:r>
      <w:r w:rsidRPr="000A6777">
        <w:rPr>
          <w:noProof/>
        </w:rPr>
        <w:t xml:space="preserve"> e48083.</w:t>
      </w:r>
    </w:p>
    <w:p w14:paraId="70F0BDDA" w14:textId="77777777" w:rsidR="00B32AAB" w:rsidRPr="000A6777" w:rsidRDefault="00B32AAB" w:rsidP="000A6777">
      <w:pPr>
        <w:pStyle w:val="EndNoteBibliography"/>
        <w:ind w:left="720" w:hanging="720"/>
        <w:jc w:val="both"/>
        <w:rPr>
          <w:noProof/>
        </w:rPr>
      </w:pPr>
      <w:r w:rsidRPr="000A6777">
        <w:rPr>
          <w:noProof/>
        </w:rPr>
        <w:t xml:space="preserve">Ljusberg, J., Wang, Y., Lång, P., Norgård, M., Hultenby, K., Ek-Rylander, B., Andersson, G., Dodds, R. (2005) Proteolytic excision of a repressive loop domain in tartrate- resistant acid phosphatase by cathepsin K in osteoclasts. </w:t>
      </w:r>
      <w:r w:rsidRPr="000A6777">
        <w:rPr>
          <w:i/>
          <w:noProof/>
        </w:rPr>
        <w:t>Journal of Biological Chemistry,</w:t>
      </w:r>
      <w:r w:rsidRPr="000A6777">
        <w:rPr>
          <w:noProof/>
        </w:rPr>
        <w:t xml:space="preserve"> 280</w:t>
      </w:r>
      <w:r w:rsidRPr="000A6777">
        <w:rPr>
          <w:b/>
          <w:noProof/>
        </w:rPr>
        <w:t>:</w:t>
      </w:r>
      <w:r w:rsidRPr="000A6777">
        <w:rPr>
          <w:noProof/>
        </w:rPr>
        <w:t xml:space="preserve"> 28370-28381.</w:t>
      </w:r>
    </w:p>
    <w:p w14:paraId="5EB04B8E" w14:textId="77777777" w:rsidR="00B32AAB" w:rsidRPr="008F3916" w:rsidRDefault="00B32AAB" w:rsidP="000A6777">
      <w:pPr>
        <w:pStyle w:val="EndNoteBibliography"/>
        <w:ind w:left="720" w:hanging="720"/>
        <w:jc w:val="both"/>
        <w:rPr>
          <w:noProof/>
        </w:rPr>
      </w:pPr>
      <w:r w:rsidRPr="000A6777">
        <w:rPr>
          <w:noProof/>
        </w:rPr>
        <w:t xml:space="preserve">Logroscino, G., Kang, J. H., Grodstein, F. (2004) Prospective study of type 2 diabetes and cognitive decline in women aged 70-81 years. </w:t>
      </w:r>
      <w:r w:rsidR="008F3916" w:rsidRPr="008F3916">
        <w:rPr>
          <w:rFonts w:eastAsiaTheme="minorEastAsia"/>
          <w:i/>
          <w:iCs/>
        </w:rPr>
        <w:t>British Medical Journal,</w:t>
      </w:r>
      <w:r w:rsidR="008F3916" w:rsidRPr="008F3916">
        <w:rPr>
          <w:rFonts w:eastAsiaTheme="minorEastAsia"/>
        </w:rPr>
        <w:t xml:space="preserve"> 328(584)</w:t>
      </w:r>
      <w:r w:rsidR="008F3916" w:rsidRPr="008F3916">
        <w:rPr>
          <w:rFonts w:eastAsiaTheme="minorEastAsia"/>
          <w:b/>
          <w:bCs/>
        </w:rPr>
        <w:t>:</w:t>
      </w:r>
      <w:r w:rsidR="008F3916" w:rsidRPr="008F3916">
        <w:rPr>
          <w:rFonts w:eastAsiaTheme="minorEastAsia"/>
        </w:rPr>
        <w:t xml:space="preserve"> 1-6</w:t>
      </w:r>
      <w:r w:rsidRPr="008F3916">
        <w:rPr>
          <w:noProof/>
        </w:rPr>
        <w:t>.</w:t>
      </w:r>
    </w:p>
    <w:p w14:paraId="2C4F6E10" w14:textId="77777777" w:rsidR="00B32AAB" w:rsidRPr="000A6777" w:rsidRDefault="00B32AAB" w:rsidP="000A6777">
      <w:pPr>
        <w:pStyle w:val="EndNoteBibliography"/>
        <w:ind w:left="720" w:hanging="720"/>
        <w:jc w:val="both"/>
        <w:rPr>
          <w:noProof/>
        </w:rPr>
      </w:pPr>
      <w:r w:rsidRPr="000A6777">
        <w:rPr>
          <w:noProof/>
        </w:rPr>
        <w:t xml:space="preserve">Longo, Valter d., Mattson, Mark p. (2014) Fasting: Molecular Mechanisms and Clinical Applications. </w:t>
      </w:r>
      <w:r w:rsidR="008F3916">
        <w:rPr>
          <w:i/>
          <w:noProof/>
        </w:rPr>
        <w:t>Cell M</w:t>
      </w:r>
      <w:r w:rsidRPr="000A6777">
        <w:rPr>
          <w:i/>
          <w:noProof/>
        </w:rPr>
        <w:t>etabolism,</w:t>
      </w:r>
      <w:r w:rsidRPr="000A6777">
        <w:rPr>
          <w:noProof/>
        </w:rPr>
        <w:t xml:space="preserve"> 19</w:t>
      </w:r>
      <w:r w:rsidRPr="000A6777">
        <w:rPr>
          <w:b/>
          <w:noProof/>
        </w:rPr>
        <w:t>:</w:t>
      </w:r>
      <w:r w:rsidRPr="000A6777">
        <w:rPr>
          <w:noProof/>
        </w:rPr>
        <w:t xml:space="preserve"> 181-192.</w:t>
      </w:r>
    </w:p>
    <w:p w14:paraId="7E3E2FBB" w14:textId="77777777" w:rsidR="00B32AAB" w:rsidRPr="000A6777" w:rsidRDefault="00B32AAB" w:rsidP="000A6777">
      <w:pPr>
        <w:pStyle w:val="EndNoteBibliography"/>
        <w:ind w:left="720" w:hanging="720"/>
        <w:jc w:val="both"/>
        <w:rPr>
          <w:noProof/>
        </w:rPr>
      </w:pPr>
      <w:r w:rsidRPr="000A6777">
        <w:rPr>
          <w:noProof/>
        </w:rPr>
        <w:t>Lönnqvist, F., Arner, P., Nordfors, L., Schalling, M. (1995</w:t>
      </w:r>
      <w:r w:rsidR="0091776C">
        <w:rPr>
          <w:noProof/>
        </w:rPr>
        <w:t>) Overexpression of the obese (</w:t>
      </w:r>
      <w:r w:rsidRPr="000A6777">
        <w:rPr>
          <w:noProof/>
        </w:rPr>
        <w:t xml:space="preserve">ob) gene in adipose tissue of human obese subjects. </w:t>
      </w:r>
      <w:r w:rsidRPr="000A6777">
        <w:rPr>
          <w:i/>
          <w:noProof/>
        </w:rPr>
        <w:t>Nature Medicine,</w:t>
      </w:r>
      <w:r w:rsidRPr="000A6777">
        <w:rPr>
          <w:noProof/>
        </w:rPr>
        <w:t xml:space="preserve"> 1</w:t>
      </w:r>
      <w:r w:rsidRPr="000A6777">
        <w:rPr>
          <w:b/>
          <w:noProof/>
        </w:rPr>
        <w:t>:</w:t>
      </w:r>
      <w:r w:rsidRPr="000A6777">
        <w:rPr>
          <w:noProof/>
        </w:rPr>
        <w:t xml:space="preserve"> 950-953.</w:t>
      </w:r>
    </w:p>
    <w:p w14:paraId="32BA038F" w14:textId="77777777" w:rsidR="00B32AAB" w:rsidRPr="000A6777" w:rsidRDefault="00B32AAB" w:rsidP="000A6777">
      <w:pPr>
        <w:pStyle w:val="EndNoteBibliography"/>
        <w:ind w:left="720" w:hanging="720"/>
        <w:jc w:val="both"/>
        <w:rPr>
          <w:noProof/>
        </w:rPr>
      </w:pPr>
      <w:r w:rsidRPr="000A6777">
        <w:rPr>
          <w:noProof/>
        </w:rPr>
        <w:t xml:space="preserve">Louis, O., Boulpaep, F., Willnecker, J., Van den Winkel, P., Osteaux, M. (1995) Cortical mineral content of the radius assessed by peripheral QCT predicts compressive strength on biomechanical testing. </w:t>
      </w:r>
      <w:r w:rsidRPr="000A6777">
        <w:rPr>
          <w:i/>
          <w:noProof/>
        </w:rPr>
        <w:t>Bone,</w:t>
      </w:r>
      <w:r w:rsidRPr="000A6777">
        <w:rPr>
          <w:noProof/>
        </w:rPr>
        <w:t xml:space="preserve"> 16</w:t>
      </w:r>
      <w:r w:rsidRPr="000A6777">
        <w:rPr>
          <w:b/>
          <w:noProof/>
        </w:rPr>
        <w:t>:</w:t>
      </w:r>
      <w:r w:rsidRPr="000A6777">
        <w:rPr>
          <w:noProof/>
        </w:rPr>
        <w:t xml:space="preserve"> 375-379.</w:t>
      </w:r>
    </w:p>
    <w:p w14:paraId="25274AB6" w14:textId="77777777" w:rsidR="00B32AAB" w:rsidRPr="000A6777" w:rsidRDefault="00B32AAB" w:rsidP="000A6777">
      <w:pPr>
        <w:pStyle w:val="EndNoteBibliography"/>
        <w:ind w:left="720" w:hanging="720"/>
        <w:jc w:val="both"/>
        <w:rPr>
          <w:noProof/>
        </w:rPr>
      </w:pPr>
      <w:r w:rsidRPr="000A6777">
        <w:rPr>
          <w:noProof/>
        </w:rPr>
        <w:t xml:space="preserve">Lutz, T. A. (2006) Amylinergic control of food intake. </w:t>
      </w:r>
      <w:r w:rsidRPr="000A6777">
        <w:rPr>
          <w:i/>
          <w:noProof/>
        </w:rPr>
        <w:t>Physiology and Behavior,</w:t>
      </w:r>
      <w:r w:rsidRPr="000A6777">
        <w:rPr>
          <w:noProof/>
        </w:rPr>
        <w:t xml:space="preserve"> 89</w:t>
      </w:r>
      <w:r w:rsidRPr="000A6777">
        <w:rPr>
          <w:b/>
          <w:noProof/>
        </w:rPr>
        <w:t>:</w:t>
      </w:r>
      <w:r w:rsidRPr="000A6777">
        <w:rPr>
          <w:noProof/>
        </w:rPr>
        <w:t xml:space="preserve"> 465-471.</w:t>
      </w:r>
    </w:p>
    <w:p w14:paraId="6F69DFB6" w14:textId="77777777" w:rsidR="00B32AAB" w:rsidRPr="000A6777" w:rsidRDefault="00B32AAB" w:rsidP="000A6777">
      <w:pPr>
        <w:pStyle w:val="EndNoteBibliography"/>
        <w:ind w:left="720" w:hanging="720"/>
        <w:jc w:val="both"/>
        <w:rPr>
          <w:noProof/>
        </w:rPr>
      </w:pPr>
      <w:r w:rsidRPr="000A6777">
        <w:rPr>
          <w:noProof/>
        </w:rPr>
        <w:t xml:space="preserve">Lutz, T. A., Geary, N., Szabady, M. M., Del Prete, E., Scharrer, E. (1995) Amylin decreases meal size in rats. </w:t>
      </w:r>
      <w:r w:rsidRPr="000A6777">
        <w:rPr>
          <w:i/>
          <w:noProof/>
        </w:rPr>
        <w:t>Physiology and Behavior,</w:t>
      </w:r>
      <w:r w:rsidRPr="000A6777">
        <w:rPr>
          <w:noProof/>
        </w:rPr>
        <w:t xml:space="preserve"> 58</w:t>
      </w:r>
      <w:r w:rsidRPr="000A6777">
        <w:rPr>
          <w:b/>
          <w:noProof/>
        </w:rPr>
        <w:t>:</w:t>
      </w:r>
      <w:r w:rsidRPr="000A6777">
        <w:rPr>
          <w:noProof/>
        </w:rPr>
        <w:t xml:space="preserve"> 1197-1202.</w:t>
      </w:r>
    </w:p>
    <w:p w14:paraId="4BB840C7" w14:textId="77777777" w:rsidR="00B32AAB" w:rsidRPr="000A6777" w:rsidRDefault="00B32AAB" w:rsidP="000A6777">
      <w:pPr>
        <w:pStyle w:val="EndNoteBibliography"/>
        <w:ind w:left="720" w:hanging="720"/>
        <w:jc w:val="both"/>
        <w:rPr>
          <w:noProof/>
        </w:rPr>
      </w:pPr>
      <w:r w:rsidRPr="000A6777">
        <w:rPr>
          <w:noProof/>
        </w:rPr>
        <w:t xml:space="preserve">Lynch, M. E., Main, R. P., Xu, Q., Schmicker, T. L., Schaffler, M. B., Wright, T. M., van Der Meulen, M. C. H. (2011) Tibial compression is anabolic in the adult mouse skeleton despite reduced responsiveness with aging. </w:t>
      </w:r>
      <w:r w:rsidRPr="000A6777">
        <w:rPr>
          <w:i/>
          <w:noProof/>
        </w:rPr>
        <w:t>Bone,</w:t>
      </w:r>
      <w:r w:rsidRPr="000A6777">
        <w:rPr>
          <w:noProof/>
        </w:rPr>
        <w:t xml:space="preserve"> 49</w:t>
      </w:r>
      <w:r w:rsidRPr="000A6777">
        <w:rPr>
          <w:b/>
          <w:noProof/>
        </w:rPr>
        <w:t>:</w:t>
      </w:r>
      <w:r w:rsidRPr="000A6777">
        <w:rPr>
          <w:noProof/>
        </w:rPr>
        <w:t xml:space="preserve"> 439-446.</w:t>
      </w:r>
    </w:p>
    <w:p w14:paraId="7699EF47" w14:textId="77777777" w:rsidR="00B32AAB" w:rsidRPr="000A6777" w:rsidRDefault="00B32AAB" w:rsidP="000A6777">
      <w:pPr>
        <w:pStyle w:val="EndNoteBibliography"/>
        <w:ind w:left="720" w:hanging="720"/>
        <w:jc w:val="both"/>
        <w:rPr>
          <w:noProof/>
        </w:rPr>
      </w:pPr>
      <w:r w:rsidRPr="000A6777">
        <w:rPr>
          <w:noProof/>
        </w:rPr>
        <w:t xml:space="preserve">Ma, Y., Jee, W. S. S., Yuan, Z., Wei, W., Chen, H., Pun, S., Liang, H., Lin, C. (1999) Parathyroid Hormone and Mechanical Usage Have a Synergistic Effect in Rat Tibial Diaphyseal Cortical Bone. </w:t>
      </w:r>
      <w:r w:rsidRPr="000A6777">
        <w:rPr>
          <w:i/>
          <w:noProof/>
        </w:rPr>
        <w:t>Journal of Bone and Mineral Research,</w:t>
      </w:r>
      <w:r w:rsidRPr="000A6777">
        <w:rPr>
          <w:noProof/>
        </w:rPr>
        <w:t xml:space="preserve"> 14</w:t>
      </w:r>
      <w:r w:rsidRPr="000A6777">
        <w:rPr>
          <w:b/>
          <w:noProof/>
        </w:rPr>
        <w:t>:</w:t>
      </w:r>
      <w:r w:rsidRPr="000A6777">
        <w:rPr>
          <w:noProof/>
        </w:rPr>
        <w:t xml:space="preserve"> 439-448.</w:t>
      </w:r>
    </w:p>
    <w:p w14:paraId="0A7D6098" w14:textId="77777777" w:rsidR="00B32AAB" w:rsidRPr="000A6777" w:rsidRDefault="00B32AAB" w:rsidP="000A6777">
      <w:pPr>
        <w:pStyle w:val="EndNoteBibliography"/>
        <w:ind w:left="720" w:hanging="720"/>
        <w:jc w:val="both"/>
        <w:rPr>
          <w:noProof/>
        </w:rPr>
      </w:pPr>
      <w:r w:rsidRPr="000A6777">
        <w:rPr>
          <w:noProof/>
        </w:rPr>
        <w:lastRenderedPageBreak/>
        <w:t xml:space="preserve">Ma, Y. L., Cain, R. L., Halladay, D. L., Yang, X., Zeng, Q., Miles, R. R., Chandrasekhar, S., Martin, T. J., Onyia, J. E. (2001) Catabolic Effects of Continuous Human PTH (1–38) in Vivo Is Associated with Sustained Stimulation of RANKL and Inhibition of Osteoprotegerin and Gene-Associated Bone Formation. </w:t>
      </w:r>
      <w:r w:rsidRPr="000A6777">
        <w:rPr>
          <w:i/>
          <w:noProof/>
        </w:rPr>
        <w:t>Endocrinology,</w:t>
      </w:r>
      <w:r w:rsidRPr="000A6777">
        <w:rPr>
          <w:noProof/>
        </w:rPr>
        <w:t xml:space="preserve"> 142</w:t>
      </w:r>
      <w:r w:rsidRPr="000A6777">
        <w:rPr>
          <w:b/>
          <w:noProof/>
        </w:rPr>
        <w:t>:</w:t>
      </w:r>
      <w:r w:rsidRPr="000A6777">
        <w:rPr>
          <w:noProof/>
        </w:rPr>
        <w:t xml:space="preserve"> 4047-4054.</w:t>
      </w:r>
    </w:p>
    <w:p w14:paraId="06EF6CFB" w14:textId="77777777" w:rsidR="00B32AAB" w:rsidRPr="000A6777" w:rsidRDefault="00B32AAB" w:rsidP="000A6777">
      <w:pPr>
        <w:pStyle w:val="EndNoteBibliography"/>
        <w:ind w:left="720" w:hanging="720"/>
        <w:jc w:val="both"/>
        <w:rPr>
          <w:noProof/>
        </w:rPr>
      </w:pPr>
      <w:r w:rsidRPr="000A6777">
        <w:rPr>
          <w:noProof/>
        </w:rPr>
        <w:t xml:space="preserve">Maccarinelli, G., Sibilia, V., Torsello, A., Raimondo, F., Pitto, M., Giustina, A., Netti, C., Cocchi, D. (2005) Ghrelin regulates proliferation and differentiation of osteoblastic cells. </w:t>
      </w:r>
      <w:r w:rsidRPr="000A6777">
        <w:rPr>
          <w:i/>
          <w:noProof/>
        </w:rPr>
        <w:t>Journal of Endocrinology,</w:t>
      </w:r>
      <w:r w:rsidRPr="000A6777">
        <w:rPr>
          <w:noProof/>
        </w:rPr>
        <w:t xml:space="preserve"> 184</w:t>
      </w:r>
      <w:r w:rsidRPr="000A6777">
        <w:rPr>
          <w:b/>
          <w:noProof/>
        </w:rPr>
        <w:t>:</w:t>
      </w:r>
      <w:r w:rsidRPr="000A6777">
        <w:rPr>
          <w:noProof/>
        </w:rPr>
        <w:t xml:space="preserve"> 249-256.</w:t>
      </w:r>
    </w:p>
    <w:p w14:paraId="2A3490C8" w14:textId="77777777" w:rsidR="00B32AAB" w:rsidRPr="000A6777" w:rsidRDefault="00B32AAB" w:rsidP="000A6777">
      <w:pPr>
        <w:pStyle w:val="EndNoteBibliography"/>
        <w:ind w:left="720" w:hanging="720"/>
        <w:jc w:val="both"/>
        <w:rPr>
          <w:noProof/>
        </w:rPr>
      </w:pPr>
      <w:r w:rsidRPr="000A6777">
        <w:rPr>
          <w:noProof/>
        </w:rPr>
        <w:t xml:space="preserve">Magiakou, M. A., Chrousos, G. P. (1994) Corticosteroid therapy, nonendocrine disease, and corticosteroid withdrawal. </w:t>
      </w:r>
      <w:r w:rsidRPr="000A6777">
        <w:rPr>
          <w:i/>
          <w:noProof/>
        </w:rPr>
        <w:t>Current Therapy in Endocrinology and Metabolism,</w:t>
      </w:r>
      <w:r w:rsidRPr="000A6777">
        <w:rPr>
          <w:noProof/>
        </w:rPr>
        <w:t xml:space="preserve"> 5</w:t>
      </w:r>
      <w:r w:rsidRPr="000A6777">
        <w:rPr>
          <w:b/>
          <w:noProof/>
        </w:rPr>
        <w:t>:</w:t>
      </w:r>
      <w:r w:rsidRPr="000A6777">
        <w:rPr>
          <w:noProof/>
        </w:rPr>
        <w:t xml:space="preserve"> 120-124.</w:t>
      </w:r>
    </w:p>
    <w:p w14:paraId="3DA319F4" w14:textId="77777777" w:rsidR="00B32AAB" w:rsidRPr="000A6777" w:rsidRDefault="00B32AAB" w:rsidP="000A6777">
      <w:pPr>
        <w:pStyle w:val="EndNoteBibliography"/>
        <w:ind w:left="720" w:hanging="720"/>
        <w:jc w:val="both"/>
        <w:rPr>
          <w:noProof/>
        </w:rPr>
      </w:pPr>
      <w:r w:rsidRPr="000A6777">
        <w:rPr>
          <w:noProof/>
        </w:rPr>
        <w:t xml:space="preserve">Main, R. P., Lynch, M. E., van Der Meulen, M. C. H. (2010) In vivo tibial stiffness is maintained by whole bone morphology and cross- sectional geometry in growing female mice. </w:t>
      </w:r>
      <w:r w:rsidRPr="000A6777">
        <w:rPr>
          <w:i/>
          <w:noProof/>
        </w:rPr>
        <w:t>Journal of Biomechanics,</w:t>
      </w:r>
      <w:r w:rsidRPr="000A6777">
        <w:rPr>
          <w:noProof/>
        </w:rPr>
        <w:t xml:space="preserve"> 43</w:t>
      </w:r>
      <w:r w:rsidRPr="000A6777">
        <w:rPr>
          <w:b/>
          <w:noProof/>
        </w:rPr>
        <w:t>:</w:t>
      </w:r>
      <w:r w:rsidRPr="000A6777">
        <w:rPr>
          <w:noProof/>
        </w:rPr>
        <w:t xml:space="preserve"> 2689-2694.</w:t>
      </w:r>
    </w:p>
    <w:p w14:paraId="3527828D" w14:textId="77777777" w:rsidR="00B32AAB" w:rsidRPr="000A6777" w:rsidRDefault="00B32AAB" w:rsidP="000A6777">
      <w:pPr>
        <w:pStyle w:val="EndNoteBibliography"/>
        <w:ind w:left="720" w:hanging="720"/>
        <w:jc w:val="both"/>
        <w:rPr>
          <w:noProof/>
        </w:rPr>
      </w:pPr>
      <w:r w:rsidRPr="000A6777">
        <w:rPr>
          <w:noProof/>
        </w:rPr>
        <w:t xml:space="preserve">Main, R. P., Lynch, M. E., van Der Meulen, M. C. H. (2014) Load- induced changes in bone stiffness and cancellous and cortical bone mass following tibial compression diminish with age in female mice. </w:t>
      </w:r>
      <w:r w:rsidR="0091776C">
        <w:rPr>
          <w:i/>
          <w:noProof/>
        </w:rPr>
        <w:t>The Journal of Experimental B</w:t>
      </w:r>
      <w:r w:rsidRPr="000A6777">
        <w:rPr>
          <w:i/>
          <w:noProof/>
        </w:rPr>
        <w:t>iology,</w:t>
      </w:r>
      <w:r w:rsidRPr="000A6777">
        <w:rPr>
          <w:noProof/>
        </w:rPr>
        <w:t xml:space="preserve"> 217</w:t>
      </w:r>
      <w:r w:rsidRPr="000A6777">
        <w:rPr>
          <w:b/>
          <w:noProof/>
        </w:rPr>
        <w:t>:</w:t>
      </w:r>
      <w:r w:rsidRPr="000A6777">
        <w:rPr>
          <w:noProof/>
        </w:rPr>
        <w:t xml:space="preserve"> 1775-1783.</w:t>
      </w:r>
    </w:p>
    <w:p w14:paraId="47C83E0E" w14:textId="77777777" w:rsidR="00B32AAB" w:rsidRPr="000A6777" w:rsidRDefault="00B32AAB" w:rsidP="000A6777">
      <w:pPr>
        <w:pStyle w:val="EndNoteBibliography"/>
        <w:ind w:left="720" w:hanging="720"/>
        <w:jc w:val="both"/>
        <w:rPr>
          <w:noProof/>
        </w:rPr>
      </w:pPr>
      <w:r w:rsidRPr="000A6777">
        <w:rPr>
          <w:noProof/>
        </w:rPr>
        <w:t xml:space="preserve">Manolagas, S. C. (2000) Birth and death of bone cells: basic regulatory mechanisms and implications for the pathogenesis and treatment of osteoporosis. </w:t>
      </w:r>
      <w:r w:rsidRPr="000A6777">
        <w:rPr>
          <w:i/>
          <w:noProof/>
        </w:rPr>
        <w:t>Endocrine Reviews,</w:t>
      </w:r>
      <w:r w:rsidRPr="000A6777">
        <w:rPr>
          <w:noProof/>
        </w:rPr>
        <w:t xml:space="preserve"> 21</w:t>
      </w:r>
      <w:r w:rsidRPr="000A6777">
        <w:rPr>
          <w:b/>
          <w:noProof/>
        </w:rPr>
        <w:t>:</w:t>
      </w:r>
      <w:r w:rsidRPr="000A6777">
        <w:rPr>
          <w:noProof/>
        </w:rPr>
        <w:t xml:space="preserve"> 115-137.</w:t>
      </w:r>
    </w:p>
    <w:p w14:paraId="680168F7" w14:textId="77777777" w:rsidR="00B32AAB" w:rsidRPr="000A6777" w:rsidRDefault="00B32AAB" w:rsidP="000A6777">
      <w:pPr>
        <w:pStyle w:val="EndNoteBibliography"/>
        <w:ind w:left="720" w:hanging="720"/>
        <w:jc w:val="both"/>
        <w:rPr>
          <w:noProof/>
        </w:rPr>
      </w:pPr>
      <w:r w:rsidRPr="000A6777">
        <w:rPr>
          <w:noProof/>
        </w:rPr>
        <w:t xml:space="preserve">Manolagas, S. C. (2010) From Estrogen- Centric to Aging and Oxidative Stress: A Revised Perspective of the Pathogenesis of Osteoporosis. </w:t>
      </w:r>
      <w:r w:rsidRPr="000A6777">
        <w:rPr>
          <w:i/>
          <w:noProof/>
        </w:rPr>
        <w:t>Endocrine Reviews,</w:t>
      </w:r>
      <w:r w:rsidRPr="000A6777">
        <w:rPr>
          <w:noProof/>
        </w:rPr>
        <w:t xml:space="preserve"> 31</w:t>
      </w:r>
      <w:r w:rsidRPr="000A6777">
        <w:rPr>
          <w:b/>
          <w:noProof/>
        </w:rPr>
        <w:t>:</w:t>
      </w:r>
      <w:r w:rsidRPr="000A6777">
        <w:rPr>
          <w:noProof/>
        </w:rPr>
        <w:t xml:space="preserve"> 266-300.</w:t>
      </w:r>
    </w:p>
    <w:p w14:paraId="1924A952" w14:textId="77777777" w:rsidR="00B32AAB" w:rsidRPr="000A6777" w:rsidRDefault="00B32AAB" w:rsidP="000A6777">
      <w:pPr>
        <w:pStyle w:val="EndNoteBibliography"/>
        <w:ind w:left="720" w:hanging="720"/>
        <w:jc w:val="both"/>
        <w:rPr>
          <w:noProof/>
        </w:rPr>
      </w:pPr>
      <w:r w:rsidRPr="000A6777">
        <w:rPr>
          <w:noProof/>
        </w:rPr>
        <w:t xml:space="preserve">Martin, G. M., Sprague, C. A., Epstein, C. J. (1970) Replicative life-span of cultivated human cells. Effects of donor’s age, tissue, and genotype. </w:t>
      </w:r>
      <w:r w:rsidRPr="000A6777">
        <w:rPr>
          <w:i/>
          <w:noProof/>
        </w:rPr>
        <w:t>Laboratory Investigation,</w:t>
      </w:r>
      <w:r w:rsidRPr="000A6777">
        <w:rPr>
          <w:noProof/>
        </w:rPr>
        <w:t xml:space="preserve"> 23</w:t>
      </w:r>
      <w:r w:rsidRPr="000A6777">
        <w:rPr>
          <w:b/>
          <w:noProof/>
        </w:rPr>
        <w:t>:</w:t>
      </w:r>
      <w:r w:rsidRPr="000A6777">
        <w:rPr>
          <w:noProof/>
        </w:rPr>
        <w:t xml:space="preserve"> 86-92.</w:t>
      </w:r>
    </w:p>
    <w:p w14:paraId="2E805D3F" w14:textId="77777777" w:rsidR="00B32AAB" w:rsidRPr="000A6777" w:rsidRDefault="00B32AAB" w:rsidP="000A6777">
      <w:pPr>
        <w:pStyle w:val="EndNoteBibliography"/>
        <w:ind w:left="720" w:hanging="720"/>
        <w:jc w:val="both"/>
        <w:rPr>
          <w:noProof/>
        </w:rPr>
      </w:pPr>
      <w:r w:rsidRPr="000A6777">
        <w:rPr>
          <w:noProof/>
        </w:rPr>
        <w:t xml:space="preserve">Martin, T. J., Ng, K. W., Suda, T. (1989) Bone cell physiology. </w:t>
      </w:r>
      <w:r w:rsidRPr="000A6777">
        <w:rPr>
          <w:i/>
          <w:noProof/>
        </w:rPr>
        <w:t>Endocrinology Metabolism Clinics of North America,</w:t>
      </w:r>
      <w:r w:rsidRPr="000A6777">
        <w:rPr>
          <w:noProof/>
        </w:rPr>
        <w:t xml:space="preserve"> 18(4)</w:t>
      </w:r>
      <w:r w:rsidRPr="000A6777">
        <w:rPr>
          <w:b/>
          <w:noProof/>
        </w:rPr>
        <w:t>:</w:t>
      </w:r>
      <w:r w:rsidRPr="000A6777">
        <w:rPr>
          <w:noProof/>
        </w:rPr>
        <w:t xml:space="preserve"> 833-858.</w:t>
      </w:r>
    </w:p>
    <w:p w14:paraId="0D86050B" w14:textId="77777777" w:rsidR="00B32AAB" w:rsidRPr="000A6777" w:rsidRDefault="00B32AAB" w:rsidP="000A6777">
      <w:pPr>
        <w:pStyle w:val="EndNoteBibliography"/>
        <w:ind w:left="720" w:hanging="720"/>
        <w:jc w:val="both"/>
        <w:rPr>
          <w:noProof/>
        </w:rPr>
      </w:pPr>
      <w:r w:rsidRPr="000A6777">
        <w:rPr>
          <w:noProof/>
        </w:rPr>
        <w:t xml:space="preserve">Martinez, M. D., Schmid, G. J., McKenzie, J. A., Ornitz, D. M., Silva, M. J. (2010) Healing of non- displaced fractures produced by fatigue loading of the mouse ulna. </w:t>
      </w:r>
      <w:r w:rsidRPr="000A6777">
        <w:rPr>
          <w:i/>
          <w:noProof/>
        </w:rPr>
        <w:t>Bone,</w:t>
      </w:r>
      <w:r w:rsidRPr="000A6777">
        <w:rPr>
          <w:noProof/>
        </w:rPr>
        <w:t xml:space="preserve"> 46</w:t>
      </w:r>
      <w:r w:rsidRPr="000A6777">
        <w:rPr>
          <w:b/>
          <w:noProof/>
        </w:rPr>
        <w:t>:</w:t>
      </w:r>
      <w:r w:rsidRPr="000A6777">
        <w:rPr>
          <w:noProof/>
        </w:rPr>
        <w:t xml:space="preserve"> 1604-1612.</w:t>
      </w:r>
    </w:p>
    <w:p w14:paraId="697C3196" w14:textId="77777777" w:rsidR="00B32AAB" w:rsidRPr="000A6777" w:rsidRDefault="00B32AAB" w:rsidP="000A6777">
      <w:pPr>
        <w:pStyle w:val="EndNoteBibliography"/>
        <w:ind w:left="720" w:hanging="720"/>
        <w:jc w:val="both"/>
        <w:rPr>
          <w:noProof/>
        </w:rPr>
      </w:pPr>
      <w:r w:rsidRPr="000A6777">
        <w:rPr>
          <w:noProof/>
        </w:rPr>
        <w:t xml:space="preserve">Matsuzaki, H., Wohl, G., Novack, D., Lynch, J., Silva, M. (2007) Damaging Fatigue Loading Stimulates Increases in Periosteal Vascularity at Sites of Bone Formation in the Rat Ulna. </w:t>
      </w:r>
      <w:r w:rsidRPr="000A6777">
        <w:rPr>
          <w:i/>
          <w:noProof/>
        </w:rPr>
        <w:t>Calcified Tissue International,</w:t>
      </w:r>
      <w:r w:rsidRPr="000A6777">
        <w:rPr>
          <w:noProof/>
        </w:rPr>
        <w:t xml:space="preserve"> 80</w:t>
      </w:r>
      <w:r w:rsidRPr="000A6777">
        <w:rPr>
          <w:b/>
          <w:noProof/>
        </w:rPr>
        <w:t>:</w:t>
      </w:r>
      <w:r w:rsidRPr="000A6777">
        <w:rPr>
          <w:noProof/>
        </w:rPr>
        <w:t xml:space="preserve"> 391-399.</w:t>
      </w:r>
    </w:p>
    <w:p w14:paraId="5C874957" w14:textId="77777777" w:rsidR="00B32AAB" w:rsidRPr="000A6777" w:rsidRDefault="00B32AAB" w:rsidP="000A6777">
      <w:pPr>
        <w:pStyle w:val="EndNoteBibliography"/>
        <w:ind w:left="720" w:hanging="720"/>
        <w:jc w:val="both"/>
        <w:rPr>
          <w:noProof/>
        </w:rPr>
      </w:pPr>
      <w:r w:rsidRPr="000A6777">
        <w:rPr>
          <w:noProof/>
        </w:rPr>
        <w:lastRenderedPageBreak/>
        <w:t xml:space="preserve">Mattson, M. P., Allison, D. B., Fontana, L., Harvie, M., Longo, V. D., Malaisse, W. J., Mosley, M., Notterpek, L., Ravussin, E., Scheer, F. A. J. L., Seyfried, T. N., Varady, K. A., Panda, S. (2014) Meal frequency and timing in health and disease. </w:t>
      </w:r>
      <w:r w:rsidRPr="000A6777">
        <w:rPr>
          <w:i/>
          <w:noProof/>
        </w:rPr>
        <w:t>Proceedings of the National Academy of Sciences,</w:t>
      </w:r>
      <w:r w:rsidRPr="000A6777">
        <w:rPr>
          <w:noProof/>
        </w:rPr>
        <w:t xml:space="preserve"> 111</w:t>
      </w:r>
      <w:r w:rsidRPr="000A6777">
        <w:rPr>
          <w:b/>
          <w:noProof/>
        </w:rPr>
        <w:t>:</w:t>
      </w:r>
      <w:r w:rsidRPr="000A6777">
        <w:rPr>
          <w:noProof/>
        </w:rPr>
        <w:t xml:space="preserve"> 16647-16653.</w:t>
      </w:r>
    </w:p>
    <w:p w14:paraId="4D15867E" w14:textId="77777777" w:rsidR="00B32AAB" w:rsidRPr="000A6777" w:rsidRDefault="00B32AAB" w:rsidP="000A6777">
      <w:pPr>
        <w:pStyle w:val="EndNoteBibliography"/>
        <w:ind w:left="720" w:hanging="720"/>
        <w:jc w:val="both"/>
        <w:rPr>
          <w:noProof/>
        </w:rPr>
      </w:pPr>
      <w:r w:rsidRPr="000A6777">
        <w:rPr>
          <w:noProof/>
        </w:rPr>
        <w:t xml:space="preserve">Mccarthy, I. D., Bloomer, Z., Gall, A., Keen, R., Ferguson-Pell, M. (2011) Changes in the structural and material properties of the tibia in patients with spinal cord injury. </w:t>
      </w:r>
      <w:r w:rsidRPr="000A6777">
        <w:rPr>
          <w:i/>
          <w:noProof/>
        </w:rPr>
        <w:t>Spinal Cord,</w:t>
      </w:r>
      <w:r w:rsidRPr="000A6777">
        <w:rPr>
          <w:noProof/>
        </w:rPr>
        <w:t xml:space="preserve"> 50</w:t>
      </w:r>
      <w:r w:rsidRPr="000A6777">
        <w:rPr>
          <w:b/>
          <w:noProof/>
        </w:rPr>
        <w:t>:</w:t>
      </w:r>
      <w:r w:rsidRPr="000A6777">
        <w:rPr>
          <w:noProof/>
        </w:rPr>
        <w:t xml:space="preserve"> 333-337.</w:t>
      </w:r>
    </w:p>
    <w:p w14:paraId="4DD55B3A" w14:textId="77777777" w:rsidR="00B32AAB" w:rsidRPr="000A6777" w:rsidRDefault="00B32AAB" w:rsidP="000A6777">
      <w:pPr>
        <w:pStyle w:val="EndNoteBibliography"/>
        <w:ind w:left="720" w:hanging="720"/>
        <w:jc w:val="both"/>
        <w:rPr>
          <w:noProof/>
        </w:rPr>
      </w:pPr>
      <w:r w:rsidRPr="000A6777">
        <w:rPr>
          <w:noProof/>
        </w:rPr>
        <w:t xml:space="preserve">McKenzie, J. A., Silva, M. J. (2011) Comparing histological, vascular and molecular responses associated with woven and lamellar bone formation induced by mechanical loading in the rat ulna. </w:t>
      </w:r>
      <w:r w:rsidRPr="000A6777">
        <w:rPr>
          <w:i/>
          <w:noProof/>
        </w:rPr>
        <w:t>Bone,</w:t>
      </w:r>
      <w:r w:rsidRPr="000A6777">
        <w:rPr>
          <w:noProof/>
        </w:rPr>
        <w:t xml:space="preserve"> 48</w:t>
      </w:r>
      <w:r w:rsidRPr="000A6777">
        <w:rPr>
          <w:b/>
          <w:noProof/>
        </w:rPr>
        <w:t>:</w:t>
      </w:r>
      <w:r w:rsidRPr="000A6777">
        <w:rPr>
          <w:noProof/>
        </w:rPr>
        <w:t xml:space="preserve"> 250-258.</w:t>
      </w:r>
    </w:p>
    <w:p w14:paraId="0D19968A" w14:textId="77777777" w:rsidR="00B32AAB" w:rsidRPr="000A6777" w:rsidRDefault="00B32AAB" w:rsidP="000A6777">
      <w:pPr>
        <w:pStyle w:val="EndNoteBibliography"/>
        <w:ind w:left="720" w:hanging="720"/>
        <w:jc w:val="both"/>
        <w:rPr>
          <w:noProof/>
        </w:rPr>
      </w:pPr>
      <w:r w:rsidRPr="000A6777">
        <w:rPr>
          <w:noProof/>
        </w:rPr>
        <w:t>Meakin, L. B., Galea, G. L., Sugiyama, T., Lanyon, L. E., Price, J. S. (2014) Age</w:t>
      </w:r>
      <w:r w:rsidRPr="000A6777">
        <w:rPr>
          <w:rFonts w:ascii="American Typewriter Condensed" w:hAnsi="American Typewriter Condensed" w:cs="American Typewriter Condensed"/>
          <w:noProof/>
        </w:rPr>
        <w:t>‐</w:t>
      </w:r>
      <w:r w:rsidRPr="000A6777">
        <w:rPr>
          <w:noProof/>
        </w:rPr>
        <w:t xml:space="preserve"> Related Impairment of Bones' Adaptive Response to Loading in Mice Is Associated With Sex</w:t>
      </w:r>
      <w:r w:rsidRPr="000A6777">
        <w:rPr>
          <w:rFonts w:ascii="American Typewriter Condensed" w:hAnsi="American Typewriter Condensed" w:cs="American Typewriter Condensed"/>
          <w:noProof/>
        </w:rPr>
        <w:t>‐</w:t>
      </w:r>
      <w:r w:rsidRPr="000A6777">
        <w:rPr>
          <w:noProof/>
        </w:rPr>
        <w:t xml:space="preserve"> Related Deficiencies in Osteoblasts but No Change in Osteocytes. </w:t>
      </w:r>
      <w:r w:rsidRPr="000A6777">
        <w:rPr>
          <w:i/>
          <w:noProof/>
        </w:rPr>
        <w:t>Journal of Bone and Mineral Research,</w:t>
      </w:r>
      <w:r w:rsidRPr="000A6777">
        <w:rPr>
          <w:noProof/>
        </w:rPr>
        <w:t xml:space="preserve"> 29</w:t>
      </w:r>
      <w:r w:rsidRPr="000A6777">
        <w:rPr>
          <w:b/>
          <w:noProof/>
        </w:rPr>
        <w:t>:</w:t>
      </w:r>
      <w:r w:rsidRPr="000A6777">
        <w:rPr>
          <w:noProof/>
        </w:rPr>
        <w:t xml:space="preserve"> 1859-1871.</w:t>
      </w:r>
    </w:p>
    <w:p w14:paraId="29B0F723" w14:textId="77777777" w:rsidR="00B32AAB" w:rsidRPr="000A6777" w:rsidRDefault="00B32AAB" w:rsidP="000A6777">
      <w:pPr>
        <w:pStyle w:val="EndNoteBibliography"/>
        <w:ind w:left="720" w:hanging="720"/>
        <w:jc w:val="both"/>
        <w:rPr>
          <w:noProof/>
        </w:rPr>
      </w:pPr>
      <w:r w:rsidRPr="000A6777">
        <w:rPr>
          <w:noProof/>
        </w:rPr>
        <w:t xml:space="preserve">Meakin, L. B., Sugiyama, T., Galea, G. L., Browne, W. J., Lanyon, L. E., Price, J. S. (2013) Male mice housed in groups engage in frequent fighting and show a lower response to additional bone loading than females or individually housed males that do not fight. </w:t>
      </w:r>
      <w:r w:rsidRPr="000A6777">
        <w:rPr>
          <w:i/>
          <w:noProof/>
        </w:rPr>
        <w:t>Bone,</w:t>
      </w:r>
      <w:r w:rsidRPr="000A6777">
        <w:rPr>
          <w:noProof/>
        </w:rPr>
        <w:t xml:space="preserve"> 54</w:t>
      </w:r>
      <w:r w:rsidRPr="000A6777">
        <w:rPr>
          <w:b/>
          <w:noProof/>
        </w:rPr>
        <w:t>:</w:t>
      </w:r>
      <w:r w:rsidRPr="000A6777">
        <w:rPr>
          <w:noProof/>
        </w:rPr>
        <w:t xml:space="preserve"> 113-117.</w:t>
      </w:r>
    </w:p>
    <w:p w14:paraId="0505CCBD" w14:textId="77777777" w:rsidR="00B32AAB" w:rsidRPr="000A6777" w:rsidRDefault="00B32AAB" w:rsidP="000A6777">
      <w:pPr>
        <w:pStyle w:val="EndNoteBibliography"/>
        <w:ind w:left="720" w:hanging="720"/>
        <w:jc w:val="both"/>
        <w:rPr>
          <w:noProof/>
        </w:rPr>
      </w:pPr>
      <w:r w:rsidRPr="000A6777">
        <w:rPr>
          <w:noProof/>
        </w:rPr>
        <w:t xml:space="preserve">Meakin, L. B., Udeh, C., Galea, G. L., Lanyon, L. E., Price, J. S. (2015) Exercise does not enhance aged bone's impaired response to artificial loading in C57Bl/6 mice. </w:t>
      </w:r>
      <w:r w:rsidRPr="000A6777">
        <w:rPr>
          <w:i/>
          <w:noProof/>
        </w:rPr>
        <w:t>Bone,</w:t>
      </w:r>
      <w:r w:rsidRPr="000A6777">
        <w:rPr>
          <w:noProof/>
        </w:rPr>
        <w:t xml:space="preserve"> 81</w:t>
      </w:r>
      <w:r w:rsidRPr="000A6777">
        <w:rPr>
          <w:b/>
          <w:noProof/>
        </w:rPr>
        <w:t>:</w:t>
      </w:r>
      <w:r w:rsidRPr="000A6777">
        <w:rPr>
          <w:noProof/>
        </w:rPr>
        <w:t xml:space="preserve"> 47-52.</w:t>
      </w:r>
    </w:p>
    <w:p w14:paraId="4A8C2C07" w14:textId="77777777" w:rsidR="00B32AAB" w:rsidRPr="000A6777" w:rsidRDefault="00B32AAB" w:rsidP="000A6777">
      <w:pPr>
        <w:pStyle w:val="EndNoteBibliography"/>
        <w:ind w:left="720" w:hanging="720"/>
        <w:jc w:val="both"/>
        <w:rPr>
          <w:noProof/>
        </w:rPr>
      </w:pPr>
      <w:r w:rsidRPr="000A6777">
        <w:rPr>
          <w:noProof/>
        </w:rPr>
        <w:t xml:space="preserve">Meier, J. J., Schmidt, W. E., Gallwitz, B., Nauck, M. A. (2002) Gastric inhibitory polypeptide: The neglected incretin revisited. </w:t>
      </w:r>
      <w:r w:rsidRPr="000A6777">
        <w:rPr>
          <w:i/>
          <w:noProof/>
        </w:rPr>
        <w:t>Regulatory Peptides,</w:t>
      </w:r>
      <w:r w:rsidRPr="000A6777">
        <w:rPr>
          <w:noProof/>
        </w:rPr>
        <w:t xml:space="preserve"> 107</w:t>
      </w:r>
      <w:r w:rsidRPr="000A6777">
        <w:rPr>
          <w:b/>
          <w:noProof/>
        </w:rPr>
        <w:t>:</w:t>
      </w:r>
      <w:r w:rsidRPr="000A6777">
        <w:rPr>
          <w:noProof/>
        </w:rPr>
        <w:t xml:space="preserve"> 1-13.</w:t>
      </w:r>
    </w:p>
    <w:p w14:paraId="7E81D950" w14:textId="77777777" w:rsidR="00B32AAB" w:rsidRPr="000A6777" w:rsidRDefault="00B32AAB" w:rsidP="000A6777">
      <w:pPr>
        <w:pStyle w:val="EndNoteBibliography"/>
        <w:ind w:left="720" w:hanging="720"/>
        <w:jc w:val="both"/>
        <w:rPr>
          <w:noProof/>
        </w:rPr>
      </w:pPr>
      <w:r w:rsidRPr="000A6777">
        <w:rPr>
          <w:noProof/>
        </w:rPr>
        <w:t xml:space="preserve">Miyawaki, K., Yamada, Y., Yano, H., Niwa, H., Ban, N., Ihara, Y., Kubota, A., Fujimoto, S., Kajikawa, M., Kuroe, A., Tsuda, K., Hashimoto, H., Yamashita, T., Jomori, T., Tashiro, F., Miyazaki, J., Seino, Y. (1999) Glucose intolerance caused by a defect in the entero- insular axis: A study in gastric inhibitory polypeptide receptor knockout mice. </w:t>
      </w:r>
      <w:r w:rsidRPr="000A6777">
        <w:rPr>
          <w:i/>
          <w:noProof/>
        </w:rPr>
        <w:t>Proceedings of the National Academy of Sciences of the United States of America,</w:t>
      </w:r>
      <w:r w:rsidRPr="000A6777">
        <w:rPr>
          <w:noProof/>
        </w:rPr>
        <w:t xml:space="preserve"> 96</w:t>
      </w:r>
      <w:r w:rsidRPr="000A6777">
        <w:rPr>
          <w:b/>
          <w:noProof/>
        </w:rPr>
        <w:t>:</w:t>
      </w:r>
      <w:r w:rsidRPr="000A6777">
        <w:rPr>
          <w:noProof/>
        </w:rPr>
        <w:t xml:space="preserve"> 14843-14847.</w:t>
      </w:r>
    </w:p>
    <w:p w14:paraId="567ACAEC" w14:textId="77777777" w:rsidR="00B32AAB" w:rsidRPr="000A6777" w:rsidRDefault="00B32AAB" w:rsidP="000A6777">
      <w:pPr>
        <w:pStyle w:val="EndNoteBibliography"/>
        <w:ind w:left="720" w:hanging="720"/>
        <w:jc w:val="both"/>
        <w:rPr>
          <w:noProof/>
        </w:rPr>
      </w:pPr>
      <w:r w:rsidRPr="000A6777">
        <w:rPr>
          <w:noProof/>
        </w:rPr>
        <w:t xml:space="preserve">Moayyeri, A., Luben, R. N., Khaw, K.-T., Besson, H., Wareham, N. J. (2010) The association between physical activity in different domains of life and risk of osteoporotic fractures. </w:t>
      </w:r>
      <w:r w:rsidRPr="000A6777">
        <w:rPr>
          <w:i/>
          <w:noProof/>
        </w:rPr>
        <w:t>Bone,</w:t>
      </w:r>
      <w:r w:rsidRPr="000A6777">
        <w:rPr>
          <w:noProof/>
        </w:rPr>
        <w:t xml:space="preserve"> 47</w:t>
      </w:r>
      <w:r w:rsidRPr="000A6777">
        <w:rPr>
          <w:b/>
          <w:noProof/>
        </w:rPr>
        <w:t>:</w:t>
      </w:r>
      <w:r w:rsidRPr="000A6777">
        <w:rPr>
          <w:noProof/>
        </w:rPr>
        <w:t xml:space="preserve"> 693-700.</w:t>
      </w:r>
    </w:p>
    <w:p w14:paraId="3FC79920" w14:textId="77777777" w:rsidR="00B32AAB" w:rsidRPr="000A6777" w:rsidRDefault="00B32AAB" w:rsidP="000A6777">
      <w:pPr>
        <w:pStyle w:val="EndNoteBibliography"/>
        <w:ind w:left="720" w:hanging="720"/>
        <w:jc w:val="both"/>
        <w:rPr>
          <w:noProof/>
        </w:rPr>
      </w:pPr>
      <w:r w:rsidRPr="000A6777">
        <w:rPr>
          <w:noProof/>
        </w:rPr>
        <w:t xml:space="preserve">Monteleone, P., Bencivenga, R., Longobardi, N., Serritella, C., Maj, M. (2003) Differential Responses of Circulating Ghrelin to High- Fat or High- Carbohydrate Meal in Healthy Women. </w:t>
      </w:r>
      <w:r w:rsidRPr="000A6777">
        <w:rPr>
          <w:i/>
          <w:noProof/>
        </w:rPr>
        <w:t>Journal of Clinical Endocrinology and Metabolism,</w:t>
      </w:r>
      <w:r w:rsidRPr="000A6777">
        <w:rPr>
          <w:noProof/>
        </w:rPr>
        <w:t xml:space="preserve"> 88</w:t>
      </w:r>
      <w:r w:rsidRPr="000A6777">
        <w:rPr>
          <w:b/>
          <w:noProof/>
        </w:rPr>
        <w:t>:</w:t>
      </w:r>
      <w:r w:rsidRPr="000A6777">
        <w:rPr>
          <w:noProof/>
        </w:rPr>
        <w:t xml:space="preserve"> 5510-5514.</w:t>
      </w:r>
    </w:p>
    <w:p w14:paraId="674A2ED9" w14:textId="77777777" w:rsidR="00B32AAB" w:rsidRPr="000A6777" w:rsidRDefault="00B32AAB" w:rsidP="000A6777">
      <w:pPr>
        <w:pStyle w:val="EndNoteBibliography"/>
        <w:ind w:left="720" w:hanging="720"/>
        <w:jc w:val="both"/>
        <w:rPr>
          <w:noProof/>
        </w:rPr>
      </w:pPr>
      <w:r w:rsidRPr="000A6777">
        <w:rPr>
          <w:noProof/>
        </w:rPr>
        <w:lastRenderedPageBreak/>
        <w:t xml:space="preserve">Mori, K., Yoshimoto, A., Takaya, K., Hosoda, K., Ariyasu, H., Yahata, K., Mukoyama, M., Sugawara, A., Nakao, K., Hosoda, H., Kojima, M., Kangawa, K. (2000) Kidney produces a novel acylated peptide, ghrelin. </w:t>
      </w:r>
      <w:r w:rsidRPr="000A6777">
        <w:rPr>
          <w:i/>
          <w:noProof/>
        </w:rPr>
        <w:t>Federation of European Biochemical Societies Letters,</w:t>
      </w:r>
      <w:r w:rsidRPr="000A6777">
        <w:rPr>
          <w:noProof/>
        </w:rPr>
        <w:t xml:space="preserve"> 486</w:t>
      </w:r>
      <w:r w:rsidRPr="000A6777">
        <w:rPr>
          <w:b/>
          <w:noProof/>
        </w:rPr>
        <w:t>:</w:t>
      </w:r>
      <w:r w:rsidRPr="000A6777">
        <w:rPr>
          <w:noProof/>
        </w:rPr>
        <w:t xml:space="preserve"> 213-216.</w:t>
      </w:r>
    </w:p>
    <w:p w14:paraId="23F42CF3" w14:textId="77777777" w:rsidR="00B32AAB" w:rsidRPr="000A6777" w:rsidRDefault="00B32AAB" w:rsidP="000A6777">
      <w:pPr>
        <w:pStyle w:val="EndNoteBibliography"/>
        <w:ind w:left="720" w:hanging="720"/>
        <w:jc w:val="both"/>
        <w:rPr>
          <w:noProof/>
        </w:rPr>
      </w:pPr>
      <w:r w:rsidRPr="000A6777">
        <w:rPr>
          <w:noProof/>
        </w:rPr>
        <w:t xml:space="preserve">Mori, T., Okimoto, N., Sakai, A., Okazaki, Y., Nakura, N., Notomi, T., Nakamura, T. (2003) Climbing Exercise Increases Bone Mass and Trabecular Bone Turnover Through Transient Regulation of Marrow Osteogenic and Osteoclastogenic Potentials in Mice. </w:t>
      </w:r>
      <w:r w:rsidRPr="000A6777">
        <w:rPr>
          <w:i/>
          <w:noProof/>
        </w:rPr>
        <w:t>Journal of Bone and Mineral Research,</w:t>
      </w:r>
      <w:r w:rsidRPr="000A6777">
        <w:rPr>
          <w:noProof/>
        </w:rPr>
        <w:t xml:space="preserve"> 18</w:t>
      </w:r>
      <w:r w:rsidRPr="000A6777">
        <w:rPr>
          <w:b/>
          <w:noProof/>
        </w:rPr>
        <w:t>:</w:t>
      </w:r>
      <w:r w:rsidRPr="000A6777">
        <w:rPr>
          <w:noProof/>
        </w:rPr>
        <w:t xml:space="preserve"> 2002-2009.</w:t>
      </w:r>
    </w:p>
    <w:p w14:paraId="696D3241" w14:textId="77777777" w:rsidR="00B32AAB" w:rsidRPr="000A6777" w:rsidRDefault="00B32AAB" w:rsidP="000A6777">
      <w:pPr>
        <w:pStyle w:val="EndNoteBibliography"/>
        <w:ind w:left="720" w:hanging="720"/>
        <w:jc w:val="both"/>
        <w:rPr>
          <w:noProof/>
        </w:rPr>
      </w:pPr>
      <w:r w:rsidRPr="000A6777">
        <w:rPr>
          <w:noProof/>
        </w:rPr>
        <w:t xml:space="preserve">Mortensen, K., Christensen, L. L., Orskov, C., Holst, J. J. (2003) GLP- 1 and GIP are colocalized in a subset of endocrine cells in the small intestine. </w:t>
      </w:r>
      <w:r w:rsidRPr="000A6777">
        <w:rPr>
          <w:i/>
          <w:noProof/>
        </w:rPr>
        <w:t>Regulatory Peptides,</w:t>
      </w:r>
      <w:r w:rsidRPr="000A6777">
        <w:rPr>
          <w:noProof/>
        </w:rPr>
        <w:t xml:space="preserve"> 114</w:t>
      </w:r>
      <w:r w:rsidRPr="000A6777">
        <w:rPr>
          <w:b/>
          <w:noProof/>
        </w:rPr>
        <w:t>:</w:t>
      </w:r>
      <w:r w:rsidRPr="000A6777">
        <w:rPr>
          <w:noProof/>
        </w:rPr>
        <w:t xml:space="preserve"> 189-196.</w:t>
      </w:r>
    </w:p>
    <w:p w14:paraId="1D2DC87F" w14:textId="77777777" w:rsidR="00B32AAB" w:rsidRPr="000A6777" w:rsidRDefault="00B32AAB" w:rsidP="000A6777">
      <w:pPr>
        <w:pStyle w:val="EndNoteBibliography"/>
        <w:ind w:left="720" w:hanging="720"/>
        <w:jc w:val="both"/>
        <w:rPr>
          <w:noProof/>
        </w:rPr>
      </w:pPr>
      <w:r w:rsidRPr="000A6777">
        <w:rPr>
          <w:noProof/>
        </w:rPr>
        <w:t xml:space="preserve">Mosekilde, L. (1995) Assessing bone quality — Animal models in preclinical osteoporosis research. </w:t>
      </w:r>
      <w:r w:rsidRPr="000A6777">
        <w:rPr>
          <w:i/>
          <w:noProof/>
        </w:rPr>
        <w:t>Bone,</w:t>
      </w:r>
      <w:r w:rsidRPr="000A6777">
        <w:rPr>
          <w:noProof/>
        </w:rPr>
        <w:t xml:space="preserve"> 17</w:t>
      </w:r>
      <w:r w:rsidRPr="000A6777">
        <w:rPr>
          <w:b/>
          <w:noProof/>
        </w:rPr>
        <w:t>:</w:t>
      </w:r>
      <w:r w:rsidRPr="000A6777">
        <w:rPr>
          <w:noProof/>
        </w:rPr>
        <w:t xml:space="preserve"> S343-S352.</w:t>
      </w:r>
    </w:p>
    <w:p w14:paraId="007184A9" w14:textId="77777777" w:rsidR="00B32AAB" w:rsidRPr="000A6777" w:rsidRDefault="00B32AAB" w:rsidP="000A6777">
      <w:pPr>
        <w:pStyle w:val="EndNoteBibliography"/>
        <w:ind w:left="720" w:hanging="720"/>
        <w:jc w:val="both"/>
        <w:rPr>
          <w:noProof/>
        </w:rPr>
      </w:pPr>
      <w:r w:rsidRPr="000A6777">
        <w:rPr>
          <w:noProof/>
        </w:rPr>
        <w:t xml:space="preserve">Mosekilde, L. (2000) Age- related changes in bone mass, structure, and strength - Effects of loading. </w:t>
      </w:r>
      <w:r w:rsidRPr="000A6777">
        <w:rPr>
          <w:i/>
          <w:noProof/>
        </w:rPr>
        <w:t>Zeitschrift fur Rheumatologie,</w:t>
      </w:r>
      <w:r w:rsidRPr="000A6777">
        <w:rPr>
          <w:noProof/>
        </w:rPr>
        <w:t xml:space="preserve"> 59</w:t>
      </w:r>
      <w:r w:rsidRPr="000A6777">
        <w:rPr>
          <w:b/>
          <w:noProof/>
        </w:rPr>
        <w:t>:</w:t>
      </w:r>
      <w:r w:rsidRPr="000A6777">
        <w:rPr>
          <w:noProof/>
        </w:rPr>
        <w:t xml:space="preserve"> 1-9.</w:t>
      </w:r>
    </w:p>
    <w:p w14:paraId="1DFAF6AD" w14:textId="77777777" w:rsidR="00B32AAB" w:rsidRPr="000A6777" w:rsidRDefault="00B32AAB" w:rsidP="000A6777">
      <w:pPr>
        <w:pStyle w:val="EndNoteBibliography"/>
        <w:ind w:left="720" w:hanging="720"/>
        <w:jc w:val="both"/>
        <w:rPr>
          <w:noProof/>
        </w:rPr>
      </w:pPr>
      <w:r w:rsidRPr="000A6777">
        <w:rPr>
          <w:noProof/>
        </w:rPr>
        <w:t xml:space="preserve">Mosley, J. R., Lanyon, L. E. (1998) Strain rate as a controlling influence on adaptive modeling in response to dynamic loading of the ulna in growing male rats. </w:t>
      </w:r>
      <w:r w:rsidRPr="000A6777">
        <w:rPr>
          <w:i/>
          <w:noProof/>
        </w:rPr>
        <w:t>Bone,</w:t>
      </w:r>
      <w:r w:rsidRPr="000A6777">
        <w:rPr>
          <w:noProof/>
        </w:rPr>
        <w:t xml:space="preserve"> 23</w:t>
      </w:r>
      <w:r w:rsidRPr="000A6777">
        <w:rPr>
          <w:b/>
          <w:noProof/>
        </w:rPr>
        <w:t>:</w:t>
      </w:r>
      <w:r w:rsidRPr="000A6777">
        <w:rPr>
          <w:noProof/>
        </w:rPr>
        <w:t xml:space="preserve"> 313-318.</w:t>
      </w:r>
    </w:p>
    <w:p w14:paraId="3FD615ED" w14:textId="77777777" w:rsidR="00B32AAB" w:rsidRPr="000A6777" w:rsidRDefault="00B32AAB" w:rsidP="000A6777">
      <w:pPr>
        <w:pStyle w:val="EndNoteBibliography"/>
        <w:ind w:left="720" w:hanging="720"/>
        <w:jc w:val="both"/>
        <w:rPr>
          <w:noProof/>
        </w:rPr>
      </w:pPr>
      <w:r w:rsidRPr="000A6777">
        <w:rPr>
          <w:noProof/>
        </w:rPr>
        <w:t xml:space="preserve">Moss, C., Dhillo, W. S., Frost, G., Hickson, M. (2012) Gastrointestinal hormones: the regulation of appetite and the anorexia of ageing. </w:t>
      </w:r>
      <w:r w:rsidRPr="000A6777">
        <w:rPr>
          <w:i/>
          <w:noProof/>
        </w:rPr>
        <w:t>Journal of Human Nutrition and Dietetics,</w:t>
      </w:r>
      <w:r w:rsidRPr="000A6777">
        <w:rPr>
          <w:noProof/>
        </w:rPr>
        <w:t xml:space="preserve"> 25</w:t>
      </w:r>
      <w:r w:rsidRPr="000A6777">
        <w:rPr>
          <w:b/>
          <w:noProof/>
        </w:rPr>
        <w:t>:</w:t>
      </w:r>
      <w:r w:rsidRPr="000A6777">
        <w:rPr>
          <w:noProof/>
        </w:rPr>
        <w:t xml:space="preserve"> 3-15.</w:t>
      </w:r>
    </w:p>
    <w:p w14:paraId="13140A97" w14:textId="77777777" w:rsidR="00B32AAB" w:rsidRPr="000A6777" w:rsidRDefault="00B32AAB" w:rsidP="000A6777">
      <w:pPr>
        <w:pStyle w:val="EndNoteBibliography"/>
        <w:ind w:left="720" w:hanging="720"/>
        <w:jc w:val="both"/>
        <w:rPr>
          <w:noProof/>
        </w:rPr>
      </w:pPr>
      <w:r w:rsidRPr="000A6777">
        <w:rPr>
          <w:noProof/>
        </w:rPr>
        <w:t xml:space="preserve">Moustafa, A., Sugiyama, T., Prasad, J., Zaman, G., Gross, T., Lanyon, L., Price, J. (2012) Mechanical loading-related changes in osteocyte sclerostin expression in mice are more closely associated with the subsequent osteogenic response than the peak strains engendered. </w:t>
      </w:r>
      <w:r w:rsidR="0091776C">
        <w:rPr>
          <w:i/>
          <w:noProof/>
        </w:rPr>
        <w:t>Osteoporosis Internationa</w:t>
      </w:r>
      <w:r w:rsidRPr="000A6777">
        <w:rPr>
          <w:i/>
          <w:noProof/>
        </w:rPr>
        <w:t>l,</w:t>
      </w:r>
      <w:r w:rsidRPr="000A6777">
        <w:rPr>
          <w:noProof/>
        </w:rPr>
        <w:t xml:space="preserve"> 23</w:t>
      </w:r>
      <w:r w:rsidRPr="000A6777">
        <w:rPr>
          <w:b/>
          <w:noProof/>
        </w:rPr>
        <w:t>:</w:t>
      </w:r>
      <w:r w:rsidRPr="000A6777">
        <w:rPr>
          <w:noProof/>
        </w:rPr>
        <w:t xml:space="preserve"> 1225-1234.</w:t>
      </w:r>
    </w:p>
    <w:p w14:paraId="02E70ACA" w14:textId="77777777" w:rsidR="00B32AAB" w:rsidRPr="000A6777" w:rsidRDefault="00B32AAB" w:rsidP="000A6777">
      <w:pPr>
        <w:pStyle w:val="EndNoteBibliography"/>
        <w:ind w:left="720" w:hanging="720"/>
        <w:jc w:val="both"/>
        <w:rPr>
          <w:noProof/>
        </w:rPr>
      </w:pPr>
      <w:r w:rsidRPr="000A6777">
        <w:rPr>
          <w:noProof/>
        </w:rPr>
        <w:t xml:space="preserve">Moustafa, A., Sugiyama, T., Saxon, L., Zaman, G., Sunters, A., Armstrong, V., Javaheri, B., Lanyon, L., Price, J. (2009) The mouse fibula as a suitable bone for the study of functional adaptation to mechanical loading. </w:t>
      </w:r>
      <w:r w:rsidRPr="000A6777">
        <w:rPr>
          <w:i/>
          <w:noProof/>
        </w:rPr>
        <w:t>Bone,</w:t>
      </w:r>
      <w:r w:rsidRPr="000A6777">
        <w:rPr>
          <w:noProof/>
        </w:rPr>
        <w:t xml:space="preserve"> 44</w:t>
      </w:r>
      <w:r w:rsidRPr="000A6777">
        <w:rPr>
          <w:b/>
          <w:noProof/>
        </w:rPr>
        <w:t>:</w:t>
      </w:r>
      <w:r w:rsidRPr="000A6777">
        <w:rPr>
          <w:noProof/>
        </w:rPr>
        <w:t xml:space="preserve"> 930-935.</w:t>
      </w:r>
    </w:p>
    <w:p w14:paraId="7495A93E" w14:textId="77777777" w:rsidR="00B32AAB" w:rsidRPr="000A6777" w:rsidRDefault="00B32AAB" w:rsidP="000A6777">
      <w:pPr>
        <w:pStyle w:val="EndNoteBibliography"/>
        <w:ind w:left="720" w:hanging="720"/>
        <w:jc w:val="both"/>
        <w:rPr>
          <w:noProof/>
        </w:rPr>
      </w:pPr>
      <w:r w:rsidRPr="000A6777">
        <w:rPr>
          <w:noProof/>
        </w:rPr>
        <w:t xml:space="preserve">Mulari, M., Vääräniemi, J., Väänänen, H. K. (2003) Intracellular membrane trafficking in bone resorbing osteoclasts. </w:t>
      </w:r>
      <w:r w:rsidRPr="000A6777">
        <w:rPr>
          <w:i/>
          <w:noProof/>
        </w:rPr>
        <w:t>Microscopy Research and Technique,</w:t>
      </w:r>
      <w:r w:rsidRPr="000A6777">
        <w:rPr>
          <w:noProof/>
        </w:rPr>
        <w:t xml:space="preserve"> 61</w:t>
      </w:r>
      <w:r w:rsidRPr="000A6777">
        <w:rPr>
          <w:b/>
          <w:noProof/>
        </w:rPr>
        <w:t>:</w:t>
      </w:r>
      <w:r w:rsidRPr="000A6777">
        <w:rPr>
          <w:noProof/>
        </w:rPr>
        <w:t xml:space="preserve"> 496-503.</w:t>
      </w:r>
    </w:p>
    <w:p w14:paraId="2C8AA2C4" w14:textId="77777777" w:rsidR="00B32AAB" w:rsidRPr="000A6777" w:rsidRDefault="00B32AAB" w:rsidP="000A6777">
      <w:pPr>
        <w:pStyle w:val="EndNoteBibliography"/>
        <w:ind w:left="720" w:hanging="720"/>
        <w:jc w:val="both"/>
        <w:rPr>
          <w:noProof/>
        </w:rPr>
      </w:pPr>
      <w:r w:rsidRPr="000A6777">
        <w:rPr>
          <w:noProof/>
        </w:rPr>
        <w:t xml:space="preserve">Murshed, M., Harmey, D., Millan, J., McKee, M., Karsenty, G. (2005) Unique coexpression in osteoblasts of broadly expressed genes accounts for the spatial restriction of ECM mineralization to bone. </w:t>
      </w:r>
      <w:r w:rsidRPr="000A6777">
        <w:rPr>
          <w:i/>
          <w:noProof/>
        </w:rPr>
        <w:t>Genes and Development,</w:t>
      </w:r>
      <w:r w:rsidRPr="000A6777">
        <w:rPr>
          <w:noProof/>
        </w:rPr>
        <w:t xml:space="preserve"> 19</w:t>
      </w:r>
      <w:r w:rsidRPr="000A6777">
        <w:rPr>
          <w:b/>
          <w:noProof/>
        </w:rPr>
        <w:t>:</w:t>
      </w:r>
      <w:r w:rsidRPr="000A6777">
        <w:rPr>
          <w:noProof/>
        </w:rPr>
        <w:t xml:space="preserve"> 1093-1104.</w:t>
      </w:r>
    </w:p>
    <w:p w14:paraId="5D9311B1" w14:textId="77777777" w:rsidR="00B32AAB" w:rsidRPr="000A6777" w:rsidRDefault="00B32AAB" w:rsidP="000A6777">
      <w:pPr>
        <w:pStyle w:val="EndNoteBibliography"/>
        <w:ind w:left="720" w:hanging="720"/>
        <w:jc w:val="both"/>
        <w:rPr>
          <w:noProof/>
        </w:rPr>
      </w:pPr>
      <w:r w:rsidRPr="000A6777">
        <w:rPr>
          <w:noProof/>
        </w:rPr>
        <w:t xml:space="preserve">Nagamatsu, S., Nakamichi, Y., Yamamura, C., Matsushima, S., Watanabe, T., Ozawa, S., Furukawa, H., Ishida, H. (1999) Decreased expression of t-SNARE, syntaxin 1, and </w:t>
      </w:r>
      <w:r w:rsidRPr="000A6777">
        <w:rPr>
          <w:noProof/>
        </w:rPr>
        <w:lastRenderedPageBreak/>
        <w:t xml:space="preserve">SNAP-25 in pancreatic β-cells is involved in impaired insulin secretion from diabetic GK rat islets: Restoration of decreased t-SNARE proteins improves impaired insulin secretion. </w:t>
      </w:r>
      <w:r w:rsidRPr="000A6777">
        <w:rPr>
          <w:i/>
          <w:noProof/>
        </w:rPr>
        <w:t>Diabetes,</w:t>
      </w:r>
      <w:r w:rsidRPr="000A6777">
        <w:rPr>
          <w:noProof/>
        </w:rPr>
        <w:t xml:space="preserve"> 48</w:t>
      </w:r>
      <w:r w:rsidRPr="000A6777">
        <w:rPr>
          <w:b/>
          <w:noProof/>
        </w:rPr>
        <w:t>:</w:t>
      </w:r>
      <w:r w:rsidRPr="000A6777">
        <w:rPr>
          <w:noProof/>
        </w:rPr>
        <w:t xml:space="preserve"> 2367-2373.</w:t>
      </w:r>
    </w:p>
    <w:p w14:paraId="6E1AA0FE" w14:textId="77777777" w:rsidR="00B32AAB" w:rsidRPr="000A6777" w:rsidRDefault="00B32AAB" w:rsidP="000A6777">
      <w:pPr>
        <w:pStyle w:val="EndNoteBibliography"/>
        <w:ind w:left="720" w:hanging="720"/>
        <w:jc w:val="both"/>
        <w:rPr>
          <w:noProof/>
        </w:rPr>
      </w:pPr>
      <w:r w:rsidRPr="000A6777">
        <w:rPr>
          <w:noProof/>
        </w:rPr>
        <w:t xml:space="preserve">Nakashima, K., Zhou, X., Kunkel, G., Zhang, Z., Deng, J. M., Behringer, R. R., de Crombrugghe, B. (2002) The Novel Zinc Finger- Containing Transcription Factor Osterix Is Required for Osteoblast Differentiation and Bone Formation. </w:t>
      </w:r>
      <w:r w:rsidRPr="000A6777">
        <w:rPr>
          <w:i/>
          <w:noProof/>
        </w:rPr>
        <w:t>Cell,</w:t>
      </w:r>
      <w:r w:rsidRPr="000A6777">
        <w:rPr>
          <w:noProof/>
        </w:rPr>
        <w:t xml:space="preserve"> 108</w:t>
      </w:r>
      <w:r w:rsidRPr="000A6777">
        <w:rPr>
          <w:b/>
          <w:noProof/>
        </w:rPr>
        <w:t>:</w:t>
      </w:r>
      <w:r w:rsidRPr="000A6777">
        <w:rPr>
          <w:noProof/>
        </w:rPr>
        <w:t xml:space="preserve"> 17-29.</w:t>
      </w:r>
    </w:p>
    <w:p w14:paraId="0E9F2D7B" w14:textId="77777777" w:rsidR="00B32AAB" w:rsidRPr="000A6777" w:rsidRDefault="00B32AAB" w:rsidP="000A6777">
      <w:pPr>
        <w:pStyle w:val="EndNoteBibliography"/>
        <w:ind w:left="720" w:hanging="720"/>
        <w:jc w:val="both"/>
        <w:rPr>
          <w:noProof/>
        </w:rPr>
      </w:pPr>
      <w:r w:rsidRPr="000A6777">
        <w:rPr>
          <w:noProof/>
        </w:rPr>
        <w:t xml:space="preserve">Naot, D., Cornish, J. (2008) The role of peptides and receptors of the calcitonin family in the regulation of bone metabolism. </w:t>
      </w:r>
      <w:r w:rsidRPr="000A6777">
        <w:rPr>
          <w:i/>
          <w:noProof/>
        </w:rPr>
        <w:t>Bone,</w:t>
      </w:r>
      <w:r w:rsidRPr="000A6777">
        <w:rPr>
          <w:noProof/>
        </w:rPr>
        <w:t xml:space="preserve"> 43</w:t>
      </w:r>
      <w:r w:rsidRPr="000A6777">
        <w:rPr>
          <w:b/>
          <w:noProof/>
        </w:rPr>
        <w:t>:</w:t>
      </w:r>
      <w:r w:rsidRPr="000A6777">
        <w:rPr>
          <w:noProof/>
        </w:rPr>
        <w:t xml:space="preserve"> 813-818.</w:t>
      </w:r>
    </w:p>
    <w:p w14:paraId="0BA08F3E" w14:textId="77777777" w:rsidR="00B32AAB" w:rsidRPr="000A6777" w:rsidRDefault="00B32AAB" w:rsidP="000A6777">
      <w:pPr>
        <w:pStyle w:val="EndNoteBibliography"/>
        <w:ind w:left="720" w:hanging="720"/>
        <w:jc w:val="both"/>
        <w:rPr>
          <w:noProof/>
        </w:rPr>
      </w:pPr>
      <w:r w:rsidRPr="000A6777">
        <w:rPr>
          <w:noProof/>
        </w:rPr>
        <w:t xml:space="preserve">Nauck, M. A., Bartels, E., Orskov, C., Ebert, R., Creutzfeldt, W. (1993) Additive Insulinotropic Effects Of Exogenous Synthetic Human Gastric- Inhibitory Polypeptide And Glucagon- Like Peptide- 1-( 7- 36) Amide Infused At Near- Physiological Insulinotropic Hormone And Glucose- Concentrations. </w:t>
      </w:r>
      <w:r w:rsidRPr="000A6777">
        <w:rPr>
          <w:i/>
          <w:noProof/>
        </w:rPr>
        <w:t>Journal of Clinical Endocrinology and Metabolism,</w:t>
      </w:r>
      <w:r w:rsidRPr="000A6777">
        <w:rPr>
          <w:noProof/>
        </w:rPr>
        <w:t xml:space="preserve"> 76</w:t>
      </w:r>
      <w:r w:rsidRPr="000A6777">
        <w:rPr>
          <w:b/>
          <w:noProof/>
        </w:rPr>
        <w:t>:</w:t>
      </w:r>
      <w:r w:rsidRPr="000A6777">
        <w:rPr>
          <w:noProof/>
        </w:rPr>
        <w:t xml:space="preserve"> 912-917.</w:t>
      </w:r>
    </w:p>
    <w:p w14:paraId="29A402E9" w14:textId="77777777" w:rsidR="00B32AAB" w:rsidRPr="000A6777" w:rsidRDefault="00B32AAB" w:rsidP="000A6777">
      <w:pPr>
        <w:pStyle w:val="EndNoteBibliography"/>
        <w:ind w:left="720" w:hanging="720"/>
        <w:jc w:val="both"/>
        <w:rPr>
          <w:noProof/>
        </w:rPr>
      </w:pPr>
      <w:r w:rsidRPr="000A6777">
        <w:rPr>
          <w:noProof/>
        </w:rPr>
        <w:t xml:space="preserve">NC3Rs. (2018). Available: </w:t>
      </w:r>
      <w:hyperlink r:id="rId155" w:history="1">
        <w:r w:rsidRPr="000A6777">
          <w:rPr>
            <w:rStyle w:val="Hyperlink"/>
            <w:rFonts w:cs="Times New Roman"/>
            <w:noProof/>
            <w:lang w:val="en-GB"/>
          </w:rPr>
          <w:t>https://www.nc3rs.org.uk</w:t>
        </w:r>
      </w:hyperlink>
      <w:r w:rsidRPr="000A6777">
        <w:rPr>
          <w:noProof/>
        </w:rPr>
        <w:t xml:space="preserve"> [Accessed 19 March 2018].</w:t>
      </w:r>
    </w:p>
    <w:p w14:paraId="14105FC4" w14:textId="77777777" w:rsidR="00B32AAB" w:rsidRPr="000A6777" w:rsidRDefault="00B32AAB" w:rsidP="000A6777">
      <w:pPr>
        <w:pStyle w:val="EndNoteBibliography"/>
        <w:ind w:left="720" w:hanging="720"/>
        <w:jc w:val="both"/>
        <w:rPr>
          <w:noProof/>
        </w:rPr>
      </w:pPr>
      <w:r w:rsidRPr="000A6777">
        <w:rPr>
          <w:noProof/>
        </w:rPr>
        <w:t xml:space="preserve">Nedvidkova, J., Krykorkova, I., Bartak, V., Papezova, H., Gold, </w:t>
      </w:r>
      <w:r w:rsidR="0091776C">
        <w:rPr>
          <w:noProof/>
        </w:rPr>
        <w:t>P., Alesci, S., Pacak, K. (2003</w:t>
      </w:r>
      <w:r w:rsidRPr="000A6777">
        <w:rPr>
          <w:noProof/>
        </w:rPr>
        <w:t xml:space="preserve">) Loss of meal- induced decrease in plasma ghrelin levels in patients with anorexia nervosa. </w:t>
      </w:r>
      <w:r w:rsidRPr="000A6777">
        <w:rPr>
          <w:i/>
          <w:noProof/>
        </w:rPr>
        <w:t>Journal of Clinical Endocrinology and Metabolism,</w:t>
      </w:r>
      <w:r w:rsidRPr="000A6777">
        <w:rPr>
          <w:noProof/>
        </w:rPr>
        <w:t xml:space="preserve"> 88</w:t>
      </w:r>
      <w:r w:rsidRPr="000A6777">
        <w:rPr>
          <w:b/>
          <w:noProof/>
        </w:rPr>
        <w:t>:</w:t>
      </w:r>
      <w:r w:rsidRPr="000A6777">
        <w:rPr>
          <w:noProof/>
        </w:rPr>
        <w:t xml:space="preserve"> 1678-1682.</w:t>
      </w:r>
    </w:p>
    <w:p w14:paraId="5336A1BE" w14:textId="77777777" w:rsidR="00B32AAB" w:rsidRPr="000A6777" w:rsidRDefault="00B32AAB" w:rsidP="000A6777">
      <w:pPr>
        <w:pStyle w:val="EndNoteBibliography"/>
        <w:ind w:left="720" w:hanging="720"/>
        <w:jc w:val="both"/>
        <w:rPr>
          <w:noProof/>
        </w:rPr>
      </w:pPr>
      <w:r w:rsidRPr="000A6777">
        <w:rPr>
          <w:noProof/>
        </w:rPr>
        <w:t xml:space="preserve">Nesbitt, S. A., Horton, M. A. (1997) Trafficking of Matrix Collagens Through Bone- Resorbing Osteoclasts. </w:t>
      </w:r>
      <w:r w:rsidRPr="000A6777">
        <w:rPr>
          <w:i/>
          <w:noProof/>
        </w:rPr>
        <w:t>Science,</w:t>
      </w:r>
      <w:r w:rsidRPr="000A6777">
        <w:rPr>
          <w:noProof/>
        </w:rPr>
        <w:t xml:space="preserve"> 276</w:t>
      </w:r>
      <w:r w:rsidRPr="000A6777">
        <w:rPr>
          <w:b/>
          <w:noProof/>
        </w:rPr>
        <w:t>:</w:t>
      </w:r>
      <w:r w:rsidRPr="000A6777">
        <w:rPr>
          <w:noProof/>
        </w:rPr>
        <w:t xml:space="preserve"> 266-269.</w:t>
      </w:r>
    </w:p>
    <w:p w14:paraId="71E7D10F" w14:textId="77777777" w:rsidR="00B32AAB" w:rsidRPr="000A6777" w:rsidRDefault="00B32AAB" w:rsidP="000A6777">
      <w:pPr>
        <w:pStyle w:val="EndNoteBibliography"/>
        <w:ind w:left="720" w:hanging="720"/>
        <w:jc w:val="both"/>
        <w:rPr>
          <w:noProof/>
        </w:rPr>
      </w:pPr>
      <w:r w:rsidRPr="000A6777">
        <w:rPr>
          <w:noProof/>
        </w:rPr>
        <w:t xml:space="preserve">Nevill, A. M., Holder, R. L., Stewart, A. D. (2003) Modeling elite male athletes' peripheral bone mass, assessed using regional dual x- ray absorptiometry. </w:t>
      </w:r>
      <w:r w:rsidRPr="000A6777">
        <w:rPr>
          <w:i/>
          <w:noProof/>
        </w:rPr>
        <w:t>Bone,</w:t>
      </w:r>
      <w:r w:rsidRPr="000A6777">
        <w:rPr>
          <w:noProof/>
        </w:rPr>
        <w:t xml:space="preserve"> 32</w:t>
      </w:r>
      <w:r w:rsidRPr="000A6777">
        <w:rPr>
          <w:b/>
          <w:noProof/>
        </w:rPr>
        <w:t>:</w:t>
      </w:r>
      <w:r w:rsidRPr="000A6777">
        <w:rPr>
          <w:noProof/>
        </w:rPr>
        <w:t xml:space="preserve"> 62-68.</w:t>
      </w:r>
    </w:p>
    <w:p w14:paraId="654C20E3" w14:textId="77777777" w:rsidR="00B32AAB" w:rsidRPr="000A6777" w:rsidRDefault="00B32AAB" w:rsidP="000A6777">
      <w:pPr>
        <w:pStyle w:val="EndNoteBibliography"/>
        <w:ind w:left="720" w:hanging="720"/>
        <w:jc w:val="both"/>
        <w:rPr>
          <w:noProof/>
        </w:rPr>
      </w:pPr>
      <w:r w:rsidRPr="000A6777">
        <w:rPr>
          <w:noProof/>
        </w:rPr>
        <w:t xml:space="preserve">Nicholl, C. G., Polak, J. M., Bloom, S. R. (1985) The Hormonal Regulation of Food Intake, Digestion, and Absorption. </w:t>
      </w:r>
      <w:r w:rsidRPr="000A6777">
        <w:rPr>
          <w:i/>
          <w:noProof/>
        </w:rPr>
        <w:t>Annual Review of Nutrition,</w:t>
      </w:r>
      <w:r w:rsidRPr="000A6777">
        <w:rPr>
          <w:noProof/>
        </w:rPr>
        <w:t xml:space="preserve"> 5</w:t>
      </w:r>
      <w:r w:rsidRPr="000A6777">
        <w:rPr>
          <w:b/>
          <w:noProof/>
        </w:rPr>
        <w:t>:</w:t>
      </w:r>
      <w:r w:rsidRPr="000A6777">
        <w:rPr>
          <w:noProof/>
        </w:rPr>
        <w:t xml:space="preserve"> 213-239.</w:t>
      </w:r>
    </w:p>
    <w:p w14:paraId="349688CB" w14:textId="77777777" w:rsidR="00B32AAB" w:rsidRPr="000A6777" w:rsidRDefault="00B32AAB" w:rsidP="000A6777">
      <w:pPr>
        <w:pStyle w:val="EndNoteBibliography"/>
        <w:ind w:left="720" w:hanging="720"/>
        <w:jc w:val="both"/>
        <w:rPr>
          <w:noProof/>
        </w:rPr>
      </w:pPr>
      <w:r w:rsidRPr="000A6777">
        <w:rPr>
          <w:noProof/>
        </w:rPr>
        <w:t xml:space="preserve">NIH/ORBD. (2018). Available: </w:t>
      </w:r>
      <w:hyperlink r:id="rId156" w:history="1">
        <w:r w:rsidRPr="000A6777">
          <w:rPr>
            <w:rStyle w:val="Hyperlink"/>
            <w:rFonts w:cs="Times New Roman"/>
            <w:noProof/>
            <w:lang w:val="en-GB"/>
          </w:rPr>
          <w:t>http://www.osteo.org</w:t>
        </w:r>
      </w:hyperlink>
      <w:r w:rsidRPr="000A6777">
        <w:rPr>
          <w:noProof/>
        </w:rPr>
        <w:t xml:space="preserve"> [Accessed 19 March 2018].</w:t>
      </w:r>
    </w:p>
    <w:p w14:paraId="0E0AB5E8" w14:textId="77777777" w:rsidR="00B32AAB" w:rsidRPr="000A6777" w:rsidRDefault="00B32AAB" w:rsidP="000A6777">
      <w:pPr>
        <w:pStyle w:val="EndNoteBibliography"/>
        <w:ind w:left="720" w:hanging="720"/>
        <w:jc w:val="both"/>
        <w:rPr>
          <w:noProof/>
        </w:rPr>
      </w:pPr>
      <w:r w:rsidRPr="000A6777">
        <w:rPr>
          <w:noProof/>
        </w:rPr>
        <w:t xml:space="preserve">Nilsson, S., Gustafsson, J. Å. (2010) Estrogen Receptors: Therapies Targeted to Receptor Subtypes. </w:t>
      </w:r>
      <w:r w:rsidRPr="000A6777">
        <w:rPr>
          <w:i/>
          <w:noProof/>
        </w:rPr>
        <w:t>Clinical Pharmacology and Therapeutics,</w:t>
      </w:r>
      <w:r w:rsidRPr="000A6777">
        <w:rPr>
          <w:noProof/>
        </w:rPr>
        <w:t xml:space="preserve"> 89</w:t>
      </w:r>
      <w:r w:rsidRPr="000A6777">
        <w:rPr>
          <w:b/>
          <w:noProof/>
        </w:rPr>
        <w:t>:</w:t>
      </w:r>
      <w:r w:rsidRPr="000A6777">
        <w:rPr>
          <w:noProof/>
        </w:rPr>
        <w:t xml:space="preserve"> 44-55.</w:t>
      </w:r>
    </w:p>
    <w:p w14:paraId="4BF136CF" w14:textId="77777777" w:rsidR="00B32AAB" w:rsidRPr="000A6777" w:rsidRDefault="00B32AAB" w:rsidP="000A6777">
      <w:pPr>
        <w:pStyle w:val="EndNoteBibliography"/>
        <w:ind w:left="720" w:hanging="720"/>
        <w:jc w:val="both"/>
        <w:rPr>
          <w:noProof/>
        </w:rPr>
      </w:pPr>
      <w:r w:rsidRPr="000A6777">
        <w:rPr>
          <w:noProof/>
        </w:rPr>
        <w:t xml:space="preserve">Niu, T., Rosen, C. J. (2005) The insulin- like growth factor- I gene and osteoporosis: a critical appraisal. </w:t>
      </w:r>
      <w:r w:rsidRPr="000A6777">
        <w:rPr>
          <w:i/>
          <w:noProof/>
        </w:rPr>
        <w:t>Gene,</w:t>
      </w:r>
      <w:r w:rsidRPr="000A6777">
        <w:rPr>
          <w:noProof/>
        </w:rPr>
        <w:t xml:space="preserve"> 361</w:t>
      </w:r>
      <w:r w:rsidRPr="000A6777">
        <w:rPr>
          <w:b/>
          <w:noProof/>
        </w:rPr>
        <w:t>:</w:t>
      </w:r>
      <w:r w:rsidRPr="000A6777">
        <w:rPr>
          <w:noProof/>
        </w:rPr>
        <w:t xml:space="preserve"> 38-56.</w:t>
      </w:r>
    </w:p>
    <w:p w14:paraId="7FD07F82" w14:textId="77777777" w:rsidR="00B32AAB" w:rsidRPr="000A6777" w:rsidRDefault="00B32AAB" w:rsidP="000A6777">
      <w:pPr>
        <w:pStyle w:val="EndNoteBibliography"/>
        <w:ind w:left="720" w:hanging="720"/>
        <w:jc w:val="both"/>
        <w:rPr>
          <w:noProof/>
        </w:rPr>
      </w:pPr>
      <w:r w:rsidRPr="000A6777">
        <w:rPr>
          <w:noProof/>
        </w:rPr>
        <w:t xml:space="preserve">Noble, B. S., Reeve, J. (2000) Osteocyte function, osteocyte death and bone fracture resistance. </w:t>
      </w:r>
      <w:r w:rsidRPr="000A6777">
        <w:rPr>
          <w:i/>
          <w:noProof/>
        </w:rPr>
        <w:t>Molecular and Cellular Endocrinology,</w:t>
      </w:r>
      <w:r w:rsidRPr="000A6777">
        <w:rPr>
          <w:noProof/>
        </w:rPr>
        <w:t xml:space="preserve"> 159</w:t>
      </w:r>
      <w:r w:rsidRPr="000A6777">
        <w:rPr>
          <w:b/>
          <w:noProof/>
        </w:rPr>
        <w:t>:</w:t>
      </w:r>
      <w:r w:rsidRPr="000A6777">
        <w:rPr>
          <w:noProof/>
        </w:rPr>
        <w:t xml:space="preserve"> 7-13.</w:t>
      </w:r>
    </w:p>
    <w:p w14:paraId="7CB89609" w14:textId="77777777" w:rsidR="00B32AAB" w:rsidRPr="000A6777" w:rsidRDefault="00B32AAB" w:rsidP="000A6777">
      <w:pPr>
        <w:pStyle w:val="EndNoteBibliography"/>
        <w:ind w:left="720" w:hanging="720"/>
        <w:jc w:val="both"/>
        <w:rPr>
          <w:noProof/>
        </w:rPr>
      </w:pPr>
      <w:r w:rsidRPr="000A6777">
        <w:rPr>
          <w:noProof/>
        </w:rPr>
        <w:t xml:space="preserve">Noble, B. S., Stevens, H. Y., Mosley, J. R., Lanyon, L. E., Reeve, J., Peet, N., Brabbs, A., Reilly, G. C., Skerry, T. M. (2003) Mechanical loading: Biphasic osteocyte survival </w:t>
      </w:r>
      <w:r w:rsidRPr="000A6777">
        <w:rPr>
          <w:noProof/>
        </w:rPr>
        <w:lastRenderedPageBreak/>
        <w:t xml:space="preserve">and targeting of osteoclasts for bone destruction in rat cortical bone. </w:t>
      </w:r>
      <w:r w:rsidRPr="000A6777">
        <w:rPr>
          <w:i/>
          <w:noProof/>
        </w:rPr>
        <w:t>American Journal of Physiology - Cell Physiology,</w:t>
      </w:r>
      <w:r w:rsidRPr="000A6777">
        <w:rPr>
          <w:noProof/>
        </w:rPr>
        <w:t xml:space="preserve"> 284</w:t>
      </w:r>
      <w:r w:rsidRPr="000A6777">
        <w:rPr>
          <w:b/>
          <w:noProof/>
        </w:rPr>
        <w:t>:</w:t>
      </w:r>
      <w:r w:rsidRPr="000A6777">
        <w:rPr>
          <w:noProof/>
        </w:rPr>
        <w:t xml:space="preserve"> C934-C943.</w:t>
      </w:r>
    </w:p>
    <w:p w14:paraId="5060C231" w14:textId="77777777" w:rsidR="00B32AAB" w:rsidRPr="000A6777" w:rsidRDefault="00B32AAB" w:rsidP="000A6777">
      <w:pPr>
        <w:pStyle w:val="EndNoteBibliography"/>
        <w:ind w:left="720" w:hanging="720"/>
        <w:jc w:val="both"/>
        <w:rPr>
          <w:noProof/>
        </w:rPr>
      </w:pPr>
      <w:r w:rsidRPr="000A6777">
        <w:rPr>
          <w:noProof/>
        </w:rPr>
        <w:t xml:space="preserve">Nogueiras, R., Tschöp, M. H., Zigman, J. M. (2008) Central nervous system regulation of energy metabolism: Ghrelin versus leptin. </w:t>
      </w:r>
      <w:r w:rsidRPr="000A6777">
        <w:rPr>
          <w:i/>
          <w:noProof/>
        </w:rPr>
        <w:t>Annals of the New York Academy of Sciences,</w:t>
      </w:r>
      <w:r w:rsidRPr="000A6777">
        <w:rPr>
          <w:noProof/>
        </w:rPr>
        <w:t xml:space="preserve"> 1126</w:t>
      </w:r>
      <w:r w:rsidRPr="000A6777">
        <w:rPr>
          <w:b/>
          <w:noProof/>
        </w:rPr>
        <w:t>:</w:t>
      </w:r>
      <w:r w:rsidRPr="000A6777">
        <w:rPr>
          <w:noProof/>
        </w:rPr>
        <w:t xml:space="preserve"> 14-19.</w:t>
      </w:r>
    </w:p>
    <w:p w14:paraId="2B06B36F" w14:textId="77777777" w:rsidR="00B32AAB" w:rsidRPr="000A6777" w:rsidRDefault="00B32AAB" w:rsidP="000A6777">
      <w:pPr>
        <w:pStyle w:val="EndNoteBibliography"/>
        <w:ind w:left="720" w:hanging="720"/>
        <w:jc w:val="both"/>
        <w:rPr>
          <w:noProof/>
        </w:rPr>
      </w:pPr>
      <w:r w:rsidRPr="000A6777">
        <w:rPr>
          <w:noProof/>
        </w:rPr>
        <w:t xml:space="preserve">NOS. (2018) </w:t>
      </w:r>
      <w:r w:rsidRPr="000A6777">
        <w:rPr>
          <w:i/>
          <w:noProof/>
        </w:rPr>
        <w:t xml:space="preserve">National Osteoporosis Society </w:t>
      </w:r>
      <w:r w:rsidRPr="000A6777">
        <w:rPr>
          <w:noProof/>
        </w:rPr>
        <w:t xml:space="preserve">[Online]. Available: </w:t>
      </w:r>
      <w:hyperlink r:id="rId157" w:history="1">
        <w:r w:rsidRPr="000A6777">
          <w:rPr>
            <w:rStyle w:val="Hyperlink"/>
            <w:rFonts w:cs="Times New Roman"/>
            <w:noProof/>
            <w:lang w:val="en-GB"/>
          </w:rPr>
          <w:t>https://nos.org.uk</w:t>
        </w:r>
      </w:hyperlink>
      <w:r w:rsidRPr="000A6777">
        <w:rPr>
          <w:noProof/>
        </w:rPr>
        <w:t xml:space="preserve"> [Accessed 19 March 2018].</w:t>
      </w:r>
    </w:p>
    <w:p w14:paraId="3B1E76CD" w14:textId="77777777" w:rsidR="00B32AAB" w:rsidRPr="000A6777" w:rsidRDefault="00B32AAB" w:rsidP="000A6777">
      <w:pPr>
        <w:pStyle w:val="EndNoteBibliography"/>
        <w:ind w:left="720" w:hanging="720"/>
        <w:jc w:val="both"/>
        <w:rPr>
          <w:noProof/>
        </w:rPr>
      </w:pPr>
      <w:r w:rsidRPr="000A6777">
        <w:rPr>
          <w:noProof/>
        </w:rPr>
        <w:t xml:space="preserve">Nuche- Berenguer, B., Portal-Nunez, S., Moreno, P., Gonzalez, N., Acitores, A., Lopez-Herradon, A., Esbrit, P., Valverde, I., Villanueva-Penacarillo, M., Nuche-Berenguer, B. (2010) Presence of a Functional Receptor for GLP- 1 in Osteoblastic Cells, Independent of the cAMP- Linked GLP- 1 Receptor. </w:t>
      </w:r>
      <w:r w:rsidRPr="000A6777">
        <w:rPr>
          <w:i/>
          <w:noProof/>
        </w:rPr>
        <w:t>Journal of Cellular Physiology,</w:t>
      </w:r>
      <w:r w:rsidRPr="000A6777">
        <w:rPr>
          <w:noProof/>
        </w:rPr>
        <w:t xml:space="preserve"> 225</w:t>
      </w:r>
      <w:r w:rsidRPr="000A6777">
        <w:rPr>
          <w:b/>
          <w:noProof/>
        </w:rPr>
        <w:t>:</w:t>
      </w:r>
      <w:r w:rsidRPr="000A6777">
        <w:rPr>
          <w:noProof/>
        </w:rPr>
        <w:t xml:space="preserve"> 585-592.</w:t>
      </w:r>
    </w:p>
    <w:p w14:paraId="1AC06945" w14:textId="77777777" w:rsidR="00B32AAB" w:rsidRPr="000A6777" w:rsidRDefault="00B32AAB" w:rsidP="000A6777">
      <w:pPr>
        <w:pStyle w:val="EndNoteBibliography"/>
        <w:ind w:left="720" w:hanging="720"/>
        <w:jc w:val="both"/>
        <w:rPr>
          <w:noProof/>
        </w:rPr>
      </w:pPr>
      <w:r w:rsidRPr="000A6777">
        <w:rPr>
          <w:noProof/>
        </w:rPr>
        <w:t xml:space="preserve">Nuche-Berenguer, B., Moreno, P., Esbrit, P., Dapia, S., Caeiro, Jr., Cancelas, J., Haro-Mora, J., Villanueva-Penacarrillo, M. (2009) Effect of GLP- 1 Treatment on Bone Turnover in Normal, Type 2 Diabetic, and Insulin- Resistant States. </w:t>
      </w:r>
      <w:r w:rsidRPr="000A6777">
        <w:rPr>
          <w:i/>
          <w:noProof/>
        </w:rPr>
        <w:t>Calcified Tissue International,</w:t>
      </w:r>
      <w:r w:rsidRPr="000A6777">
        <w:rPr>
          <w:noProof/>
        </w:rPr>
        <w:t xml:space="preserve"> 84</w:t>
      </w:r>
      <w:r w:rsidRPr="000A6777">
        <w:rPr>
          <w:b/>
          <w:noProof/>
        </w:rPr>
        <w:t>:</w:t>
      </w:r>
      <w:r w:rsidRPr="000A6777">
        <w:rPr>
          <w:noProof/>
        </w:rPr>
        <w:t xml:space="preserve"> 453-461.</w:t>
      </w:r>
    </w:p>
    <w:p w14:paraId="62934AE4" w14:textId="77777777" w:rsidR="00B32AAB" w:rsidRPr="000A6777" w:rsidRDefault="00B32AAB" w:rsidP="000A6777">
      <w:pPr>
        <w:pStyle w:val="EndNoteBibliography"/>
        <w:ind w:left="720" w:hanging="720"/>
        <w:jc w:val="both"/>
        <w:rPr>
          <w:noProof/>
        </w:rPr>
      </w:pPr>
      <w:r w:rsidRPr="000A6777">
        <w:rPr>
          <w:noProof/>
        </w:rPr>
        <w:t xml:space="preserve">O'Connor, J. A., Lanyon, L. E., Macfie, H. (1982) The influence of strain rate on adaptive bone remodelling. </w:t>
      </w:r>
      <w:r w:rsidRPr="000A6777">
        <w:rPr>
          <w:i/>
          <w:noProof/>
        </w:rPr>
        <w:t>Journal of Biomechanics,</w:t>
      </w:r>
      <w:r w:rsidRPr="000A6777">
        <w:rPr>
          <w:noProof/>
        </w:rPr>
        <w:t xml:space="preserve"> 15</w:t>
      </w:r>
      <w:r w:rsidRPr="000A6777">
        <w:rPr>
          <w:b/>
          <w:noProof/>
        </w:rPr>
        <w:t>:</w:t>
      </w:r>
      <w:r w:rsidRPr="000A6777">
        <w:rPr>
          <w:noProof/>
        </w:rPr>
        <w:t xml:space="preserve"> 767-781.</w:t>
      </w:r>
    </w:p>
    <w:p w14:paraId="47ACE9F7" w14:textId="77777777" w:rsidR="00B32AAB" w:rsidRPr="000A6777" w:rsidRDefault="00B32AAB" w:rsidP="000A6777">
      <w:pPr>
        <w:pStyle w:val="EndNoteBibliography"/>
        <w:ind w:left="720" w:hanging="720"/>
        <w:jc w:val="both"/>
        <w:rPr>
          <w:noProof/>
        </w:rPr>
      </w:pPr>
      <w:r w:rsidRPr="000A6777">
        <w:rPr>
          <w:noProof/>
        </w:rPr>
        <w:t xml:space="preserve">O’Brien, C. A., Jia, D., Plotkin, L. I., Bellido, T., Powers, C. C., Stewart, S. A., Manolagas, S. C., Weinstein, R. S. (2004) Glucocorticoids Act Directly on Osteoblasts and Osteocytes to Induce Their Apoptosis and Reduce Bone Formation and Strength. </w:t>
      </w:r>
      <w:r w:rsidRPr="000A6777">
        <w:rPr>
          <w:i/>
          <w:noProof/>
        </w:rPr>
        <w:t>Endocrinology,</w:t>
      </w:r>
      <w:r w:rsidRPr="000A6777">
        <w:rPr>
          <w:noProof/>
        </w:rPr>
        <w:t xml:space="preserve"> 145</w:t>
      </w:r>
      <w:r w:rsidRPr="000A6777">
        <w:rPr>
          <w:b/>
          <w:noProof/>
        </w:rPr>
        <w:t>:</w:t>
      </w:r>
      <w:r w:rsidRPr="000A6777">
        <w:rPr>
          <w:noProof/>
        </w:rPr>
        <w:t xml:space="preserve"> 1835-1841.</w:t>
      </w:r>
    </w:p>
    <w:p w14:paraId="4F987A1A" w14:textId="77777777" w:rsidR="00B32AAB" w:rsidRPr="000A6777" w:rsidRDefault="00B32AAB" w:rsidP="000A6777">
      <w:pPr>
        <w:pStyle w:val="EndNoteBibliography"/>
        <w:ind w:left="720" w:hanging="720"/>
        <w:jc w:val="both"/>
        <w:rPr>
          <w:noProof/>
        </w:rPr>
      </w:pPr>
      <w:r w:rsidRPr="000A6777">
        <w:rPr>
          <w:noProof/>
        </w:rPr>
        <w:t xml:space="preserve">Ohnaka, K., Taniguchi, H., Kawate, H., Nawata, H., Takayanagi, R. (2004) Glucocorticoid enhances the expression of dickkopf-1 in human osteoblasts: novel mechanism of glucocorticoid-induced osteoporosis. </w:t>
      </w:r>
      <w:r w:rsidRPr="000A6777">
        <w:rPr>
          <w:i/>
          <w:noProof/>
        </w:rPr>
        <w:t>Biochemical and Biophysical Research Communications,</w:t>
      </w:r>
      <w:r w:rsidRPr="000A6777">
        <w:rPr>
          <w:noProof/>
        </w:rPr>
        <w:t xml:space="preserve"> 318</w:t>
      </w:r>
      <w:r w:rsidRPr="000A6777">
        <w:rPr>
          <w:b/>
          <w:noProof/>
        </w:rPr>
        <w:t>:</w:t>
      </w:r>
      <w:r w:rsidRPr="000A6777">
        <w:rPr>
          <w:noProof/>
        </w:rPr>
        <w:t xml:space="preserve"> 259-264.</w:t>
      </w:r>
    </w:p>
    <w:p w14:paraId="27911B54" w14:textId="77777777" w:rsidR="00B32AAB" w:rsidRPr="000A6777" w:rsidRDefault="00B32AAB" w:rsidP="000A6777">
      <w:pPr>
        <w:pStyle w:val="EndNoteBibliography"/>
        <w:ind w:left="720" w:hanging="720"/>
        <w:jc w:val="both"/>
        <w:rPr>
          <w:noProof/>
        </w:rPr>
      </w:pPr>
      <w:r w:rsidRPr="000A6777">
        <w:rPr>
          <w:noProof/>
        </w:rPr>
        <w:t>Oliver, W., Rosenberger, J., Lopez, R., Fiorotto, M. (2006) Local IGF-I enhances the sensitivity of muscle protein synthesis to insulin.</w:t>
      </w:r>
      <w:r w:rsidR="00DB30B5">
        <w:rPr>
          <w:rFonts w:ascii="Helvetica" w:eastAsiaTheme="minorEastAsia" w:hAnsi="Helvetica" w:cs="Helvetica"/>
        </w:rPr>
        <w:t xml:space="preserve"> </w:t>
      </w:r>
      <w:r w:rsidR="00DB30B5" w:rsidRPr="00DB30B5">
        <w:rPr>
          <w:rFonts w:eastAsiaTheme="minorEastAsia"/>
          <w:i/>
        </w:rPr>
        <w:t>The Federation of American Societies for Experimental Biology Journal</w:t>
      </w:r>
      <w:r w:rsidRPr="00DB30B5">
        <w:rPr>
          <w:i/>
          <w:noProof/>
        </w:rPr>
        <w:t xml:space="preserve">, </w:t>
      </w:r>
      <w:r w:rsidRPr="000A6777">
        <w:rPr>
          <w:noProof/>
        </w:rPr>
        <w:t>20</w:t>
      </w:r>
      <w:r w:rsidRPr="000A6777">
        <w:rPr>
          <w:b/>
          <w:noProof/>
        </w:rPr>
        <w:t>:</w:t>
      </w:r>
      <w:r w:rsidRPr="000A6777">
        <w:rPr>
          <w:noProof/>
        </w:rPr>
        <w:t xml:space="preserve"> A821-A821.</w:t>
      </w:r>
    </w:p>
    <w:p w14:paraId="04D21DDE" w14:textId="77777777" w:rsidR="00B32AAB" w:rsidRPr="000A6777" w:rsidRDefault="00B32AAB" w:rsidP="000A6777">
      <w:pPr>
        <w:pStyle w:val="EndNoteBibliography"/>
        <w:ind w:left="720" w:hanging="720"/>
        <w:jc w:val="both"/>
        <w:rPr>
          <w:noProof/>
        </w:rPr>
      </w:pPr>
      <w:r w:rsidRPr="000A6777">
        <w:rPr>
          <w:noProof/>
        </w:rPr>
        <w:t xml:space="preserve">Onyia, J. E., Helvering, L. M., Gelbert, L., Wei, T., Huang, S., Chen, P., Dow, E. R., Maran, A., Zhang, M., Lotinun, S., Lin, X., Halladay, D. L., Miles, R. R., Kulkarni, N. H., Ambrose, E. M., Ma, Y. L., Frolik, C. A., Sato, M., Bryant, H. U., Turner, R. T. (2005) Molecular profile of catabolic versus anabolic treatment regimens of parathyroid hormone ( PTH) in rat bone: An analysis by DNA microarray. </w:t>
      </w:r>
      <w:r w:rsidRPr="000A6777">
        <w:rPr>
          <w:i/>
          <w:noProof/>
        </w:rPr>
        <w:t>Journal of Cellular Biochemistry,</w:t>
      </w:r>
      <w:r w:rsidRPr="000A6777">
        <w:rPr>
          <w:noProof/>
        </w:rPr>
        <w:t xml:space="preserve"> 95</w:t>
      </w:r>
      <w:r w:rsidRPr="000A6777">
        <w:rPr>
          <w:b/>
          <w:noProof/>
        </w:rPr>
        <w:t>:</w:t>
      </w:r>
      <w:r w:rsidRPr="000A6777">
        <w:rPr>
          <w:noProof/>
        </w:rPr>
        <w:t xml:space="preserve"> 403-418.</w:t>
      </w:r>
    </w:p>
    <w:p w14:paraId="0BD0718B" w14:textId="77777777" w:rsidR="00B32AAB" w:rsidRPr="000A6777" w:rsidRDefault="00B32AAB" w:rsidP="000A6777">
      <w:pPr>
        <w:pStyle w:val="EndNoteBibliography"/>
        <w:ind w:left="720" w:hanging="720"/>
        <w:jc w:val="both"/>
        <w:rPr>
          <w:noProof/>
        </w:rPr>
      </w:pPr>
      <w:r w:rsidRPr="000A6777">
        <w:rPr>
          <w:noProof/>
        </w:rPr>
        <w:lastRenderedPageBreak/>
        <w:t xml:space="preserve">Oury, F., Sumara, G., Sumara, O., Ferron, M., Chang, H., Smith, Charles e., Hermo, L., Suarez, S., Roth, Bryan l., Ducy, P., Karsenty, G. (2011) Endocrine Regulation of Male Fertility by the Skeleton. </w:t>
      </w:r>
      <w:r w:rsidRPr="000A6777">
        <w:rPr>
          <w:i/>
          <w:noProof/>
        </w:rPr>
        <w:t>Cell,</w:t>
      </w:r>
      <w:r w:rsidRPr="000A6777">
        <w:rPr>
          <w:noProof/>
        </w:rPr>
        <w:t xml:space="preserve"> 144</w:t>
      </w:r>
      <w:r w:rsidRPr="000A6777">
        <w:rPr>
          <w:b/>
          <w:noProof/>
        </w:rPr>
        <w:t>:</w:t>
      </w:r>
      <w:r w:rsidRPr="000A6777">
        <w:rPr>
          <w:noProof/>
        </w:rPr>
        <w:t xml:space="preserve"> 796-809.</w:t>
      </w:r>
    </w:p>
    <w:p w14:paraId="56A09532" w14:textId="77777777" w:rsidR="00B32AAB" w:rsidRPr="000A6777" w:rsidRDefault="00B32AAB" w:rsidP="000A6777">
      <w:pPr>
        <w:pStyle w:val="EndNoteBibliography"/>
        <w:ind w:left="720" w:hanging="720"/>
        <w:jc w:val="both"/>
        <w:rPr>
          <w:noProof/>
        </w:rPr>
      </w:pPr>
      <w:r w:rsidRPr="000A6777">
        <w:rPr>
          <w:noProof/>
        </w:rPr>
        <w:t xml:space="preserve">Paccou, J., Dewailly, J., Cortet, B. (2012) Reduced levels of serum IGF- 1 is related to the presence of osteoporotic fractures in male idiopathic osteoporosis. </w:t>
      </w:r>
      <w:r w:rsidRPr="000A6777">
        <w:rPr>
          <w:i/>
          <w:noProof/>
        </w:rPr>
        <w:t>Joint Bone Spine,</w:t>
      </w:r>
      <w:r w:rsidRPr="000A6777">
        <w:rPr>
          <w:noProof/>
        </w:rPr>
        <w:t xml:space="preserve"> 79</w:t>
      </w:r>
      <w:r w:rsidRPr="000A6777">
        <w:rPr>
          <w:b/>
          <w:noProof/>
        </w:rPr>
        <w:t>:</w:t>
      </w:r>
      <w:r w:rsidRPr="000A6777">
        <w:rPr>
          <w:noProof/>
        </w:rPr>
        <w:t xml:space="preserve"> 78-82.</w:t>
      </w:r>
    </w:p>
    <w:p w14:paraId="698885BD" w14:textId="77777777" w:rsidR="00B32AAB" w:rsidRPr="000A6777" w:rsidRDefault="00B32AAB" w:rsidP="000A6777">
      <w:pPr>
        <w:pStyle w:val="EndNoteBibliography"/>
        <w:ind w:left="720" w:hanging="720"/>
        <w:jc w:val="both"/>
        <w:rPr>
          <w:noProof/>
        </w:rPr>
      </w:pPr>
      <w:r w:rsidRPr="000A6777">
        <w:rPr>
          <w:noProof/>
        </w:rPr>
        <w:t xml:space="preserve">Pacheco- Pantoja, E., Ranganath, L., Gallagher, J., Wilson, P., Fraser, W., Pacheco-Pantoja, E. (2011) Receptors and effects of gut hormones in three osteoblastic cell lines. </w:t>
      </w:r>
      <w:r w:rsidRPr="000A6777">
        <w:rPr>
          <w:i/>
          <w:noProof/>
        </w:rPr>
        <w:t>BMC Physiology,</w:t>
      </w:r>
      <w:r w:rsidRPr="000A6777">
        <w:rPr>
          <w:noProof/>
        </w:rPr>
        <w:t xml:space="preserve"> 11</w:t>
      </w:r>
      <w:r w:rsidRPr="000A6777">
        <w:rPr>
          <w:b/>
          <w:noProof/>
        </w:rPr>
        <w:t>:</w:t>
      </w:r>
      <w:r w:rsidRPr="000A6777">
        <w:rPr>
          <w:noProof/>
        </w:rPr>
        <w:t xml:space="preserve"> 1-14.</w:t>
      </w:r>
    </w:p>
    <w:p w14:paraId="357F970D" w14:textId="77777777" w:rsidR="00B32AAB" w:rsidRPr="000A6777" w:rsidRDefault="00B32AAB" w:rsidP="000A6777">
      <w:pPr>
        <w:pStyle w:val="EndNoteBibliography"/>
        <w:ind w:left="720" w:hanging="720"/>
        <w:jc w:val="both"/>
        <w:rPr>
          <w:noProof/>
        </w:rPr>
      </w:pPr>
      <w:r w:rsidRPr="000A6777">
        <w:rPr>
          <w:noProof/>
        </w:rPr>
        <w:t xml:space="preserve">Padidela, R., Patterson, M., Sharief, N., Ghatei, M., Hussain, K. (2009) Elevated basal and post-feed glucagon-like peptide 1 (GLP-1) concentrations in the neonatal period. </w:t>
      </w:r>
      <w:r w:rsidRPr="000A6777">
        <w:rPr>
          <w:i/>
          <w:noProof/>
        </w:rPr>
        <w:t>European Journal of Endocrinology,</w:t>
      </w:r>
      <w:r w:rsidRPr="000A6777">
        <w:rPr>
          <w:noProof/>
        </w:rPr>
        <w:t xml:space="preserve"> 160</w:t>
      </w:r>
      <w:r w:rsidRPr="000A6777">
        <w:rPr>
          <w:b/>
          <w:noProof/>
        </w:rPr>
        <w:t>:</w:t>
      </w:r>
      <w:r w:rsidRPr="000A6777">
        <w:rPr>
          <w:noProof/>
        </w:rPr>
        <w:t xml:space="preserve"> 53-58.</w:t>
      </w:r>
    </w:p>
    <w:p w14:paraId="7AD29D12" w14:textId="77777777" w:rsidR="00B32AAB" w:rsidRPr="000A6777" w:rsidRDefault="00B32AAB" w:rsidP="000A6777">
      <w:pPr>
        <w:pStyle w:val="EndNoteBibliography"/>
        <w:ind w:left="720" w:hanging="720"/>
        <w:jc w:val="both"/>
        <w:rPr>
          <w:noProof/>
        </w:rPr>
      </w:pPr>
      <w:r w:rsidRPr="000A6777">
        <w:rPr>
          <w:noProof/>
        </w:rPr>
        <w:t xml:space="preserve">Parfitt, A. (1984) Age- related structural changes in trabecular and cortical bone: Cellular mechanisms and biomechanical consequences. </w:t>
      </w:r>
      <w:r w:rsidRPr="000A6777">
        <w:rPr>
          <w:i/>
          <w:noProof/>
        </w:rPr>
        <w:t>Calcified Tissue International,</w:t>
      </w:r>
      <w:r w:rsidRPr="000A6777">
        <w:rPr>
          <w:noProof/>
        </w:rPr>
        <w:t xml:space="preserve"> 36</w:t>
      </w:r>
      <w:r w:rsidRPr="000A6777">
        <w:rPr>
          <w:b/>
          <w:noProof/>
        </w:rPr>
        <w:t>:</w:t>
      </w:r>
      <w:r w:rsidRPr="000A6777">
        <w:rPr>
          <w:noProof/>
        </w:rPr>
        <w:t xml:space="preserve"> S123-S128.</w:t>
      </w:r>
    </w:p>
    <w:p w14:paraId="7CE0A316" w14:textId="77777777" w:rsidR="00B32AAB" w:rsidRPr="000A6777" w:rsidRDefault="00B32AAB" w:rsidP="000A6777">
      <w:pPr>
        <w:pStyle w:val="EndNoteBibliography"/>
        <w:ind w:left="720" w:hanging="720"/>
        <w:jc w:val="both"/>
        <w:rPr>
          <w:noProof/>
        </w:rPr>
      </w:pPr>
      <w:r w:rsidRPr="000A6777">
        <w:rPr>
          <w:noProof/>
        </w:rPr>
        <w:t xml:space="preserve">Parfitt, A. M. (1988) Bone histomorphometry: Standardization of nomenclature, symbols and units (summary of proposed system). </w:t>
      </w:r>
      <w:r w:rsidRPr="000A6777">
        <w:rPr>
          <w:i/>
          <w:noProof/>
        </w:rPr>
        <w:t>Bone,</w:t>
      </w:r>
      <w:r w:rsidRPr="000A6777">
        <w:rPr>
          <w:noProof/>
        </w:rPr>
        <w:t xml:space="preserve"> 9</w:t>
      </w:r>
      <w:r w:rsidRPr="000A6777">
        <w:rPr>
          <w:b/>
          <w:noProof/>
        </w:rPr>
        <w:t>:</w:t>
      </w:r>
      <w:r w:rsidRPr="000A6777">
        <w:rPr>
          <w:noProof/>
        </w:rPr>
        <w:t xml:space="preserve"> 67-69.</w:t>
      </w:r>
    </w:p>
    <w:p w14:paraId="50DD8465" w14:textId="77777777" w:rsidR="00B32AAB" w:rsidRPr="000A6777" w:rsidRDefault="00B32AAB" w:rsidP="000A6777">
      <w:pPr>
        <w:pStyle w:val="EndNoteBibliography"/>
        <w:ind w:left="720" w:hanging="720"/>
        <w:jc w:val="both"/>
        <w:rPr>
          <w:noProof/>
        </w:rPr>
      </w:pPr>
      <w:r w:rsidRPr="000A6777">
        <w:rPr>
          <w:noProof/>
        </w:rPr>
        <w:t xml:space="preserve">Parfitt, A. M. (2002) Misconceptions (1): epiphyseal fusion causes cessation of growth. </w:t>
      </w:r>
      <w:r w:rsidRPr="000A6777">
        <w:rPr>
          <w:i/>
          <w:noProof/>
        </w:rPr>
        <w:t>Bone,</w:t>
      </w:r>
      <w:r w:rsidRPr="000A6777">
        <w:rPr>
          <w:noProof/>
        </w:rPr>
        <w:t xml:space="preserve"> 30</w:t>
      </w:r>
      <w:r w:rsidRPr="000A6777">
        <w:rPr>
          <w:b/>
          <w:noProof/>
        </w:rPr>
        <w:t>:</w:t>
      </w:r>
      <w:r w:rsidRPr="000A6777">
        <w:rPr>
          <w:noProof/>
        </w:rPr>
        <w:t xml:space="preserve"> 337-339.</w:t>
      </w:r>
    </w:p>
    <w:p w14:paraId="5D2CE4D7" w14:textId="77777777" w:rsidR="00B32AAB" w:rsidRPr="000A6777" w:rsidRDefault="00B32AAB" w:rsidP="000A6777">
      <w:pPr>
        <w:pStyle w:val="EndNoteBibliography"/>
        <w:ind w:left="720" w:hanging="720"/>
        <w:jc w:val="both"/>
        <w:rPr>
          <w:noProof/>
        </w:rPr>
      </w:pPr>
      <w:r w:rsidRPr="000A6777">
        <w:rPr>
          <w:noProof/>
        </w:rPr>
        <w:t xml:space="preserve">Parfitt, A. M., Drezner, M. K., Glorieux, F. H., Kanis, J. A., Malluche, H., Meunier, P. J., Ott, S. M., Recker, R. R. (1987) Bone histomorphometry: Standardization of nomenclature, symbols, and units: Report of the asbmr histomorphometry nomenclature committee. </w:t>
      </w:r>
      <w:r w:rsidRPr="000A6777">
        <w:rPr>
          <w:i/>
          <w:noProof/>
        </w:rPr>
        <w:t>Journal of Bone and Mineral Research,</w:t>
      </w:r>
      <w:r w:rsidRPr="000A6777">
        <w:rPr>
          <w:noProof/>
        </w:rPr>
        <w:t xml:space="preserve"> 2</w:t>
      </w:r>
      <w:r w:rsidRPr="000A6777">
        <w:rPr>
          <w:b/>
          <w:noProof/>
        </w:rPr>
        <w:t>:</w:t>
      </w:r>
      <w:r w:rsidRPr="000A6777">
        <w:rPr>
          <w:noProof/>
        </w:rPr>
        <w:t xml:space="preserve"> 595-610.</w:t>
      </w:r>
    </w:p>
    <w:p w14:paraId="1E53F741" w14:textId="77777777" w:rsidR="00B32AAB" w:rsidRPr="000A6777" w:rsidRDefault="00B32AAB" w:rsidP="000A6777">
      <w:pPr>
        <w:pStyle w:val="EndNoteBibliography"/>
        <w:ind w:left="720" w:hanging="720"/>
        <w:jc w:val="both"/>
        <w:rPr>
          <w:noProof/>
        </w:rPr>
      </w:pPr>
      <w:r w:rsidRPr="000A6777">
        <w:rPr>
          <w:noProof/>
        </w:rPr>
        <w:t xml:space="preserve">Parkinson, I. H., Fazzalari, N. L. (2003) Interrelationships Between Structural Parameters of Cancellous Bone Reveal Accelerated Structural Change at Low Bone Volume. </w:t>
      </w:r>
      <w:r w:rsidRPr="000A6777">
        <w:rPr>
          <w:i/>
          <w:noProof/>
        </w:rPr>
        <w:t>Journal of Bone and Mineral Research,</w:t>
      </w:r>
      <w:r w:rsidRPr="000A6777">
        <w:rPr>
          <w:noProof/>
        </w:rPr>
        <w:t xml:space="preserve"> 18</w:t>
      </w:r>
      <w:r w:rsidRPr="000A6777">
        <w:rPr>
          <w:b/>
          <w:noProof/>
        </w:rPr>
        <w:t>:</w:t>
      </w:r>
      <w:r w:rsidRPr="000A6777">
        <w:rPr>
          <w:noProof/>
        </w:rPr>
        <w:t xml:space="preserve"> 2200-2205.</w:t>
      </w:r>
    </w:p>
    <w:p w14:paraId="164148B7" w14:textId="77777777" w:rsidR="00B32AAB" w:rsidRPr="000A6777" w:rsidRDefault="00B32AAB" w:rsidP="000A6777">
      <w:pPr>
        <w:pStyle w:val="EndNoteBibliography"/>
        <w:ind w:left="720" w:hanging="720"/>
        <w:jc w:val="both"/>
        <w:rPr>
          <w:noProof/>
        </w:rPr>
      </w:pPr>
      <w:r w:rsidRPr="000A6777">
        <w:rPr>
          <w:noProof/>
        </w:rPr>
        <w:t xml:space="preserve">Patel, T. K., Brodt, M. D., Silva, M. J. (2014) Experimental and finite element analysis of strains induced by axial tibial compression in young-adult and old female C57Bl/6 mice. </w:t>
      </w:r>
      <w:r w:rsidRPr="000A6777">
        <w:rPr>
          <w:i/>
          <w:noProof/>
        </w:rPr>
        <w:t>Journal of Biomechanics,</w:t>
      </w:r>
      <w:r w:rsidRPr="000A6777">
        <w:rPr>
          <w:noProof/>
        </w:rPr>
        <w:t xml:space="preserve"> 47</w:t>
      </w:r>
      <w:r w:rsidRPr="000A6777">
        <w:rPr>
          <w:b/>
          <w:noProof/>
        </w:rPr>
        <w:t>:</w:t>
      </w:r>
      <w:r w:rsidRPr="000A6777">
        <w:rPr>
          <w:noProof/>
        </w:rPr>
        <w:t xml:space="preserve"> 451-457.</w:t>
      </w:r>
    </w:p>
    <w:p w14:paraId="618F4EA0" w14:textId="77777777" w:rsidR="00B32AAB" w:rsidRPr="000A6777" w:rsidRDefault="00B32AAB" w:rsidP="000A6777">
      <w:pPr>
        <w:pStyle w:val="EndNoteBibliography"/>
        <w:ind w:left="720" w:hanging="720"/>
        <w:jc w:val="both"/>
        <w:rPr>
          <w:noProof/>
        </w:rPr>
      </w:pPr>
      <w:r w:rsidRPr="000A6777">
        <w:rPr>
          <w:noProof/>
        </w:rPr>
        <w:t xml:space="preserve">Pead, M. J., Skerry, T. M., Lanyon, L. E. (2005) Direct Transformation from Quiescence to Bone Formation in the Adult Periosteum Following a Single Brief Period of Bone Loading. </w:t>
      </w:r>
      <w:r w:rsidRPr="000A6777">
        <w:rPr>
          <w:i/>
          <w:noProof/>
        </w:rPr>
        <w:t>Journal of Bone and Mineral Research,</w:t>
      </w:r>
      <w:r w:rsidRPr="000A6777">
        <w:rPr>
          <w:noProof/>
        </w:rPr>
        <w:t xml:space="preserve"> 20</w:t>
      </w:r>
      <w:r w:rsidRPr="000A6777">
        <w:rPr>
          <w:b/>
          <w:noProof/>
        </w:rPr>
        <w:t>:</w:t>
      </w:r>
      <w:r w:rsidRPr="000A6777">
        <w:rPr>
          <w:noProof/>
        </w:rPr>
        <w:t xml:space="preserve"> 161-171.</w:t>
      </w:r>
    </w:p>
    <w:p w14:paraId="51C8282A" w14:textId="77777777" w:rsidR="00B32AAB" w:rsidRPr="000A6777" w:rsidRDefault="00B32AAB" w:rsidP="000A6777">
      <w:pPr>
        <w:pStyle w:val="EndNoteBibliography"/>
        <w:ind w:left="720" w:hanging="720"/>
        <w:jc w:val="both"/>
        <w:rPr>
          <w:noProof/>
        </w:rPr>
      </w:pPr>
      <w:r w:rsidRPr="000A6777">
        <w:rPr>
          <w:noProof/>
        </w:rPr>
        <w:t xml:space="preserve">Peet, N. M., Grabowski, P. S., Laketic-Ljubojevic, I., Skerry, T. M. (1999) The glutamate receptor antagonist MK801 modulates bone resorption in vitro by a mechanism </w:t>
      </w:r>
      <w:r w:rsidRPr="000A6777">
        <w:rPr>
          <w:noProof/>
        </w:rPr>
        <w:lastRenderedPageBreak/>
        <w:t xml:space="preserve">predominantly involving osteoclast differentiation. </w:t>
      </w:r>
      <w:r w:rsidRPr="000A6777">
        <w:rPr>
          <w:i/>
          <w:noProof/>
        </w:rPr>
        <w:t>The Federation of American Societies for Experimental Biology Jou</w:t>
      </w:r>
      <w:r w:rsidR="00865245">
        <w:rPr>
          <w:i/>
          <w:noProof/>
        </w:rPr>
        <w:t>r</w:t>
      </w:r>
      <w:r w:rsidRPr="000A6777">
        <w:rPr>
          <w:i/>
          <w:noProof/>
        </w:rPr>
        <w:t>nal,</w:t>
      </w:r>
      <w:r w:rsidRPr="000A6777">
        <w:rPr>
          <w:noProof/>
        </w:rPr>
        <w:t xml:space="preserve"> 13</w:t>
      </w:r>
      <w:r w:rsidRPr="000A6777">
        <w:rPr>
          <w:b/>
          <w:noProof/>
        </w:rPr>
        <w:t>:</w:t>
      </w:r>
      <w:r w:rsidRPr="000A6777">
        <w:rPr>
          <w:noProof/>
        </w:rPr>
        <w:t xml:space="preserve"> 2179-2185.</w:t>
      </w:r>
    </w:p>
    <w:p w14:paraId="06B9BD83" w14:textId="77777777" w:rsidR="00B32AAB" w:rsidRPr="000A6777" w:rsidRDefault="00B32AAB" w:rsidP="000A6777">
      <w:pPr>
        <w:pStyle w:val="EndNoteBibliography"/>
        <w:ind w:left="720" w:hanging="720"/>
        <w:jc w:val="both"/>
        <w:rPr>
          <w:noProof/>
        </w:rPr>
      </w:pPr>
      <w:r w:rsidRPr="000A6777">
        <w:rPr>
          <w:noProof/>
        </w:rPr>
        <w:t xml:space="preserve">Perrini, S., Laviola, L., Carreira, M. C., Cignarelli, A., Natalicchio, A., Giorgino, F. (2010) The GH/ IGF1 axis and signaling pathways in the muscle and bone: Mechanisms underlying age-related skeletal muscle wasting and osteoporosis. </w:t>
      </w:r>
      <w:r w:rsidRPr="000A6777">
        <w:rPr>
          <w:i/>
          <w:noProof/>
        </w:rPr>
        <w:t>Journal of Endocrinology,</w:t>
      </w:r>
      <w:r w:rsidRPr="000A6777">
        <w:rPr>
          <w:noProof/>
        </w:rPr>
        <w:t xml:space="preserve"> 205</w:t>
      </w:r>
      <w:r w:rsidRPr="000A6777">
        <w:rPr>
          <w:b/>
          <w:noProof/>
        </w:rPr>
        <w:t>:</w:t>
      </w:r>
      <w:r w:rsidRPr="000A6777">
        <w:rPr>
          <w:noProof/>
        </w:rPr>
        <w:t xml:space="preserve"> 201-210.</w:t>
      </w:r>
    </w:p>
    <w:p w14:paraId="1EA7ED6F" w14:textId="77777777" w:rsidR="00B32AAB" w:rsidRPr="000A6777" w:rsidRDefault="00B32AAB" w:rsidP="000A6777">
      <w:pPr>
        <w:pStyle w:val="EndNoteBibliography"/>
        <w:ind w:left="720" w:hanging="720"/>
        <w:jc w:val="both"/>
        <w:rPr>
          <w:noProof/>
        </w:rPr>
      </w:pPr>
      <w:r w:rsidRPr="000A6777">
        <w:rPr>
          <w:noProof/>
        </w:rPr>
        <w:t xml:space="preserve">Piemontese, M., Onal, M., Xiong, J., Wang, Y., Almeida, M., Thostenson, J. D., Weinstein, R. S., Manolagas, S. C., O'Brien, C. A. (2015) Suppression of autophagy in osteocytes does not modify the adverse effects of glucocorticoids on cortical bone. </w:t>
      </w:r>
      <w:r w:rsidRPr="000A6777">
        <w:rPr>
          <w:i/>
          <w:noProof/>
        </w:rPr>
        <w:t>Bone,</w:t>
      </w:r>
      <w:r w:rsidRPr="000A6777">
        <w:rPr>
          <w:noProof/>
        </w:rPr>
        <w:t xml:space="preserve"> 75</w:t>
      </w:r>
      <w:r w:rsidRPr="000A6777">
        <w:rPr>
          <w:b/>
          <w:noProof/>
        </w:rPr>
        <w:t>:</w:t>
      </w:r>
      <w:r w:rsidRPr="000A6777">
        <w:rPr>
          <w:noProof/>
        </w:rPr>
        <w:t xml:space="preserve"> 18-26.</w:t>
      </w:r>
    </w:p>
    <w:p w14:paraId="2B4C808F" w14:textId="77777777" w:rsidR="00B32AAB" w:rsidRPr="000A6777" w:rsidRDefault="00B32AAB" w:rsidP="000A6777">
      <w:pPr>
        <w:pStyle w:val="EndNoteBibliography"/>
        <w:ind w:left="720" w:hanging="720"/>
        <w:jc w:val="both"/>
        <w:rPr>
          <w:noProof/>
        </w:rPr>
      </w:pPr>
      <w:r w:rsidRPr="000A6777">
        <w:rPr>
          <w:noProof/>
        </w:rPr>
        <w:t>Pierroz, D. D., Bonnet, N., Bianchi, E. N., Bouxsein, M. L., Baldock, P. A., Rizzoli, R., Ferrari, S. L. (2012) Deletion of β</w:t>
      </w:r>
      <w:r w:rsidR="003311B7">
        <w:rPr>
          <w:rFonts w:ascii="American Typewriter Condensed" w:hAnsi="American Typewriter Condensed" w:cs="American Typewriter Condensed"/>
          <w:noProof/>
        </w:rPr>
        <w:t>-</w:t>
      </w:r>
      <w:r w:rsidRPr="000A6777">
        <w:rPr>
          <w:noProof/>
        </w:rPr>
        <w:t xml:space="preserve">adrenergic receptor 1, 2, or both leads to different bone phenotypes and response to mechanical stimulation. </w:t>
      </w:r>
      <w:r w:rsidRPr="000A6777">
        <w:rPr>
          <w:i/>
          <w:noProof/>
        </w:rPr>
        <w:t>Journal of Bone and Mineral Research,</w:t>
      </w:r>
      <w:r w:rsidRPr="000A6777">
        <w:rPr>
          <w:noProof/>
        </w:rPr>
        <w:t xml:space="preserve"> 27</w:t>
      </w:r>
      <w:r w:rsidRPr="000A6777">
        <w:rPr>
          <w:b/>
          <w:noProof/>
        </w:rPr>
        <w:t>:</w:t>
      </w:r>
      <w:r w:rsidRPr="000A6777">
        <w:rPr>
          <w:noProof/>
        </w:rPr>
        <w:t xml:space="preserve"> 1252-1262.</w:t>
      </w:r>
    </w:p>
    <w:p w14:paraId="30ECC17F" w14:textId="77777777" w:rsidR="00B32AAB" w:rsidRPr="000A6777" w:rsidRDefault="00B32AAB" w:rsidP="000A6777">
      <w:pPr>
        <w:pStyle w:val="EndNoteBibliography"/>
        <w:ind w:left="720" w:hanging="720"/>
        <w:jc w:val="both"/>
        <w:rPr>
          <w:noProof/>
        </w:rPr>
      </w:pPr>
      <w:r w:rsidRPr="000A6777">
        <w:rPr>
          <w:noProof/>
        </w:rPr>
        <w:t xml:space="preserve">Pignolo, R. J., Suda, R. K., McMillan, E. A., Shen, J., Lee, S. H., Choi, Y., Wright, A. C., Johnson, F. B. (2008) Defects in telomere maintenance molecules impair osteoblast differentiation and promote osteoporosis. </w:t>
      </w:r>
      <w:r w:rsidRPr="000A6777">
        <w:rPr>
          <w:i/>
          <w:noProof/>
        </w:rPr>
        <w:t>Aging Cell,</w:t>
      </w:r>
      <w:r w:rsidRPr="000A6777">
        <w:rPr>
          <w:noProof/>
        </w:rPr>
        <w:t xml:space="preserve"> 7</w:t>
      </w:r>
      <w:r w:rsidRPr="000A6777">
        <w:rPr>
          <w:b/>
          <w:noProof/>
        </w:rPr>
        <w:t>:</w:t>
      </w:r>
      <w:r w:rsidRPr="000A6777">
        <w:rPr>
          <w:noProof/>
        </w:rPr>
        <w:t xml:space="preserve"> 23-31.</w:t>
      </w:r>
    </w:p>
    <w:p w14:paraId="05C7ECEC" w14:textId="77777777" w:rsidR="00B32AAB" w:rsidRPr="000A6777" w:rsidRDefault="00B32AAB" w:rsidP="000A6777">
      <w:pPr>
        <w:pStyle w:val="EndNoteBibliography"/>
        <w:ind w:left="720" w:hanging="720"/>
        <w:jc w:val="both"/>
        <w:rPr>
          <w:noProof/>
        </w:rPr>
      </w:pPr>
      <w:r w:rsidRPr="000A6777">
        <w:rPr>
          <w:noProof/>
        </w:rPr>
        <w:t xml:space="preserve">Porte Jr, D., Baskin, D. G., Schwartz, M. W. (2002) Leptin and insulin action in the central nervous system. </w:t>
      </w:r>
      <w:r w:rsidRPr="000A6777">
        <w:rPr>
          <w:i/>
          <w:noProof/>
        </w:rPr>
        <w:t>Nutrition Reviews,</w:t>
      </w:r>
      <w:r w:rsidRPr="000A6777">
        <w:rPr>
          <w:noProof/>
        </w:rPr>
        <w:t xml:space="preserve"> 60</w:t>
      </w:r>
      <w:r w:rsidRPr="000A6777">
        <w:rPr>
          <w:b/>
          <w:noProof/>
        </w:rPr>
        <w:t>:</w:t>
      </w:r>
      <w:r w:rsidRPr="000A6777">
        <w:rPr>
          <w:noProof/>
        </w:rPr>
        <w:t xml:space="preserve"> S20-S29.</w:t>
      </w:r>
    </w:p>
    <w:p w14:paraId="61D8CDA8" w14:textId="77777777" w:rsidR="00B32AAB" w:rsidRPr="000A6777" w:rsidRDefault="00B32AAB" w:rsidP="000A6777">
      <w:pPr>
        <w:pStyle w:val="EndNoteBibliography"/>
        <w:ind w:left="720" w:hanging="720"/>
        <w:jc w:val="both"/>
        <w:rPr>
          <w:noProof/>
        </w:rPr>
      </w:pPr>
      <w:r w:rsidRPr="000A6777">
        <w:rPr>
          <w:noProof/>
        </w:rPr>
        <w:t xml:space="preserve">Potts, J. T. (2005) Parathyroid hormone: past and present. </w:t>
      </w:r>
      <w:r w:rsidR="00A546A7">
        <w:rPr>
          <w:i/>
          <w:noProof/>
        </w:rPr>
        <w:t>The Journal of E</w:t>
      </w:r>
      <w:r w:rsidRPr="000A6777">
        <w:rPr>
          <w:i/>
          <w:noProof/>
        </w:rPr>
        <w:t>ndocrinology,</w:t>
      </w:r>
      <w:r w:rsidRPr="000A6777">
        <w:rPr>
          <w:noProof/>
        </w:rPr>
        <w:t xml:space="preserve"> 187</w:t>
      </w:r>
      <w:r w:rsidRPr="000A6777">
        <w:rPr>
          <w:b/>
          <w:noProof/>
        </w:rPr>
        <w:t>:</w:t>
      </w:r>
      <w:r w:rsidRPr="000A6777">
        <w:rPr>
          <w:noProof/>
        </w:rPr>
        <w:t xml:space="preserve"> 311-325.</w:t>
      </w:r>
    </w:p>
    <w:p w14:paraId="5556A183" w14:textId="77777777" w:rsidR="00B32AAB" w:rsidRPr="000A6777" w:rsidRDefault="00B32AAB" w:rsidP="000A6777">
      <w:pPr>
        <w:pStyle w:val="EndNoteBibliography"/>
        <w:ind w:left="720" w:hanging="720"/>
        <w:jc w:val="both"/>
        <w:rPr>
          <w:noProof/>
        </w:rPr>
      </w:pPr>
      <w:r w:rsidRPr="000A6777">
        <w:rPr>
          <w:noProof/>
        </w:rPr>
        <w:t xml:space="preserve">Power, M. L., Schulkin, J. (2008) Anticipatory physiological regulation in feeding biology: Cephalic phase responses. </w:t>
      </w:r>
      <w:r w:rsidRPr="000A6777">
        <w:rPr>
          <w:i/>
          <w:noProof/>
        </w:rPr>
        <w:t>Appetite,</w:t>
      </w:r>
      <w:r w:rsidRPr="000A6777">
        <w:rPr>
          <w:noProof/>
        </w:rPr>
        <w:t xml:space="preserve"> 50</w:t>
      </w:r>
      <w:r w:rsidRPr="000A6777">
        <w:rPr>
          <w:b/>
          <w:noProof/>
        </w:rPr>
        <w:t>:</w:t>
      </w:r>
      <w:r w:rsidRPr="000A6777">
        <w:rPr>
          <w:noProof/>
        </w:rPr>
        <w:t xml:space="preserve"> 194-206.</w:t>
      </w:r>
    </w:p>
    <w:p w14:paraId="777F059D" w14:textId="77777777" w:rsidR="00B32AAB" w:rsidRPr="000A6777" w:rsidRDefault="00B32AAB" w:rsidP="000A6777">
      <w:pPr>
        <w:pStyle w:val="EndNoteBibliography"/>
        <w:ind w:left="720" w:hanging="720"/>
        <w:jc w:val="both"/>
        <w:rPr>
          <w:noProof/>
        </w:rPr>
      </w:pPr>
      <w:r w:rsidRPr="000A6777">
        <w:rPr>
          <w:noProof/>
        </w:rPr>
        <w:t xml:space="preserve">Price, J. S., Sugiyama, T., Galea, G. L., Meakin, L. B., Lanyon, L. E., Sunters, A. (2011) Role of endocrine and paracrine factors in the adaptation of bone to mechanical loading. </w:t>
      </w:r>
      <w:r w:rsidRPr="000A6777">
        <w:rPr>
          <w:i/>
          <w:noProof/>
        </w:rPr>
        <w:t>Current Osteoporosis Reports,</w:t>
      </w:r>
      <w:r w:rsidRPr="000A6777">
        <w:rPr>
          <w:noProof/>
        </w:rPr>
        <w:t xml:space="preserve"> 9</w:t>
      </w:r>
      <w:r w:rsidRPr="000A6777">
        <w:rPr>
          <w:b/>
          <w:noProof/>
        </w:rPr>
        <w:t>:</w:t>
      </w:r>
      <w:r w:rsidRPr="000A6777">
        <w:rPr>
          <w:noProof/>
        </w:rPr>
        <w:t xml:space="preserve"> 76-82.</w:t>
      </w:r>
    </w:p>
    <w:p w14:paraId="5F074EDF" w14:textId="77777777" w:rsidR="00B32AAB" w:rsidRPr="000A6777" w:rsidRDefault="00B32AAB" w:rsidP="000A6777">
      <w:pPr>
        <w:pStyle w:val="EndNoteBibliography"/>
        <w:ind w:left="720" w:hanging="720"/>
        <w:jc w:val="both"/>
        <w:rPr>
          <w:noProof/>
        </w:rPr>
      </w:pPr>
      <w:r w:rsidRPr="000A6777">
        <w:rPr>
          <w:noProof/>
        </w:rPr>
        <w:t xml:space="preserve">Pun, K. K., Lau, P., Ho, P. W. M. (1989) The characterization, regulation, and function of insulin receptors on osteoblast-like clonal osteosarcoma cell line. </w:t>
      </w:r>
      <w:r w:rsidRPr="000A6777">
        <w:rPr>
          <w:i/>
          <w:noProof/>
        </w:rPr>
        <w:t>Journal of Bone and Mineral Research,</w:t>
      </w:r>
      <w:r w:rsidRPr="000A6777">
        <w:rPr>
          <w:noProof/>
        </w:rPr>
        <w:t xml:space="preserve"> 4</w:t>
      </w:r>
      <w:r w:rsidRPr="000A6777">
        <w:rPr>
          <w:b/>
          <w:noProof/>
        </w:rPr>
        <w:t>:</w:t>
      </w:r>
      <w:r w:rsidRPr="000A6777">
        <w:rPr>
          <w:noProof/>
        </w:rPr>
        <w:t xml:space="preserve"> 853-862.</w:t>
      </w:r>
    </w:p>
    <w:p w14:paraId="36699E26" w14:textId="77777777" w:rsidR="00B32AAB" w:rsidRPr="000A6777" w:rsidRDefault="00B32AAB" w:rsidP="000A6777">
      <w:pPr>
        <w:pStyle w:val="EndNoteBibliography"/>
        <w:ind w:left="720" w:hanging="720"/>
        <w:jc w:val="both"/>
        <w:rPr>
          <w:noProof/>
        </w:rPr>
      </w:pPr>
      <w:r w:rsidRPr="000A6777">
        <w:rPr>
          <w:noProof/>
        </w:rPr>
        <w:t xml:space="preserve">Quarles, L. D. (2003) Evidence for a bone- kidney axis regulating phosphate homeostasis. </w:t>
      </w:r>
      <w:r w:rsidRPr="000A6777">
        <w:rPr>
          <w:i/>
          <w:noProof/>
        </w:rPr>
        <w:t>Journal of Clinical Investigation,</w:t>
      </w:r>
      <w:r w:rsidRPr="000A6777">
        <w:rPr>
          <w:noProof/>
        </w:rPr>
        <w:t xml:space="preserve"> 112</w:t>
      </w:r>
      <w:r w:rsidRPr="000A6777">
        <w:rPr>
          <w:b/>
          <w:noProof/>
        </w:rPr>
        <w:t>:</w:t>
      </w:r>
      <w:r w:rsidRPr="000A6777">
        <w:rPr>
          <w:noProof/>
        </w:rPr>
        <w:t xml:space="preserve"> 642-646.</w:t>
      </w:r>
    </w:p>
    <w:p w14:paraId="0CE4E92E" w14:textId="77777777" w:rsidR="00B32AAB" w:rsidRPr="000A6777" w:rsidRDefault="00B32AAB" w:rsidP="000A6777">
      <w:pPr>
        <w:pStyle w:val="EndNoteBibliography"/>
        <w:ind w:left="720" w:hanging="720"/>
        <w:jc w:val="both"/>
        <w:rPr>
          <w:noProof/>
        </w:rPr>
      </w:pPr>
      <w:r w:rsidRPr="000A6777">
        <w:rPr>
          <w:noProof/>
        </w:rPr>
        <w:t xml:space="preserve">Quarles, L. D. (2012) Role of FGF23 in vitamin D and phosphate metabolism: Implications in chronic kidney disease. </w:t>
      </w:r>
      <w:r w:rsidRPr="000A6777">
        <w:rPr>
          <w:i/>
          <w:noProof/>
        </w:rPr>
        <w:t>Experimental Cell Research,</w:t>
      </w:r>
      <w:r w:rsidRPr="000A6777">
        <w:rPr>
          <w:noProof/>
        </w:rPr>
        <w:t xml:space="preserve"> 318</w:t>
      </w:r>
      <w:r w:rsidRPr="000A6777">
        <w:rPr>
          <w:b/>
          <w:noProof/>
        </w:rPr>
        <w:t>:</w:t>
      </w:r>
      <w:r w:rsidRPr="000A6777">
        <w:rPr>
          <w:noProof/>
        </w:rPr>
        <w:t xml:space="preserve"> 1040-1048.</w:t>
      </w:r>
    </w:p>
    <w:p w14:paraId="44D2473A" w14:textId="77777777" w:rsidR="00B32AAB" w:rsidRPr="000A6777" w:rsidRDefault="00B32AAB" w:rsidP="000A6777">
      <w:pPr>
        <w:pStyle w:val="EndNoteBibliography"/>
        <w:ind w:left="720" w:hanging="720"/>
        <w:jc w:val="both"/>
        <w:rPr>
          <w:noProof/>
        </w:rPr>
      </w:pPr>
      <w:r w:rsidRPr="000A6777">
        <w:rPr>
          <w:noProof/>
        </w:rPr>
        <w:lastRenderedPageBreak/>
        <w:t xml:space="preserve">Quarto, R., Thomas, D., Liang, C. (1995) Bone progenitor cell deficits and the age- associated decline in bone repair capacity. </w:t>
      </w:r>
      <w:r w:rsidRPr="000A6777">
        <w:rPr>
          <w:i/>
          <w:noProof/>
        </w:rPr>
        <w:t>Calcified Tissue International,</w:t>
      </w:r>
      <w:r w:rsidRPr="000A6777">
        <w:rPr>
          <w:noProof/>
        </w:rPr>
        <w:t xml:space="preserve"> 56</w:t>
      </w:r>
      <w:r w:rsidRPr="000A6777">
        <w:rPr>
          <w:b/>
          <w:noProof/>
        </w:rPr>
        <w:t>:</w:t>
      </w:r>
      <w:r w:rsidRPr="000A6777">
        <w:rPr>
          <w:noProof/>
        </w:rPr>
        <w:t xml:space="preserve"> 123-129.</w:t>
      </w:r>
    </w:p>
    <w:p w14:paraId="52035AC7" w14:textId="77777777" w:rsidR="00B32AAB" w:rsidRPr="000A6777" w:rsidRDefault="00B32AAB" w:rsidP="000A6777">
      <w:pPr>
        <w:pStyle w:val="EndNoteBibliography"/>
        <w:ind w:left="720" w:hanging="720"/>
        <w:jc w:val="both"/>
        <w:rPr>
          <w:noProof/>
        </w:rPr>
      </w:pPr>
      <w:r w:rsidRPr="000A6777">
        <w:rPr>
          <w:noProof/>
        </w:rPr>
        <w:t xml:space="preserve">Quinton, N. D., Smith, R. F., Clayton, P. E., Gill, M. S., Shalet, S., Justice, S. K., Simon, S. A., Walters, S., Postel-Vinay, M. C., Blakemore, A. I. F., Ross, R. J. M. (1999) Leptin Binding Activity Changes with Age: The Link between Leptin and Puberty1. </w:t>
      </w:r>
      <w:r w:rsidR="00A546A7">
        <w:rPr>
          <w:i/>
          <w:noProof/>
        </w:rPr>
        <w:t>The Journal of Clinical Endocrinology and M</w:t>
      </w:r>
      <w:r w:rsidRPr="000A6777">
        <w:rPr>
          <w:i/>
          <w:noProof/>
        </w:rPr>
        <w:t>etabolism,</w:t>
      </w:r>
      <w:r w:rsidRPr="000A6777">
        <w:rPr>
          <w:noProof/>
        </w:rPr>
        <w:t xml:space="preserve"> 84</w:t>
      </w:r>
      <w:r w:rsidRPr="000A6777">
        <w:rPr>
          <w:b/>
          <w:noProof/>
        </w:rPr>
        <w:t>:</w:t>
      </w:r>
      <w:r w:rsidRPr="000A6777">
        <w:rPr>
          <w:noProof/>
        </w:rPr>
        <w:t xml:space="preserve"> 2336-2341.</w:t>
      </w:r>
    </w:p>
    <w:p w14:paraId="65BE74E9" w14:textId="77777777" w:rsidR="00B32AAB" w:rsidRPr="000A6777" w:rsidRDefault="00B32AAB" w:rsidP="000A6777">
      <w:pPr>
        <w:pStyle w:val="EndNoteBibliography"/>
        <w:ind w:left="720" w:hanging="720"/>
        <w:jc w:val="both"/>
        <w:rPr>
          <w:noProof/>
        </w:rPr>
      </w:pPr>
      <w:r w:rsidRPr="000A6777">
        <w:rPr>
          <w:noProof/>
        </w:rPr>
        <w:t xml:space="preserve">Raben, A., Agerholm-Larsen, L., Flint, A., Holst, J. J., Astrup, A. (2003) Meals with similar energy densities but rich in protein, fat, carbohydrate, or alcohol have different effects on energy expenditure and substrate metabolism but not on appetite and energy intake. </w:t>
      </w:r>
      <w:r w:rsidR="00032AF5">
        <w:rPr>
          <w:i/>
          <w:noProof/>
        </w:rPr>
        <w:t>The American Journal of Clinical N</w:t>
      </w:r>
      <w:r w:rsidRPr="000A6777">
        <w:rPr>
          <w:i/>
          <w:noProof/>
        </w:rPr>
        <w:t>utrition,</w:t>
      </w:r>
      <w:r w:rsidRPr="000A6777">
        <w:rPr>
          <w:noProof/>
        </w:rPr>
        <w:t xml:space="preserve"> 77</w:t>
      </w:r>
      <w:r w:rsidRPr="000A6777">
        <w:rPr>
          <w:b/>
          <w:noProof/>
        </w:rPr>
        <w:t>:</w:t>
      </w:r>
      <w:r w:rsidRPr="000A6777">
        <w:rPr>
          <w:noProof/>
        </w:rPr>
        <w:t xml:space="preserve"> 91-100.</w:t>
      </w:r>
    </w:p>
    <w:p w14:paraId="5697E8B5" w14:textId="77777777" w:rsidR="00B32AAB" w:rsidRPr="000A6777" w:rsidRDefault="00B32AAB" w:rsidP="000A6777">
      <w:pPr>
        <w:pStyle w:val="EndNoteBibliography"/>
        <w:ind w:left="720" w:hanging="720"/>
        <w:jc w:val="both"/>
        <w:rPr>
          <w:noProof/>
        </w:rPr>
      </w:pPr>
      <w:r w:rsidRPr="000A6777">
        <w:rPr>
          <w:noProof/>
        </w:rPr>
        <w:t xml:space="preserve">Raben, A., Tagliabue, A., Christensen, N. J., Madsen, J., Holst, J. J., Astrup, A. (1994) Resistant starch: the effect on postprandial glycemia, hormonal response, and satiety. </w:t>
      </w:r>
      <w:r w:rsidR="00032AF5">
        <w:rPr>
          <w:i/>
          <w:noProof/>
        </w:rPr>
        <w:t>The American Journal of Clinical N</w:t>
      </w:r>
      <w:r w:rsidRPr="000A6777">
        <w:rPr>
          <w:i/>
          <w:noProof/>
        </w:rPr>
        <w:t>utrition,</w:t>
      </w:r>
      <w:r w:rsidRPr="000A6777">
        <w:rPr>
          <w:noProof/>
        </w:rPr>
        <w:t xml:space="preserve"> 60</w:t>
      </w:r>
      <w:r w:rsidRPr="000A6777">
        <w:rPr>
          <w:b/>
          <w:noProof/>
        </w:rPr>
        <w:t>:</w:t>
      </w:r>
      <w:r w:rsidRPr="000A6777">
        <w:rPr>
          <w:noProof/>
        </w:rPr>
        <w:t xml:space="preserve"> 544-551.</w:t>
      </w:r>
    </w:p>
    <w:p w14:paraId="1CC74E55" w14:textId="77777777" w:rsidR="00B32AAB" w:rsidRPr="000A6777" w:rsidRDefault="00B32AAB" w:rsidP="000A6777">
      <w:pPr>
        <w:pStyle w:val="EndNoteBibliography"/>
        <w:ind w:left="720" w:hanging="720"/>
        <w:jc w:val="both"/>
        <w:rPr>
          <w:noProof/>
        </w:rPr>
      </w:pPr>
      <w:r w:rsidRPr="000A6777">
        <w:rPr>
          <w:noProof/>
        </w:rPr>
        <w:t xml:space="preserve">Rahilly, S., Farooqi, I. S. (2008) Mutations in ligands and receptors of the leptin–melanocortin pathway that lead to obesity. </w:t>
      </w:r>
      <w:r w:rsidRPr="000A6777">
        <w:rPr>
          <w:i/>
          <w:noProof/>
        </w:rPr>
        <w:t>Nature Clinical Practice. Endocrinology and Metabolism,</w:t>
      </w:r>
      <w:r w:rsidRPr="000A6777">
        <w:rPr>
          <w:noProof/>
        </w:rPr>
        <w:t xml:space="preserve"> 4</w:t>
      </w:r>
      <w:r w:rsidRPr="000A6777">
        <w:rPr>
          <w:b/>
          <w:noProof/>
        </w:rPr>
        <w:t>:</w:t>
      </w:r>
      <w:r w:rsidRPr="000A6777">
        <w:rPr>
          <w:noProof/>
        </w:rPr>
        <w:t xml:space="preserve"> 569-577.</w:t>
      </w:r>
    </w:p>
    <w:p w14:paraId="2514DFE8" w14:textId="77777777" w:rsidR="00B32AAB" w:rsidRPr="000A6777" w:rsidRDefault="00B32AAB" w:rsidP="000A6777">
      <w:pPr>
        <w:pStyle w:val="EndNoteBibliography"/>
        <w:ind w:left="720" w:hanging="720"/>
        <w:jc w:val="both"/>
        <w:rPr>
          <w:noProof/>
        </w:rPr>
      </w:pPr>
      <w:r w:rsidRPr="000A6777">
        <w:rPr>
          <w:noProof/>
        </w:rPr>
        <w:t xml:space="preserve">Rauch, A., Seitz, S., Baschant, U., Schilling, A. F., Illing, A., Stride, B., Kirilov, M., Mandic, V., Takacz, A., Schmidt-Ullrich, R., Ostermay, S., Schinke, T., Spanbroek, R., Zaiss, M. M., Angel, P. E., Lerner, U. H., David, J.-P., Reichardt, H. M., Amling, M., Schütz, G., Tuckermann, J. P. (2010) Glucocorticoids Suppress Bone Formation by Attenuating Osteoblast Differentiation via the Monomeric Glucocorticoid Receptor. </w:t>
      </w:r>
      <w:r w:rsidR="00032AF5">
        <w:rPr>
          <w:i/>
          <w:noProof/>
        </w:rPr>
        <w:t>Cell M</w:t>
      </w:r>
      <w:r w:rsidRPr="000A6777">
        <w:rPr>
          <w:i/>
          <w:noProof/>
        </w:rPr>
        <w:t>etabolism,</w:t>
      </w:r>
      <w:r w:rsidRPr="000A6777">
        <w:rPr>
          <w:noProof/>
        </w:rPr>
        <w:t xml:space="preserve"> 11</w:t>
      </w:r>
      <w:r w:rsidRPr="000A6777">
        <w:rPr>
          <w:b/>
          <w:noProof/>
        </w:rPr>
        <w:t>:</w:t>
      </w:r>
      <w:r w:rsidRPr="000A6777">
        <w:rPr>
          <w:noProof/>
        </w:rPr>
        <w:t xml:space="preserve"> 517-531.</w:t>
      </w:r>
    </w:p>
    <w:p w14:paraId="2CDE96A2" w14:textId="77777777" w:rsidR="00B32AAB" w:rsidRPr="000A6777" w:rsidRDefault="00B32AAB" w:rsidP="000A6777">
      <w:pPr>
        <w:pStyle w:val="EndNoteBibliography"/>
        <w:ind w:left="720" w:hanging="720"/>
        <w:jc w:val="both"/>
        <w:rPr>
          <w:noProof/>
        </w:rPr>
      </w:pPr>
      <w:r w:rsidRPr="000A6777">
        <w:rPr>
          <w:noProof/>
        </w:rPr>
        <w:t>Rauner, M., Sipos, W., Pietschmann, P. (2008) Age-dependent Wnt gene expression in bone and during the course of osteoblast differentiation.</w:t>
      </w:r>
      <w:r w:rsidRPr="000A6777">
        <w:rPr>
          <w:i/>
          <w:noProof/>
        </w:rPr>
        <w:t xml:space="preserve"> Journal of the American Aging Association,</w:t>
      </w:r>
      <w:r w:rsidRPr="000A6777">
        <w:rPr>
          <w:noProof/>
        </w:rPr>
        <w:t xml:space="preserve"> 30</w:t>
      </w:r>
      <w:r w:rsidRPr="000A6777">
        <w:rPr>
          <w:b/>
          <w:noProof/>
        </w:rPr>
        <w:t>:</w:t>
      </w:r>
      <w:r w:rsidRPr="000A6777">
        <w:rPr>
          <w:noProof/>
        </w:rPr>
        <w:t xml:space="preserve"> 273-282.</w:t>
      </w:r>
    </w:p>
    <w:p w14:paraId="72458609" w14:textId="77777777" w:rsidR="00B32AAB" w:rsidRPr="000A6777" w:rsidRDefault="00B32AAB" w:rsidP="000A6777">
      <w:pPr>
        <w:pStyle w:val="EndNoteBibliography"/>
        <w:ind w:left="720" w:hanging="720"/>
        <w:jc w:val="both"/>
        <w:rPr>
          <w:noProof/>
        </w:rPr>
      </w:pPr>
      <w:r w:rsidRPr="000A6777">
        <w:rPr>
          <w:noProof/>
        </w:rPr>
        <w:t>Rayner, D. V., Simón, E., Duncan, J. S., Trayhurn, P. (1998) Hyperleptinaemia in mice induced by administration of the tyrosine hydroxylase inhibitor α</w:t>
      </w:r>
      <w:r w:rsidRPr="000A6777">
        <w:rPr>
          <w:rFonts w:ascii="American Typewriter Condensed" w:hAnsi="American Typewriter Condensed" w:cs="American Typewriter Condensed"/>
          <w:noProof/>
        </w:rPr>
        <w:t>‐</w:t>
      </w:r>
      <w:r w:rsidRPr="000A6777">
        <w:rPr>
          <w:noProof/>
        </w:rPr>
        <w:t>methyl</w:t>
      </w:r>
      <w:r w:rsidRPr="000A6777">
        <w:rPr>
          <w:rFonts w:ascii="American Typewriter Condensed" w:hAnsi="American Typewriter Condensed" w:cs="American Typewriter Condensed"/>
          <w:noProof/>
        </w:rPr>
        <w:t>‐</w:t>
      </w:r>
      <w:r w:rsidRPr="000A6777">
        <w:rPr>
          <w:noProof/>
        </w:rPr>
        <w:t>p</w:t>
      </w:r>
      <w:r w:rsidRPr="000A6777">
        <w:rPr>
          <w:rFonts w:ascii="American Typewriter Condensed" w:hAnsi="American Typewriter Condensed" w:cs="American Typewriter Condensed"/>
          <w:noProof/>
        </w:rPr>
        <w:t>‐</w:t>
      </w:r>
      <w:r w:rsidRPr="000A6777">
        <w:rPr>
          <w:noProof/>
        </w:rPr>
        <w:t xml:space="preserve">tyrosine. </w:t>
      </w:r>
      <w:r w:rsidRPr="000A6777">
        <w:rPr>
          <w:i/>
          <w:noProof/>
        </w:rPr>
        <w:t>Federation of European Biochemical Societies Letters,</w:t>
      </w:r>
      <w:r w:rsidRPr="000A6777">
        <w:rPr>
          <w:noProof/>
        </w:rPr>
        <w:t xml:space="preserve"> 429</w:t>
      </w:r>
      <w:r w:rsidRPr="000A6777">
        <w:rPr>
          <w:b/>
          <w:noProof/>
        </w:rPr>
        <w:t>:</w:t>
      </w:r>
      <w:r w:rsidRPr="000A6777">
        <w:rPr>
          <w:noProof/>
        </w:rPr>
        <w:t xml:space="preserve"> 395-398.</w:t>
      </w:r>
    </w:p>
    <w:p w14:paraId="70340885" w14:textId="77777777" w:rsidR="00B32AAB" w:rsidRPr="000A6777" w:rsidRDefault="00B32AAB" w:rsidP="000A6777">
      <w:pPr>
        <w:pStyle w:val="EndNoteBibliography"/>
        <w:ind w:left="720" w:hanging="720"/>
        <w:jc w:val="both"/>
        <w:rPr>
          <w:noProof/>
        </w:rPr>
      </w:pPr>
      <w:r w:rsidRPr="000A6777">
        <w:rPr>
          <w:noProof/>
        </w:rPr>
        <w:t xml:space="preserve">Reda, T. K., Geliebter, A., Pi-Sunyer, F. X. (2002) Amylin, food intake, and obesity. </w:t>
      </w:r>
      <w:r w:rsidRPr="000A6777">
        <w:rPr>
          <w:i/>
          <w:noProof/>
        </w:rPr>
        <w:t>Obesity Research,</w:t>
      </w:r>
      <w:r w:rsidRPr="000A6777">
        <w:rPr>
          <w:noProof/>
        </w:rPr>
        <w:t xml:space="preserve"> 10</w:t>
      </w:r>
      <w:r w:rsidRPr="000A6777">
        <w:rPr>
          <w:b/>
          <w:noProof/>
        </w:rPr>
        <w:t>:</w:t>
      </w:r>
      <w:r w:rsidRPr="000A6777">
        <w:rPr>
          <w:noProof/>
        </w:rPr>
        <w:t xml:space="preserve"> 1087-1091.</w:t>
      </w:r>
    </w:p>
    <w:p w14:paraId="1737BCE5" w14:textId="77777777" w:rsidR="00B32AAB" w:rsidRPr="000A6777" w:rsidRDefault="00B32AAB" w:rsidP="000A6777">
      <w:pPr>
        <w:pStyle w:val="EndNoteBibliography"/>
        <w:ind w:left="720" w:hanging="720"/>
        <w:jc w:val="both"/>
        <w:rPr>
          <w:noProof/>
        </w:rPr>
      </w:pPr>
      <w:r w:rsidRPr="000A6777">
        <w:rPr>
          <w:noProof/>
        </w:rPr>
        <w:t xml:space="preserve">Reginster, J.-Y., Beaudart, C., Buckinx, F., Bruyere, O. (2015) Osteoporosis and sarcopenia: two diseases or one? </w:t>
      </w:r>
      <w:r w:rsidRPr="000A6777">
        <w:rPr>
          <w:i/>
          <w:noProof/>
        </w:rPr>
        <w:t>Current Opinion in Clinical Nutrition and Metabolic Care,</w:t>
      </w:r>
      <w:r w:rsidRPr="000A6777">
        <w:rPr>
          <w:noProof/>
        </w:rPr>
        <w:t xml:space="preserve"> 19</w:t>
      </w:r>
      <w:r w:rsidRPr="000A6777">
        <w:rPr>
          <w:b/>
          <w:noProof/>
        </w:rPr>
        <w:t>:</w:t>
      </w:r>
      <w:r w:rsidRPr="000A6777">
        <w:rPr>
          <w:noProof/>
        </w:rPr>
        <w:t xml:space="preserve"> 31-36.</w:t>
      </w:r>
    </w:p>
    <w:p w14:paraId="50566A4B" w14:textId="77777777" w:rsidR="00B32AAB" w:rsidRPr="000A6777" w:rsidRDefault="00B32AAB" w:rsidP="000A6777">
      <w:pPr>
        <w:pStyle w:val="EndNoteBibliography"/>
        <w:ind w:left="720" w:hanging="720"/>
        <w:jc w:val="both"/>
        <w:rPr>
          <w:noProof/>
        </w:rPr>
      </w:pPr>
      <w:r w:rsidRPr="000A6777">
        <w:rPr>
          <w:noProof/>
        </w:rPr>
        <w:lastRenderedPageBreak/>
        <w:t xml:space="preserve">Rho, J.-Y., Kuhn-Spearing, L., Zioupos, P. (1998) Mechanical properties and the hierarchical structure of bone. </w:t>
      </w:r>
      <w:r w:rsidRPr="000A6777">
        <w:rPr>
          <w:i/>
          <w:noProof/>
        </w:rPr>
        <w:t>Medical Engineering and Physics,</w:t>
      </w:r>
      <w:r w:rsidRPr="000A6777">
        <w:rPr>
          <w:noProof/>
        </w:rPr>
        <w:t xml:space="preserve"> 20</w:t>
      </w:r>
      <w:r w:rsidRPr="000A6777">
        <w:rPr>
          <w:b/>
          <w:noProof/>
        </w:rPr>
        <w:t>:</w:t>
      </w:r>
      <w:r w:rsidRPr="000A6777">
        <w:rPr>
          <w:noProof/>
        </w:rPr>
        <w:t xml:space="preserve"> 92-102.</w:t>
      </w:r>
    </w:p>
    <w:p w14:paraId="1E389591" w14:textId="77777777" w:rsidR="00B32AAB" w:rsidRPr="000A6777" w:rsidRDefault="00B32AAB" w:rsidP="000A6777">
      <w:pPr>
        <w:pStyle w:val="EndNoteBibliography"/>
        <w:ind w:left="720" w:hanging="720"/>
        <w:jc w:val="both"/>
        <w:rPr>
          <w:noProof/>
        </w:rPr>
      </w:pPr>
      <w:r w:rsidRPr="000A6777">
        <w:rPr>
          <w:noProof/>
        </w:rPr>
        <w:t xml:space="preserve">Riesenfeld, A. (1972) Metatarsal robusticity in bipedal rats. </w:t>
      </w:r>
      <w:r w:rsidRPr="000A6777">
        <w:rPr>
          <w:i/>
          <w:noProof/>
        </w:rPr>
        <w:t>American Journal of Physical Anthropology,</w:t>
      </w:r>
      <w:r w:rsidRPr="000A6777">
        <w:rPr>
          <w:noProof/>
        </w:rPr>
        <w:t xml:space="preserve"> 36</w:t>
      </w:r>
      <w:r w:rsidRPr="000A6777">
        <w:rPr>
          <w:b/>
          <w:noProof/>
        </w:rPr>
        <w:t>:</w:t>
      </w:r>
      <w:r w:rsidRPr="000A6777">
        <w:rPr>
          <w:noProof/>
        </w:rPr>
        <w:t xml:space="preserve"> 229-233.</w:t>
      </w:r>
    </w:p>
    <w:p w14:paraId="7BCE98BD" w14:textId="77777777" w:rsidR="00B32AAB" w:rsidRPr="000A6777" w:rsidRDefault="00B32AAB" w:rsidP="000A6777">
      <w:pPr>
        <w:pStyle w:val="EndNoteBibliography"/>
        <w:ind w:left="720" w:hanging="720"/>
        <w:jc w:val="both"/>
        <w:rPr>
          <w:noProof/>
        </w:rPr>
      </w:pPr>
      <w:r w:rsidRPr="000A6777">
        <w:rPr>
          <w:noProof/>
        </w:rPr>
        <w:t xml:space="preserve">Riggs, B., Melton, L., Robb, R., Camp, J., Atkinson, E., McDaniel, L., Amin, S., Rouleau, P. A., Khosla, S. (2008) A population-based assessment of rates of bone loss at multiple skeletal sites: Evidence for substantial trabecular bone loss in young adult women and men. </w:t>
      </w:r>
      <w:r w:rsidRPr="000A6777">
        <w:rPr>
          <w:i/>
          <w:noProof/>
        </w:rPr>
        <w:t>Journal of  Bone and Mineral Research,</w:t>
      </w:r>
      <w:r w:rsidRPr="000A6777">
        <w:rPr>
          <w:noProof/>
        </w:rPr>
        <w:t xml:space="preserve"> 23</w:t>
      </w:r>
      <w:r w:rsidRPr="000A6777">
        <w:rPr>
          <w:b/>
          <w:noProof/>
        </w:rPr>
        <w:t>:</w:t>
      </w:r>
      <w:r w:rsidRPr="000A6777">
        <w:rPr>
          <w:noProof/>
        </w:rPr>
        <w:t xml:space="preserve"> 205-214.</w:t>
      </w:r>
    </w:p>
    <w:p w14:paraId="3FC68C49" w14:textId="77777777" w:rsidR="00B32AAB" w:rsidRPr="000A6777" w:rsidRDefault="00B32AAB" w:rsidP="000A6777">
      <w:pPr>
        <w:pStyle w:val="EndNoteBibliography"/>
        <w:ind w:left="720" w:hanging="720"/>
        <w:jc w:val="both"/>
        <w:rPr>
          <w:noProof/>
        </w:rPr>
      </w:pPr>
      <w:r w:rsidRPr="000A6777">
        <w:rPr>
          <w:noProof/>
        </w:rPr>
        <w:t xml:space="preserve">Riggs, B. L., Khosla, S., Melton Iii, L. J. (2002) Sex steroids and the construction and conservation of the adult skeleton. </w:t>
      </w:r>
      <w:r w:rsidRPr="000A6777">
        <w:rPr>
          <w:i/>
          <w:noProof/>
        </w:rPr>
        <w:t>Endocrine Reviews,</w:t>
      </w:r>
      <w:r w:rsidRPr="000A6777">
        <w:rPr>
          <w:noProof/>
        </w:rPr>
        <w:t xml:space="preserve"> 23</w:t>
      </w:r>
      <w:r w:rsidRPr="000A6777">
        <w:rPr>
          <w:b/>
          <w:noProof/>
        </w:rPr>
        <w:t>:</w:t>
      </w:r>
      <w:r w:rsidRPr="000A6777">
        <w:rPr>
          <w:noProof/>
        </w:rPr>
        <w:t xml:space="preserve"> 279-302.</w:t>
      </w:r>
    </w:p>
    <w:p w14:paraId="3F00AFA6" w14:textId="77777777" w:rsidR="00B32AAB" w:rsidRPr="000A6777" w:rsidRDefault="00B32AAB" w:rsidP="000A6777">
      <w:pPr>
        <w:pStyle w:val="EndNoteBibliography"/>
        <w:ind w:left="720" w:hanging="720"/>
        <w:jc w:val="both"/>
        <w:rPr>
          <w:noProof/>
        </w:rPr>
      </w:pPr>
      <w:r w:rsidRPr="000A6777">
        <w:rPr>
          <w:noProof/>
        </w:rPr>
        <w:t xml:space="preserve">Riggs, B. L., Melton Iii, L. J., Robb, R. A., Camp, J. J., Atkinson, E. J., Peterson, J. M., Rouleau, P. A., McCollough, C. H., Bouxsein, M. L., Khosla, S. (2004) Population- based study of age and sex differences in bone volumetric density, size, geometry, and structure at different skeletal sites. </w:t>
      </w:r>
      <w:r w:rsidRPr="000A6777">
        <w:rPr>
          <w:i/>
          <w:noProof/>
        </w:rPr>
        <w:t>Journal of Bone and Mineral Research,</w:t>
      </w:r>
      <w:r w:rsidRPr="000A6777">
        <w:rPr>
          <w:noProof/>
        </w:rPr>
        <w:t xml:space="preserve"> 19</w:t>
      </w:r>
      <w:r w:rsidRPr="000A6777">
        <w:rPr>
          <w:b/>
          <w:noProof/>
        </w:rPr>
        <w:t>:</w:t>
      </w:r>
      <w:r w:rsidRPr="000A6777">
        <w:rPr>
          <w:noProof/>
        </w:rPr>
        <w:t xml:space="preserve"> 1945-1954.</w:t>
      </w:r>
    </w:p>
    <w:p w14:paraId="185F590F" w14:textId="77777777" w:rsidR="00B32AAB" w:rsidRPr="000A6777" w:rsidRDefault="00B32AAB" w:rsidP="000A6777">
      <w:pPr>
        <w:pStyle w:val="EndNoteBibliography"/>
        <w:ind w:left="720" w:hanging="720"/>
        <w:jc w:val="both"/>
        <w:rPr>
          <w:noProof/>
        </w:rPr>
      </w:pPr>
      <w:r w:rsidRPr="000A6777">
        <w:rPr>
          <w:noProof/>
        </w:rPr>
        <w:t xml:space="preserve">Rittweger, J., Frost, H. M., Schiessl, H., Ohshima, H., Alkner, B., Tesch, P., Felsenberg, D. (2005) Muscle atrophy and bone loss after 90 days' bed rest and the effects of flywheel resistive exercise and pamidronate: Results from the LTBR study. </w:t>
      </w:r>
      <w:r w:rsidRPr="000A6777">
        <w:rPr>
          <w:i/>
          <w:noProof/>
        </w:rPr>
        <w:t>Bone,</w:t>
      </w:r>
      <w:r w:rsidRPr="000A6777">
        <w:rPr>
          <w:noProof/>
        </w:rPr>
        <w:t xml:space="preserve"> 36</w:t>
      </w:r>
      <w:r w:rsidRPr="000A6777">
        <w:rPr>
          <w:b/>
          <w:noProof/>
        </w:rPr>
        <w:t>:</w:t>
      </w:r>
      <w:r w:rsidRPr="000A6777">
        <w:rPr>
          <w:noProof/>
        </w:rPr>
        <w:t xml:space="preserve"> 1019-1029.</w:t>
      </w:r>
    </w:p>
    <w:p w14:paraId="1CE8618E" w14:textId="77777777" w:rsidR="00B32AAB" w:rsidRPr="000A6777" w:rsidRDefault="00B32AAB" w:rsidP="000A6777">
      <w:pPr>
        <w:pStyle w:val="EndNoteBibliography"/>
        <w:ind w:left="720" w:hanging="720"/>
        <w:jc w:val="both"/>
        <w:rPr>
          <w:noProof/>
        </w:rPr>
      </w:pPr>
      <w:r w:rsidRPr="000A6777">
        <w:rPr>
          <w:noProof/>
        </w:rPr>
        <w:t xml:space="preserve">Rittweger, J., Winwood, K., Seynnes, O., De Boer, M., Wilks, D., Lea, R., Rennie, M., Narici, M. (2006) Bone loss from the human distal tibia epiphysis during 24 days of unilateral lower limb suspension. </w:t>
      </w:r>
      <w:r w:rsidRPr="000A6777">
        <w:rPr>
          <w:i/>
          <w:noProof/>
        </w:rPr>
        <w:t>Journal of Physiology,</w:t>
      </w:r>
      <w:r w:rsidRPr="000A6777">
        <w:rPr>
          <w:noProof/>
        </w:rPr>
        <w:t xml:space="preserve"> 577</w:t>
      </w:r>
      <w:r w:rsidRPr="000A6777">
        <w:rPr>
          <w:b/>
          <w:noProof/>
        </w:rPr>
        <w:t>:</w:t>
      </w:r>
      <w:r w:rsidRPr="000A6777">
        <w:rPr>
          <w:noProof/>
        </w:rPr>
        <w:t xml:space="preserve"> 331-337.</w:t>
      </w:r>
    </w:p>
    <w:p w14:paraId="19F3348B" w14:textId="77777777" w:rsidR="00B32AAB" w:rsidRPr="000A6777" w:rsidRDefault="00B32AAB" w:rsidP="000A6777">
      <w:pPr>
        <w:pStyle w:val="EndNoteBibliography"/>
        <w:ind w:left="720" w:hanging="720"/>
        <w:jc w:val="both"/>
        <w:rPr>
          <w:noProof/>
        </w:rPr>
      </w:pPr>
      <w:r w:rsidRPr="000A6777">
        <w:rPr>
          <w:noProof/>
        </w:rPr>
        <w:t xml:space="preserve">Robbins, J., Aragaki, A. K., Kooperberg, C., Watts, N., Wactawski-Wende, J., Jackson, R. D., Leboff, M. S., Lewis, C. E., Chen, Z., Stefanick, M. L., Cauley, J. (2007) Factors Associated With 5- Year Risk of Hip Fracture in Postmenopausal Women. </w:t>
      </w:r>
      <w:r w:rsidRPr="000A6777">
        <w:rPr>
          <w:i/>
          <w:noProof/>
        </w:rPr>
        <w:t>The Journal of the American Medical Association,</w:t>
      </w:r>
      <w:r w:rsidRPr="000A6777">
        <w:rPr>
          <w:noProof/>
        </w:rPr>
        <w:t xml:space="preserve"> 298</w:t>
      </w:r>
      <w:r w:rsidRPr="000A6777">
        <w:rPr>
          <w:b/>
          <w:noProof/>
        </w:rPr>
        <w:t>:</w:t>
      </w:r>
      <w:r w:rsidRPr="000A6777">
        <w:rPr>
          <w:noProof/>
        </w:rPr>
        <w:t xml:space="preserve"> 2389-2398.</w:t>
      </w:r>
    </w:p>
    <w:p w14:paraId="22337591" w14:textId="77777777" w:rsidR="00B32AAB" w:rsidRPr="000A6777" w:rsidRDefault="00B32AAB" w:rsidP="000A6777">
      <w:pPr>
        <w:pStyle w:val="EndNoteBibliography"/>
        <w:ind w:left="720" w:hanging="720"/>
        <w:jc w:val="both"/>
        <w:rPr>
          <w:noProof/>
        </w:rPr>
      </w:pPr>
      <w:r w:rsidRPr="000A6777">
        <w:rPr>
          <w:noProof/>
        </w:rPr>
        <w:t xml:space="preserve">Robling, A., Burr, D., Turner, C. (2001) Skeletal loading in animals. </w:t>
      </w:r>
      <w:r w:rsidR="009243FE">
        <w:rPr>
          <w:i/>
          <w:noProof/>
        </w:rPr>
        <w:t>Journal of Musculoskeletal a</w:t>
      </w:r>
      <w:r w:rsidRPr="000A6777">
        <w:rPr>
          <w:i/>
          <w:noProof/>
        </w:rPr>
        <w:t>nd Neuronal Interactions,</w:t>
      </w:r>
      <w:r w:rsidRPr="000A6777">
        <w:rPr>
          <w:noProof/>
        </w:rPr>
        <w:t xml:space="preserve"> 1(3)</w:t>
      </w:r>
      <w:r w:rsidRPr="000A6777">
        <w:rPr>
          <w:b/>
          <w:noProof/>
        </w:rPr>
        <w:t>:</w:t>
      </w:r>
      <w:r w:rsidRPr="000A6777">
        <w:rPr>
          <w:noProof/>
        </w:rPr>
        <w:t xml:space="preserve"> 249-262.</w:t>
      </w:r>
    </w:p>
    <w:p w14:paraId="2B31F094" w14:textId="77777777" w:rsidR="00B32AAB" w:rsidRPr="000A6777" w:rsidRDefault="00B32AAB" w:rsidP="000A6777">
      <w:pPr>
        <w:pStyle w:val="EndNoteBibliography"/>
        <w:ind w:left="720" w:hanging="720"/>
        <w:jc w:val="both"/>
        <w:rPr>
          <w:noProof/>
        </w:rPr>
      </w:pPr>
      <w:r w:rsidRPr="000A6777">
        <w:rPr>
          <w:noProof/>
        </w:rPr>
        <w:t xml:space="preserve">Robling, A. G., Burr, D. B., Turner, C. H. (2000) Partitioning a daily mechanical stimulus into discrete loading bouts improves the osteogenic response to loading. </w:t>
      </w:r>
      <w:r w:rsidRPr="000A6777">
        <w:rPr>
          <w:i/>
          <w:noProof/>
        </w:rPr>
        <w:t>Journal of Bone and Mineral Research,</w:t>
      </w:r>
      <w:r w:rsidRPr="000A6777">
        <w:rPr>
          <w:noProof/>
        </w:rPr>
        <w:t xml:space="preserve"> 15</w:t>
      </w:r>
      <w:r w:rsidRPr="000A6777">
        <w:rPr>
          <w:b/>
          <w:noProof/>
        </w:rPr>
        <w:t>:</w:t>
      </w:r>
      <w:r w:rsidRPr="000A6777">
        <w:rPr>
          <w:noProof/>
        </w:rPr>
        <w:t xml:space="preserve"> 1596-1602.</w:t>
      </w:r>
    </w:p>
    <w:p w14:paraId="35E71A62" w14:textId="77777777" w:rsidR="00B32AAB" w:rsidRPr="000A6777" w:rsidRDefault="00B32AAB" w:rsidP="000A6777">
      <w:pPr>
        <w:pStyle w:val="EndNoteBibliography"/>
        <w:ind w:left="720" w:hanging="720"/>
        <w:jc w:val="both"/>
        <w:rPr>
          <w:noProof/>
        </w:rPr>
      </w:pPr>
      <w:r w:rsidRPr="000A6777">
        <w:rPr>
          <w:noProof/>
        </w:rPr>
        <w:t xml:space="preserve">Rochefort, G., Pallu, S., Benhamou, C. (2010) Osteocyte: the unrecognized side of bone tissue. </w:t>
      </w:r>
      <w:r w:rsidR="009243FE">
        <w:rPr>
          <w:i/>
          <w:noProof/>
        </w:rPr>
        <w:t>Osteoporosis Internationa</w:t>
      </w:r>
      <w:r w:rsidRPr="000A6777">
        <w:rPr>
          <w:i/>
          <w:noProof/>
        </w:rPr>
        <w:t>l,</w:t>
      </w:r>
      <w:r w:rsidRPr="000A6777">
        <w:rPr>
          <w:noProof/>
        </w:rPr>
        <w:t xml:space="preserve"> 21</w:t>
      </w:r>
      <w:r w:rsidRPr="000A6777">
        <w:rPr>
          <w:b/>
          <w:noProof/>
        </w:rPr>
        <w:t>:</w:t>
      </w:r>
      <w:r w:rsidRPr="000A6777">
        <w:rPr>
          <w:noProof/>
        </w:rPr>
        <w:t xml:space="preserve"> 1457-1469.</w:t>
      </w:r>
    </w:p>
    <w:p w14:paraId="7DEBF96A" w14:textId="77777777" w:rsidR="00B32AAB" w:rsidRPr="000A6777" w:rsidRDefault="00B32AAB" w:rsidP="000A6777">
      <w:pPr>
        <w:pStyle w:val="EndNoteBibliography"/>
        <w:ind w:left="720" w:hanging="720"/>
        <w:jc w:val="both"/>
        <w:rPr>
          <w:noProof/>
        </w:rPr>
      </w:pPr>
      <w:r w:rsidRPr="000A6777">
        <w:rPr>
          <w:noProof/>
        </w:rPr>
        <w:lastRenderedPageBreak/>
        <w:t xml:space="preserve">Roholl, P. J., Blauw, E., Zurcher, C., Dormans, J. A., Theuns, H. M. (1994) Evidence for a diminished maturation of preosteoblasts into osteoblasts during aging in rats: an ultrastructural analysis. </w:t>
      </w:r>
      <w:r w:rsidRPr="000A6777">
        <w:rPr>
          <w:i/>
          <w:noProof/>
        </w:rPr>
        <w:t>Journal of Bone and Mineral Research,</w:t>
      </w:r>
      <w:r w:rsidRPr="000A6777">
        <w:rPr>
          <w:noProof/>
        </w:rPr>
        <w:t xml:space="preserve"> 9</w:t>
      </w:r>
      <w:r w:rsidRPr="000A6777">
        <w:rPr>
          <w:b/>
          <w:noProof/>
        </w:rPr>
        <w:t>:</w:t>
      </w:r>
      <w:r w:rsidRPr="000A6777">
        <w:rPr>
          <w:noProof/>
        </w:rPr>
        <w:t xml:space="preserve"> 355-366.</w:t>
      </w:r>
    </w:p>
    <w:p w14:paraId="60CC5336" w14:textId="77777777" w:rsidR="00B32AAB" w:rsidRPr="000A6777" w:rsidRDefault="00B32AAB" w:rsidP="000A6777">
      <w:pPr>
        <w:pStyle w:val="EndNoteBibliography"/>
        <w:ind w:left="720" w:hanging="720"/>
        <w:jc w:val="both"/>
        <w:rPr>
          <w:noProof/>
        </w:rPr>
      </w:pPr>
      <w:r w:rsidRPr="000A6777">
        <w:rPr>
          <w:noProof/>
        </w:rPr>
        <w:t xml:space="preserve">Rosen, C. J., Ackert-Bicknell, C., Rodriguez, J. P., Pino, A. M. (2009) Marrow fat and the bone micro-environment: developmental, functional and pathological implications. </w:t>
      </w:r>
      <w:r w:rsidRPr="000A6777">
        <w:rPr>
          <w:i/>
          <w:noProof/>
        </w:rPr>
        <w:t>Critical Reviews in Eukaryotic Gene Expression,</w:t>
      </w:r>
      <w:r w:rsidRPr="000A6777">
        <w:rPr>
          <w:noProof/>
        </w:rPr>
        <w:t xml:space="preserve"> 19</w:t>
      </w:r>
      <w:r w:rsidRPr="000A6777">
        <w:rPr>
          <w:b/>
          <w:noProof/>
        </w:rPr>
        <w:t>:</w:t>
      </w:r>
      <w:r w:rsidRPr="000A6777">
        <w:rPr>
          <w:noProof/>
        </w:rPr>
        <w:t xml:space="preserve"> 109-124.</w:t>
      </w:r>
    </w:p>
    <w:p w14:paraId="19A13AA0" w14:textId="77777777" w:rsidR="00B32AAB" w:rsidRPr="000A6777" w:rsidRDefault="00B32AAB" w:rsidP="000A6777">
      <w:pPr>
        <w:pStyle w:val="EndNoteBibliography"/>
        <w:ind w:left="720" w:hanging="720"/>
        <w:jc w:val="both"/>
        <w:rPr>
          <w:noProof/>
        </w:rPr>
      </w:pPr>
      <w:r w:rsidRPr="000A6777">
        <w:rPr>
          <w:noProof/>
        </w:rPr>
        <w:t xml:space="preserve">Rubin, C., Bain, S., McLeod, K. (1992) Suppression of the osteogenic response in the aging skeleton. </w:t>
      </w:r>
      <w:r w:rsidRPr="000A6777">
        <w:rPr>
          <w:i/>
          <w:noProof/>
        </w:rPr>
        <w:t>Calcified Tissue International,</w:t>
      </w:r>
      <w:r w:rsidRPr="000A6777">
        <w:rPr>
          <w:noProof/>
        </w:rPr>
        <w:t xml:space="preserve"> 50</w:t>
      </w:r>
      <w:r w:rsidRPr="000A6777">
        <w:rPr>
          <w:b/>
          <w:noProof/>
        </w:rPr>
        <w:t>:</w:t>
      </w:r>
      <w:r w:rsidRPr="000A6777">
        <w:rPr>
          <w:noProof/>
        </w:rPr>
        <w:t xml:space="preserve"> 306-313.</w:t>
      </w:r>
    </w:p>
    <w:p w14:paraId="5952D734" w14:textId="77777777" w:rsidR="00B32AAB" w:rsidRPr="000A6777" w:rsidRDefault="00B32AAB" w:rsidP="000A6777">
      <w:pPr>
        <w:pStyle w:val="EndNoteBibliography"/>
        <w:ind w:left="720" w:hanging="720"/>
        <w:jc w:val="both"/>
        <w:rPr>
          <w:noProof/>
        </w:rPr>
      </w:pPr>
      <w:r w:rsidRPr="000A6777">
        <w:rPr>
          <w:noProof/>
        </w:rPr>
        <w:t xml:space="preserve">Rubin, C., Lanyon, L. (1985) Regulation of bone mass by mechanical strain magnitude. </w:t>
      </w:r>
      <w:r w:rsidRPr="000A6777">
        <w:rPr>
          <w:i/>
          <w:noProof/>
        </w:rPr>
        <w:t>Calcified Tissue International,</w:t>
      </w:r>
      <w:r w:rsidRPr="000A6777">
        <w:rPr>
          <w:noProof/>
        </w:rPr>
        <w:t xml:space="preserve"> 37</w:t>
      </w:r>
      <w:r w:rsidRPr="000A6777">
        <w:rPr>
          <w:b/>
          <w:noProof/>
        </w:rPr>
        <w:t>:</w:t>
      </w:r>
      <w:r w:rsidRPr="000A6777">
        <w:rPr>
          <w:noProof/>
        </w:rPr>
        <w:t xml:space="preserve"> 411-417.</w:t>
      </w:r>
    </w:p>
    <w:p w14:paraId="5A16BFE1" w14:textId="77777777" w:rsidR="00B32AAB" w:rsidRPr="000A6777" w:rsidRDefault="00B32AAB" w:rsidP="000A6777">
      <w:pPr>
        <w:pStyle w:val="EndNoteBibliography"/>
        <w:ind w:left="720" w:hanging="720"/>
        <w:jc w:val="both"/>
        <w:rPr>
          <w:noProof/>
        </w:rPr>
      </w:pPr>
      <w:r w:rsidRPr="000A6777">
        <w:rPr>
          <w:noProof/>
        </w:rPr>
        <w:t xml:space="preserve">Rubin, C. T., Lanyon, L. E. (1982) Limb mechanics as a function of speed and gait: a study of functional strains in the radius and tibia of horse and dog. </w:t>
      </w:r>
      <w:r w:rsidRPr="000A6777">
        <w:rPr>
          <w:i/>
          <w:noProof/>
        </w:rPr>
        <w:t>Journal of Experimental Biology,</w:t>
      </w:r>
      <w:r w:rsidRPr="000A6777">
        <w:rPr>
          <w:noProof/>
        </w:rPr>
        <w:t xml:space="preserve"> 101</w:t>
      </w:r>
      <w:r w:rsidRPr="000A6777">
        <w:rPr>
          <w:b/>
          <w:noProof/>
        </w:rPr>
        <w:t>:</w:t>
      </w:r>
      <w:r w:rsidRPr="000A6777">
        <w:rPr>
          <w:noProof/>
        </w:rPr>
        <w:t xml:space="preserve"> 187-211.</w:t>
      </w:r>
    </w:p>
    <w:p w14:paraId="35CBFA59" w14:textId="77777777" w:rsidR="00B32AAB" w:rsidRPr="000A6777" w:rsidRDefault="00B32AAB" w:rsidP="000A6777">
      <w:pPr>
        <w:pStyle w:val="EndNoteBibliography"/>
        <w:ind w:left="720" w:hanging="720"/>
        <w:jc w:val="both"/>
        <w:rPr>
          <w:noProof/>
        </w:rPr>
      </w:pPr>
      <w:r w:rsidRPr="000A6777">
        <w:rPr>
          <w:noProof/>
        </w:rPr>
        <w:t xml:space="preserve">Rubin, C. T., Lanyon, L. E. (1984) Regulation of bone-formation by applied dynamic loads. </w:t>
      </w:r>
      <w:r w:rsidR="00D137B8">
        <w:rPr>
          <w:i/>
          <w:noProof/>
        </w:rPr>
        <w:t>Journal of Bone a</w:t>
      </w:r>
      <w:r w:rsidRPr="000A6777">
        <w:rPr>
          <w:i/>
          <w:noProof/>
        </w:rPr>
        <w:t>nd Joint Surgery,</w:t>
      </w:r>
      <w:r w:rsidRPr="000A6777">
        <w:rPr>
          <w:noProof/>
        </w:rPr>
        <w:t xml:space="preserve"> 66A</w:t>
      </w:r>
      <w:r w:rsidRPr="000A6777">
        <w:rPr>
          <w:b/>
          <w:noProof/>
        </w:rPr>
        <w:t>:</w:t>
      </w:r>
      <w:r w:rsidRPr="000A6777">
        <w:rPr>
          <w:noProof/>
        </w:rPr>
        <w:t xml:space="preserve"> 397-402.</w:t>
      </w:r>
    </w:p>
    <w:p w14:paraId="6D4FF97A" w14:textId="77777777" w:rsidR="00B32AAB" w:rsidRPr="000A6777" w:rsidRDefault="00B32AAB" w:rsidP="000A6777">
      <w:pPr>
        <w:pStyle w:val="EndNoteBibliography"/>
        <w:ind w:left="720" w:hanging="720"/>
        <w:jc w:val="both"/>
        <w:rPr>
          <w:noProof/>
        </w:rPr>
      </w:pPr>
      <w:r w:rsidRPr="000A6777">
        <w:rPr>
          <w:noProof/>
        </w:rPr>
        <w:t xml:space="preserve">Rubin, C. T., Lanyon, L. E. (1987) Osteoregulatory nature of mechanical stimuli: Function as a determinant for adaptive remodeling in bone. </w:t>
      </w:r>
      <w:r w:rsidRPr="000A6777">
        <w:rPr>
          <w:i/>
          <w:noProof/>
        </w:rPr>
        <w:t>Journal of Orthopaedic Research,</w:t>
      </w:r>
      <w:r w:rsidRPr="000A6777">
        <w:rPr>
          <w:noProof/>
        </w:rPr>
        <w:t xml:space="preserve"> 5</w:t>
      </w:r>
      <w:r w:rsidRPr="000A6777">
        <w:rPr>
          <w:b/>
          <w:noProof/>
        </w:rPr>
        <w:t>:</w:t>
      </w:r>
      <w:r w:rsidRPr="000A6777">
        <w:rPr>
          <w:noProof/>
        </w:rPr>
        <w:t xml:space="preserve"> 300-310.</w:t>
      </w:r>
    </w:p>
    <w:p w14:paraId="3022B2A9" w14:textId="77777777" w:rsidR="00B32AAB" w:rsidRPr="000A6777" w:rsidRDefault="00B32AAB" w:rsidP="000A6777">
      <w:pPr>
        <w:pStyle w:val="EndNoteBibliography"/>
        <w:ind w:left="720" w:hanging="720"/>
        <w:jc w:val="both"/>
        <w:rPr>
          <w:noProof/>
        </w:rPr>
      </w:pPr>
      <w:r w:rsidRPr="000A6777">
        <w:rPr>
          <w:noProof/>
        </w:rPr>
        <w:t xml:space="preserve">Rubin, J., Rubin, C., Jacobs, C. R. (2006) Molecular pathways mediating mechanical signaling in bone. </w:t>
      </w:r>
      <w:r w:rsidRPr="000A6777">
        <w:rPr>
          <w:i/>
          <w:noProof/>
        </w:rPr>
        <w:t>Gene,</w:t>
      </w:r>
      <w:r w:rsidRPr="000A6777">
        <w:rPr>
          <w:noProof/>
        </w:rPr>
        <w:t xml:space="preserve"> 367</w:t>
      </w:r>
      <w:r w:rsidRPr="000A6777">
        <w:rPr>
          <w:b/>
          <w:noProof/>
        </w:rPr>
        <w:t>:</w:t>
      </w:r>
      <w:r w:rsidRPr="000A6777">
        <w:rPr>
          <w:noProof/>
        </w:rPr>
        <w:t xml:space="preserve"> 1-16.</w:t>
      </w:r>
    </w:p>
    <w:p w14:paraId="3E2CC241" w14:textId="77777777" w:rsidR="00B32AAB" w:rsidRPr="000A6777" w:rsidRDefault="00B32AAB" w:rsidP="000A6777">
      <w:pPr>
        <w:pStyle w:val="EndNoteBibliography"/>
        <w:ind w:left="720" w:hanging="720"/>
        <w:jc w:val="both"/>
        <w:rPr>
          <w:noProof/>
        </w:rPr>
      </w:pPr>
      <w:r w:rsidRPr="000A6777">
        <w:rPr>
          <w:noProof/>
        </w:rPr>
        <w:t xml:space="preserve">Ruiye, B., Fan, Y., Lauter, K., Hu, J., Watanabe, T., Cradock, J., Yuan, Q., Gardella, T., Mannstadt, M. (2016) Diphtheria Toxin- and GFP-Based Mouse Models of Acquired Hypoparathyroidism and Treatment With a Long-Acting Parathyroid Hormone Analog. </w:t>
      </w:r>
      <w:r w:rsidRPr="000A6777">
        <w:rPr>
          <w:i/>
          <w:noProof/>
        </w:rPr>
        <w:t>Journal of Bone and Mineral Research,</w:t>
      </w:r>
      <w:r w:rsidRPr="000A6777">
        <w:rPr>
          <w:noProof/>
        </w:rPr>
        <w:t xml:space="preserve"> 31</w:t>
      </w:r>
      <w:r w:rsidRPr="000A6777">
        <w:rPr>
          <w:b/>
          <w:noProof/>
        </w:rPr>
        <w:t>:</w:t>
      </w:r>
      <w:r w:rsidRPr="000A6777">
        <w:rPr>
          <w:noProof/>
        </w:rPr>
        <w:t xml:space="preserve"> 975-984.</w:t>
      </w:r>
    </w:p>
    <w:p w14:paraId="56250EAE" w14:textId="77777777" w:rsidR="00B32AAB" w:rsidRPr="000A6777" w:rsidRDefault="00B32AAB" w:rsidP="000A6777">
      <w:pPr>
        <w:pStyle w:val="EndNoteBibliography"/>
        <w:ind w:left="720" w:hanging="720"/>
        <w:jc w:val="both"/>
        <w:rPr>
          <w:noProof/>
        </w:rPr>
      </w:pPr>
      <w:r w:rsidRPr="000A6777">
        <w:rPr>
          <w:noProof/>
        </w:rPr>
        <w:t xml:space="preserve">Sadler, A. M., Bailey, S. J. (2013) Validation of a refined technique for taking repeated blood samples from juvenile and adult mice. </w:t>
      </w:r>
      <w:r w:rsidRPr="000A6777">
        <w:rPr>
          <w:i/>
          <w:noProof/>
        </w:rPr>
        <w:t>Laboratory Animals,</w:t>
      </w:r>
      <w:r w:rsidRPr="000A6777">
        <w:rPr>
          <w:noProof/>
        </w:rPr>
        <w:t xml:space="preserve"> 47</w:t>
      </w:r>
      <w:r w:rsidRPr="000A6777">
        <w:rPr>
          <w:b/>
          <w:noProof/>
        </w:rPr>
        <w:t>:</w:t>
      </w:r>
      <w:r w:rsidRPr="000A6777">
        <w:rPr>
          <w:noProof/>
        </w:rPr>
        <w:t xml:space="preserve"> 316-319.</w:t>
      </w:r>
    </w:p>
    <w:p w14:paraId="66B10598" w14:textId="77777777" w:rsidR="00B32AAB" w:rsidRPr="000A6777" w:rsidRDefault="00B32AAB" w:rsidP="000A6777">
      <w:pPr>
        <w:pStyle w:val="EndNoteBibliography"/>
        <w:ind w:left="720" w:hanging="720"/>
        <w:jc w:val="both"/>
        <w:rPr>
          <w:noProof/>
        </w:rPr>
      </w:pPr>
      <w:r w:rsidRPr="000A6777">
        <w:rPr>
          <w:noProof/>
        </w:rPr>
        <w:t xml:space="preserve">Saito, M., Marumo, K. (2010) Collagen cross- links as a determinant of bone quality: a possible explanation for bone fragility in aging, osteoporosis, and diabetes mellitus. </w:t>
      </w:r>
      <w:r w:rsidR="00D137B8">
        <w:rPr>
          <w:i/>
          <w:noProof/>
        </w:rPr>
        <w:t>Osteoporosis Internationa</w:t>
      </w:r>
      <w:r w:rsidRPr="000A6777">
        <w:rPr>
          <w:i/>
          <w:noProof/>
        </w:rPr>
        <w:t>l,</w:t>
      </w:r>
      <w:r w:rsidRPr="000A6777">
        <w:rPr>
          <w:noProof/>
        </w:rPr>
        <w:t xml:space="preserve"> 21</w:t>
      </w:r>
      <w:r w:rsidRPr="000A6777">
        <w:rPr>
          <w:b/>
          <w:noProof/>
        </w:rPr>
        <w:t>:</w:t>
      </w:r>
      <w:r w:rsidRPr="000A6777">
        <w:rPr>
          <w:noProof/>
        </w:rPr>
        <w:t xml:space="preserve"> 195-214.</w:t>
      </w:r>
    </w:p>
    <w:p w14:paraId="30309700" w14:textId="77777777" w:rsidR="00B32AAB" w:rsidRPr="000A6777" w:rsidRDefault="00B32AAB" w:rsidP="000A6777">
      <w:pPr>
        <w:pStyle w:val="EndNoteBibliography"/>
        <w:ind w:left="720" w:hanging="720"/>
        <w:jc w:val="both"/>
        <w:rPr>
          <w:noProof/>
        </w:rPr>
      </w:pPr>
      <w:r w:rsidRPr="000A6777">
        <w:rPr>
          <w:noProof/>
        </w:rPr>
        <w:t xml:space="preserve">Sambrook, P., Cooper, C. (2006) Osteoporosis. </w:t>
      </w:r>
      <w:r w:rsidRPr="000A6777">
        <w:rPr>
          <w:i/>
          <w:noProof/>
        </w:rPr>
        <w:t>The Lancet,</w:t>
      </w:r>
      <w:r w:rsidRPr="000A6777">
        <w:rPr>
          <w:noProof/>
        </w:rPr>
        <w:t xml:space="preserve"> 367</w:t>
      </w:r>
      <w:r w:rsidRPr="000A6777">
        <w:rPr>
          <w:b/>
          <w:noProof/>
        </w:rPr>
        <w:t>:</w:t>
      </w:r>
      <w:r w:rsidRPr="000A6777">
        <w:rPr>
          <w:noProof/>
        </w:rPr>
        <w:t xml:space="preserve"> 2010-2018.</w:t>
      </w:r>
    </w:p>
    <w:p w14:paraId="531D9B5D" w14:textId="77777777" w:rsidR="00B32AAB" w:rsidRPr="000A6777" w:rsidRDefault="00B32AAB" w:rsidP="000A6777">
      <w:pPr>
        <w:pStyle w:val="EndNoteBibliography"/>
        <w:ind w:left="720" w:hanging="720"/>
        <w:jc w:val="both"/>
        <w:rPr>
          <w:noProof/>
        </w:rPr>
      </w:pPr>
      <w:r w:rsidRPr="000A6777">
        <w:rPr>
          <w:noProof/>
        </w:rPr>
        <w:t xml:space="preserve">Samuels, A., Perry, M., Gibson, R., Tobias, J. (2000) PTH blocks oestrogen's inhibitory action on periosteal bone formation. </w:t>
      </w:r>
      <w:r w:rsidRPr="000A6777">
        <w:rPr>
          <w:i/>
          <w:noProof/>
        </w:rPr>
        <w:t>Journal of Bone and Mineral Research,</w:t>
      </w:r>
      <w:r w:rsidRPr="000A6777">
        <w:rPr>
          <w:noProof/>
        </w:rPr>
        <w:t xml:space="preserve"> 15</w:t>
      </w:r>
      <w:r w:rsidRPr="000A6777">
        <w:rPr>
          <w:b/>
          <w:noProof/>
        </w:rPr>
        <w:t>:</w:t>
      </w:r>
      <w:r w:rsidRPr="000A6777">
        <w:rPr>
          <w:noProof/>
        </w:rPr>
        <w:t xml:space="preserve"> 1217-1217.</w:t>
      </w:r>
    </w:p>
    <w:p w14:paraId="31DE19C0" w14:textId="77777777" w:rsidR="00B32AAB" w:rsidRPr="000A6777" w:rsidRDefault="00B32AAB" w:rsidP="000A6777">
      <w:pPr>
        <w:pStyle w:val="EndNoteBibliography"/>
        <w:ind w:left="720" w:hanging="720"/>
        <w:jc w:val="both"/>
        <w:rPr>
          <w:noProof/>
        </w:rPr>
      </w:pPr>
      <w:r w:rsidRPr="000A6777">
        <w:rPr>
          <w:noProof/>
        </w:rPr>
        <w:lastRenderedPageBreak/>
        <w:t>Samvelyan, H</w:t>
      </w:r>
      <w:r w:rsidR="00D463B5">
        <w:rPr>
          <w:noProof/>
        </w:rPr>
        <w:t>., Mathers, J., Skerry, T. (2017</w:t>
      </w:r>
      <w:r w:rsidR="009D0B26">
        <w:rPr>
          <w:noProof/>
        </w:rPr>
        <w:t xml:space="preserve">) </w:t>
      </w:r>
      <w:r w:rsidRPr="000A6777">
        <w:rPr>
          <w:noProof/>
        </w:rPr>
        <w:t>Feeding after overnight fast enhances bone’s response to mechanical loading in m</w:t>
      </w:r>
      <w:r w:rsidR="005E3FDF">
        <w:rPr>
          <w:noProof/>
        </w:rPr>
        <w:t>ice.  ASBMR Annual Meeting, 2016</w:t>
      </w:r>
      <w:r w:rsidRPr="000A6777">
        <w:rPr>
          <w:noProof/>
        </w:rPr>
        <w:t xml:space="preserve"> Atlanta, Georgia, USA. </w:t>
      </w:r>
      <w:r w:rsidR="009D0B26" w:rsidRPr="009D0B26">
        <w:rPr>
          <w:i/>
          <w:noProof/>
        </w:rPr>
        <w:t>Journal of</w:t>
      </w:r>
      <w:r w:rsidRPr="009D0B26">
        <w:rPr>
          <w:i/>
          <w:noProof/>
        </w:rPr>
        <w:t xml:space="preserve"> Bone and Mineral Research</w:t>
      </w:r>
      <w:r w:rsidRPr="000A6777">
        <w:rPr>
          <w:noProof/>
        </w:rPr>
        <w:t xml:space="preserve">, </w:t>
      </w:r>
      <w:r w:rsidR="000049FE">
        <w:rPr>
          <w:noProof/>
        </w:rPr>
        <w:t xml:space="preserve">31: </w:t>
      </w:r>
      <w:r w:rsidRPr="000A6777">
        <w:rPr>
          <w:noProof/>
        </w:rPr>
        <w:t>S403.</w:t>
      </w:r>
    </w:p>
    <w:p w14:paraId="308EA1DC" w14:textId="77777777" w:rsidR="00B32AAB" w:rsidRPr="000A6777" w:rsidRDefault="00B32AAB" w:rsidP="000A6777">
      <w:pPr>
        <w:pStyle w:val="EndNoteBibliography"/>
        <w:ind w:left="720" w:hanging="720"/>
        <w:jc w:val="both"/>
        <w:rPr>
          <w:noProof/>
        </w:rPr>
      </w:pPr>
      <w:r w:rsidRPr="000A6777">
        <w:rPr>
          <w:noProof/>
        </w:rPr>
        <w:t xml:space="preserve">Samvelyan, H. J., Mathers, J. C., Skerry, T. M. (2014) </w:t>
      </w:r>
      <w:r w:rsidRPr="000A6777">
        <w:rPr>
          <w:i/>
          <w:noProof/>
        </w:rPr>
        <w:t>The role of gastrointestinal hormones and identification of GI hormone receptor expressions in bone cells.</w:t>
      </w:r>
      <w:r w:rsidRPr="000A6777">
        <w:rPr>
          <w:noProof/>
        </w:rPr>
        <w:t xml:space="preserve"> Master of Research, The University of Sheffield </w:t>
      </w:r>
    </w:p>
    <w:p w14:paraId="6AE436DB" w14:textId="77777777" w:rsidR="00B32AAB" w:rsidRPr="000A6777" w:rsidRDefault="00B32AAB" w:rsidP="000A6777">
      <w:pPr>
        <w:pStyle w:val="EndNoteBibliography"/>
        <w:ind w:left="720" w:hanging="720"/>
        <w:jc w:val="both"/>
        <w:rPr>
          <w:noProof/>
        </w:rPr>
      </w:pPr>
      <w:r w:rsidRPr="000A6777">
        <w:rPr>
          <w:noProof/>
        </w:rPr>
        <w:t xml:space="preserve">Sanz, C., Vázquez, P., Blázquez, C., Barrio, P. A., Alvarez, M. D. M., Blázquez, E. (2010) Signaling and biological effects of glucagon- like peptide 1 on the differentiation of mesenchymal stem cells from human bone marrow. </w:t>
      </w:r>
      <w:r w:rsidRPr="000A6777">
        <w:rPr>
          <w:i/>
          <w:noProof/>
        </w:rPr>
        <w:t>American Journal of Physiology - Endocrinology and Metabolism,</w:t>
      </w:r>
      <w:r w:rsidRPr="000A6777">
        <w:rPr>
          <w:noProof/>
        </w:rPr>
        <w:t xml:space="preserve"> 298</w:t>
      </w:r>
      <w:r w:rsidRPr="000A6777">
        <w:rPr>
          <w:b/>
          <w:noProof/>
        </w:rPr>
        <w:t>:</w:t>
      </w:r>
      <w:r w:rsidRPr="000A6777">
        <w:rPr>
          <w:noProof/>
        </w:rPr>
        <w:t xml:space="preserve"> E634-E643.</w:t>
      </w:r>
    </w:p>
    <w:p w14:paraId="501969C4" w14:textId="77777777" w:rsidR="00B32AAB" w:rsidRPr="000A6777" w:rsidRDefault="00B32AAB" w:rsidP="000A6777">
      <w:pPr>
        <w:pStyle w:val="EndNoteBibliography"/>
        <w:ind w:left="720" w:hanging="720"/>
        <w:jc w:val="both"/>
        <w:rPr>
          <w:noProof/>
        </w:rPr>
      </w:pPr>
      <w:r w:rsidRPr="000A6777">
        <w:rPr>
          <w:noProof/>
        </w:rPr>
        <w:t xml:space="preserve">Saxon, L., Galea, G., Meakin, L., Price, J., Lanyon, L. (2012) Estrogen Receptors alpha and beta Have Different Gender-Dependent Effects on the Adaptive Responses to Load Bearing in Cancellous and Cortical Bone. </w:t>
      </w:r>
      <w:r w:rsidRPr="000A6777">
        <w:rPr>
          <w:i/>
          <w:noProof/>
        </w:rPr>
        <w:t>Endocrinology,</w:t>
      </w:r>
      <w:r w:rsidRPr="000A6777">
        <w:rPr>
          <w:noProof/>
        </w:rPr>
        <w:t xml:space="preserve"> 153</w:t>
      </w:r>
      <w:r w:rsidRPr="000A6777">
        <w:rPr>
          <w:b/>
          <w:noProof/>
        </w:rPr>
        <w:t>:</w:t>
      </w:r>
      <w:r w:rsidRPr="000A6777">
        <w:rPr>
          <w:noProof/>
        </w:rPr>
        <w:t xml:space="preserve"> 2254-2266.</w:t>
      </w:r>
    </w:p>
    <w:p w14:paraId="79FB67EE" w14:textId="77777777" w:rsidR="00B32AAB" w:rsidRPr="000A6777" w:rsidRDefault="00B32AAB" w:rsidP="000A6777">
      <w:pPr>
        <w:pStyle w:val="EndNoteBibliography"/>
        <w:ind w:left="720" w:hanging="720"/>
        <w:jc w:val="both"/>
        <w:rPr>
          <w:noProof/>
        </w:rPr>
      </w:pPr>
      <w:r w:rsidRPr="000A6777">
        <w:rPr>
          <w:noProof/>
        </w:rPr>
        <w:t xml:space="preserve">Saxon, L. K., Jackson, B. F., Sugiyama, T., Lanyon, L. E., Price, J. S. (2011) Analysis of multiple bone responses to graded strains above functional levels, and to disuse, in mice in vivo show that the human Lrp5 G171V High Bone Mass mutation increases the osteogenic response to loading but that lack of Lrp5 activity reduces it. </w:t>
      </w:r>
      <w:r w:rsidRPr="000A6777">
        <w:rPr>
          <w:i/>
          <w:noProof/>
        </w:rPr>
        <w:t>Bone,</w:t>
      </w:r>
      <w:r w:rsidRPr="000A6777">
        <w:rPr>
          <w:noProof/>
        </w:rPr>
        <w:t xml:space="preserve"> 49</w:t>
      </w:r>
      <w:r w:rsidRPr="000A6777">
        <w:rPr>
          <w:b/>
          <w:noProof/>
        </w:rPr>
        <w:t>:</w:t>
      </w:r>
      <w:r w:rsidRPr="000A6777">
        <w:rPr>
          <w:noProof/>
        </w:rPr>
        <w:t xml:space="preserve"> 184-193.</w:t>
      </w:r>
    </w:p>
    <w:p w14:paraId="3CCF0C99" w14:textId="77777777" w:rsidR="00B32AAB" w:rsidRPr="000A6777" w:rsidRDefault="00B32AAB" w:rsidP="000A6777">
      <w:pPr>
        <w:pStyle w:val="EndNoteBibliography"/>
        <w:ind w:left="720" w:hanging="720"/>
        <w:jc w:val="both"/>
        <w:rPr>
          <w:noProof/>
        </w:rPr>
      </w:pPr>
      <w:r w:rsidRPr="000A6777">
        <w:rPr>
          <w:noProof/>
        </w:rPr>
        <w:t xml:space="preserve">Scheller, E. L., Song, J., Dishowitz, M. I., Soki, F. N., Hankenson, K. D., Krebsbach, P. H. (2010) Leptin functions peripherally to regulate differentiation of mesenchymal progenitor cells. </w:t>
      </w:r>
      <w:r w:rsidR="009B280E">
        <w:rPr>
          <w:i/>
          <w:noProof/>
        </w:rPr>
        <w:t>Stem C</w:t>
      </w:r>
      <w:r w:rsidRPr="000A6777">
        <w:rPr>
          <w:i/>
          <w:noProof/>
        </w:rPr>
        <w:t>ells (Dayton, Ohio),</w:t>
      </w:r>
      <w:r w:rsidRPr="000A6777">
        <w:rPr>
          <w:noProof/>
        </w:rPr>
        <w:t xml:space="preserve"> 28</w:t>
      </w:r>
      <w:r w:rsidRPr="000A6777">
        <w:rPr>
          <w:b/>
          <w:noProof/>
        </w:rPr>
        <w:t>:</w:t>
      </w:r>
      <w:r w:rsidRPr="000A6777">
        <w:rPr>
          <w:noProof/>
        </w:rPr>
        <w:t xml:space="preserve"> 1071-1080.</w:t>
      </w:r>
    </w:p>
    <w:p w14:paraId="6E231C3A" w14:textId="77777777" w:rsidR="00B32AAB" w:rsidRPr="000A6777" w:rsidRDefault="00B32AAB" w:rsidP="000A6777">
      <w:pPr>
        <w:pStyle w:val="EndNoteBibliography"/>
        <w:ind w:left="720" w:hanging="720"/>
        <w:jc w:val="both"/>
        <w:rPr>
          <w:noProof/>
        </w:rPr>
      </w:pPr>
      <w:r w:rsidRPr="000A6777">
        <w:rPr>
          <w:noProof/>
        </w:rPr>
        <w:t>Schwarz, P., Jorgensen, N., Mosekilde, L., Vestergaard, P. (2012) Effects of Increasing Age, Dosage, and Duration o</w:t>
      </w:r>
      <w:r w:rsidR="009B280E">
        <w:rPr>
          <w:noProof/>
        </w:rPr>
        <w:t xml:space="preserve">f PTH Treatment on BMD Increase - </w:t>
      </w:r>
      <w:r w:rsidRPr="000A6777">
        <w:rPr>
          <w:noProof/>
        </w:rPr>
        <w:t xml:space="preserve">A Meta-analysis. </w:t>
      </w:r>
      <w:r w:rsidRPr="000A6777">
        <w:rPr>
          <w:i/>
          <w:noProof/>
        </w:rPr>
        <w:t>Calcified Tissue International,</w:t>
      </w:r>
      <w:r w:rsidRPr="000A6777">
        <w:rPr>
          <w:noProof/>
        </w:rPr>
        <w:t xml:space="preserve"> 90</w:t>
      </w:r>
      <w:r w:rsidRPr="000A6777">
        <w:rPr>
          <w:b/>
          <w:noProof/>
        </w:rPr>
        <w:t>:</w:t>
      </w:r>
      <w:r w:rsidRPr="000A6777">
        <w:rPr>
          <w:noProof/>
        </w:rPr>
        <w:t xml:space="preserve"> 165-173.</w:t>
      </w:r>
    </w:p>
    <w:p w14:paraId="53FEC452" w14:textId="77777777" w:rsidR="00B32AAB" w:rsidRPr="000A6777" w:rsidRDefault="00B32AAB" w:rsidP="000A6777">
      <w:pPr>
        <w:pStyle w:val="EndNoteBibliography"/>
        <w:ind w:left="720" w:hanging="720"/>
        <w:jc w:val="both"/>
        <w:rPr>
          <w:noProof/>
        </w:rPr>
      </w:pPr>
      <w:r w:rsidRPr="000A6777">
        <w:rPr>
          <w:noProof/>
        </w:rPr>
        <w:t xml:space="preserve">Seals, D., Dinenno, F. A. (2004) Collateral damage: cardiovascular consequences of chronic sympathetic activation with human aging. </w:t>
      </w:r>
      <w:r w:rsidRPr="000A6777">
        <w:rPr>
          <w:i/>
          <w:noProof/>
        </w:rPr>
        <w:t>American Journal of Physiology-Heart and Circulatory Physiology,</w:t>
      </w:r>
      <w:r w:rsidRPr="000A6777">
        <w:rPr>
          <w:noProof/>
        </w:rPr>
        <w:t xml:space="preserve"> 287</w:t>
      </w:r>
      <w:r w:rsidRPr="000A6777">
        <w:rPr>
          <w:b/>
          <w:noProof/>
        </w:rPr>
        <w:t>:</w:t>
      </w:r>
      <w:r w:rsidRPr="000A6777">
        <w:rPr>
          <w:noProof/>
        </w:rPr>
        <w:t xml:space="preserve"> H1895-H1905.</w:t>
      </w:r>
    </w:p>
    <w:p w14:paraId="6FBE6350" w14:textId="77777777" w:rsidR="00B32AAB" w:rsidRPr="000A6777" w:rsidRDefault="00B32AAB" w:rsidP="000A6777">
      <w:pPr>
        <w:pStyle w:val="EndNoteBibliography"/>
        <w:ind w:left="720" w:hanging="720"/>
        <w:jc w:val="both"/>
        <w:rPr>
          <w:noProof/>
        </w:rPr>
      </w:pPr>
      <w:r w:rsidRPr="000A6777">
        <w:rPr>
          <w:noProof/>
        </w:rPr>
        <w:t xml:space="preserve">Seeman, E. (2003) Periosteal Bone Formation — A Neglected Determinant of Bone Strength. </w:t>
      </w:r>
      <w:r w:rsidRPr="000A6777">
        <w:rPr>
          <w:i/>
          <w:noProof/>
        </w:rPr>
        <w:t>The New England Journal of Medicine,</w:t>
      </w:r>
      <w:r w:rsidRPr="000A6777">
        <w:rPr>
          <w:noProof/>
        </w:rPr>
        <w:t xml:space="preserve"> 349</w:t>
      </w:r>
      <w:r w:rsidRPr="000A6777">
        <w:rPr>
          <w:b/>
          <w:noProof/>
        </w:rPr>
        <w:t>:</w:t>
      </w:r>
      <w:r w:rsidRPr="000A6777">
        <w:rPr>
          <w:noProof/>
        </w:rPr>
        <w:t xml:space="preserve"> 320-323.</w:t>
      </w:r>
    </w:p>
    <w:p w14:paraId="75F4F8FB" w14:textId="77777777" w:rsidR="00B32AAB" w:rsidRPr="000A6777" w:rsidRDefault="00B32AAB" w:rsidP="000A6777">
      <w:pPr>
        <w:pStyle w:val="EndNoteBibliography"/>
        <w:ind w:left="720" w:hanging="720"/>
        <w:jc w:val="both"/>
        <w:rPr>
          <w:noProof/>
        </w:rPr>
      </w:pPr>
      <w:r w:rsidRPr="000A6777">
        <w:rPr>
          <w:noProof/>
        </w:rPr>
        <w:t xml:space="preserve">Selman, C., Withers, D. J. (2011) Mammalian models of extended healthy lifespan. </w:t>
      </w:r>
      <w:r w:rsidRPr="000A6777">
        <w:rPr>
          <w:i/>
          <w:noProof/>
        </w:rPr>
        <w:t>Philosophical Transactions of the Royal Society B,</w:t>
      </w:r>
      <w:r w:rsidRPr="000A6777">
        <w:rPr>
          <w:noProof/>
        </w:rPr>
        <w:t xml:space="preserve"> 366</w:t>
      </w:r>
      <w:r w:rsidRPr="000A6777">
        <w:rPr>
          <w:b/>
          <w:noProof/>
        </w:rPr>
        <w:t>:</w:t>
      </w:r>
      <w:r w:rsidRPr="000A6777">
        <w:rPr>
          <w:noProof/>
        </w:rPr>
        <w:t xml:space="preserve"> 99-107.</w:t>
      </w:r>
    </w:p>
    <w:p w14:paraId="5200BE60" w14:textId="77777777" w:rsidR="00B32AAB" w:rsidRPr="000A6777" w:rsidRDefault="00B32AAB" w:rsidP="000A6777">
      <w:pPr>
        <w:pStyle w:val="EndNoteBibliography"/>
        <w:ind w:left="720" w:hanging="720"/>
        <w:jc w:val="both"/>
        <w:rPr>
          <w:noProof/>
        </w:rPr>
      </w:pPr>
      <w:r w:rsidRPr="000A6777">
        <w:rPr>
          <w:noProof/>
        </w:rPr>
        <w:t xml:space="preserve">Sherk, V. D., Bemben, M. G., Bemben, D. A. (2008) BMD and Bone Geometry in Transtibial and Transfemoral Amputees. </w:t>
      </w:r>
      <w:r w:rsidRPr="000A6777">
        <w:rPr>
          <w:i/>
          <w:noProof/>
        </w:rPr>
        <w:t>Journal of Bone and Mineral Research,</w:t>
      </w:r>
      <w:r w:rsidRPr="000A6777">
        <w:rPr>
          <w:noProof/>
        </w:rPr>
        <w:t xml:space="preserve"> 23</w:t>
      </w:r>
      <w:r w:rsidRPr="000A6777">
        <w:rPr>
          <w:b/>
          <w:noProof/>
        </w:rPr>
        <w:t>:</w:t>
      </w:r>
      <w:r w:rsidRPr="000A6777">
        <w:rPr>
          <w:noProof/>
        </w:rPr>
        <w:t xml:space="preserve"> 1449-1457.</w:t>
      </w:r>
    </w:p>
    <w:p w14:paraId="01945932" w14:textId="77777777" w:rsidR="00B32AAB" w:rsidRPr="000A6777" w:rsidRDefault="00B32AAB" w:rsidP="000A6777">
      <w:pPr>
        <w:pStyle w:val="EndNoteBibliography"/>
        <w:ind w:left="720" w:hanging="720"/>
        <w:jc w:val="both"/>
        <w:rPr>
          <w:noProof/>
        </w:rPr>
      </w:pPr>
      <w:r w:rsidRPr="000A6777">
        <w:rPr>
          <w:noProof/>
        </w:rPr>
        <w:lastRenderedPageBreak/>
        <w:t xml:space="preserve">Shi, Y., Yadav, V. K., Suda, N., Liu, X. S., Guo, X. E., Myers, M. G., Karsenty, G. (2008) Dissociation of the neuronal regulation of bone mass and energy metabolism by leptin in vivo. </w:t>
      </w:r>
      <w:r w:rsidRPr="000A6777">
        <w:rPr>
          <w:i/>
          <w:noProof/>
        </w:rPr>
        <w:t>Proceedings of the National Academy of Sciences of the United States of America,</w:t>
      </w:r>
      <w:r w:rsidRPr="000A6777">
        <w:rPr>
          <w:noProof/>
        </w:rPr>
        <w:t xml:space="preserve"> 105</w:t>
      </w:r>
      <w:r w:rsidRPr="000A6777">
        <w:rPr>
          <w:b/>
          <w:noProof/>
        </w:rPr>
        <w:t>:</w:t>
      </w:r>
      <w:r w:rsidRPr="000A6777">
        <w:rPr>
          <w:noProof/>
        </w:rPr>
        <w:t xml:space="preserve"> 20529-20533.</w:t>
      </w:r>
    </w:p>
    <w:p w14:paraId="332E915B" w14:textId="77777777" w:rsidR="00B32AAB" w:rsidRPr="000A6777" w:rsidRDefault="00B32AAB" w:rsidP="000A6777">
      <w:pPr>
        <w:pStyle w:val="EndNoteBibliography"/>
        <w:ind w:left="720" w:hanging="720"/>
        <w:jc w:val="both"/>
        <w:rPr>
          <w:noProof/>
        </w:rPr>
      </w:pPr>
      <w:r w:rsidRPr="000A6777">
        <w:rPr>
          <w:noProof/>
        </w:rPr>
        <w:t xml:space="preserve">Shoback, D. (2008) Hypoparathyroidism. </w:t>
      </w:r>
      <w:r w:rsidRPr="000A6777">
        <w:rPr>
          <w:i/>
          <w:noProof/>
        </w:rPr>
        <w:t>The New England Journal of Medicine,</w:t>
      </w:r>
      <w:r w:rsidRPr="000A6777">
        <w:rPr>
          <w:noProof/>
        </w:rPr>
        <w:t xml:space="preserve"> 359</w:t>
      </w:r>
      <w:r w:rsidRPr="000A6777">
        <w:rPr>
          <w:b/>
          <w:noProof/>
        </w:rPr>
        <w:t>:</w:t>
      </w:r>
      <w:r w:rsidRPr="000A6777">
        <w:rPr>
          <w:noProof/>
        </w:rPr>
        <w:t xml:space="preserve"> 391-403.</w:t>
      </w:r>
    </w:p>
    <w:p w14:paraId="1C8B20C3" w14:textId="77777777" w:rsidR="00B32AAB" w:rsidRPr="000A6777" w:rsidRDefault="00B32AAB" w:rsidP="000A6777">
      <w:pPr>
        <w:pStyle w:val="EndNoteBibliography"/>
        <w:ind w:left="720" w:hanging="720"/>
        <w:jc w:val="both"/>
        <w:rPr>
          <w:noProof/>
        </w:rPr>
      </w:pPr>
      <w:r w:rsidRPr="000A6777">
        <w:rPr>
          <w:noProof/>
        </w:rPr>
        <w:t xml:space="preserve">Sibilia, V., Netti, C., Torsello, A., Raimondo, F., Pitto, M., Giustina, A., Maccarinelli, G., Cocchi, D. (2005) Ghrelin regulates proliferation and differentiation of osteoblastic cells. </w:t>
      </w:r>
      <w:r w:rsidRPr="000A6777">
        <w:rPr>
          <w:i/>
          <w:noProof/>
        </w:rPr>
        <w:t>Journal of Endocrinology,</w:t>
      </w:r>
      <w:r w:rsidRPr="000A6777">
        <w:rPr>
          <w:noProof/>
        </w:rPr>
        <w:t xml:space="preserve"> 184</w:t>
      </w:r>
      <w:r w:rsidRPr="000A6777">
        <w:rPr>
          <w:b/>
          <w:noProof/>
        </w:rPr>
        <w:t>:</w:t>
      </w:r>
      <w:r w:rsidRPr="000A6777">
        <w:rPr>
          <w:noProof/>
        </w:rPr>
        <w:t xml:space="preserve"> 249-256.</w:t>
      </w:r>
    </w:p>
    <w:p w14:paraId="20748982" w14:textId="77777777" w:rsidR="00B32AAB" w:rsidRPr="000A6777" w:rsidRDefault="00B32AAB" w:rsidP="000A6777">
      <w:pPr>
        <w:pStyle w:val="EndNoteBibliography"/>
        <w:ind w:left="720" w:hanging="720"/>
        <w:jc w:val="both"/>
        <w:rPr>
          <w:noProof/>
        </w:rPr>
      </w:pPr>
      <w:r w:rsidRPr="000A6777">
        <w:rPr>
          <w:noProof/>
        </w:rPr>
        <w:t xml:space="preserve">Silbermann, M., Bar-Shira-Maymon, B., Coleman, R., Reznick, A., Weisman, Y., Steinhagen-Thiessen, E., Von Der Mark, H., Von Der Mark, K. (1990) Long-term physical exercise retards trabecular bone loss in lumbar vertebrae of aging female mice. </w:t>
      </w:r>
      <w:r w:rsidRPr="000A6777">
        <w:rPr>
          <w:i/>
          <w:noProof/>
        </w:rPr>
        <w:t>Calcified Tissue International,</w:t>
      </w:r>
      <w:r w:rsidRPr="000A6777">
        <w:rPr>
          <w:noProof/>
        </w:rPr>
        <w:t xml:space="preserve"> 46</w:t>
      </w:r>
      <w:r w:rsidRPr="000A6777">
        <w:rPr>
          <w:b/>
          <w:noProof/>
        </w:rPr>
        <w:t>:</w:t>
      </w:r>
      <w:r w:rsidRPr="000A6777">
        <w:rPr>
          <w:noProof/>
        </w:rPr>
        <w:t xml:space="preserve"> 80-93.</w:t>
      </w:r>
    </w:p>
    <w:p w14:paraId="31CC05F3" w14:textId="77777777" w:rsidR="00B32AAB" w:rsidRPr="000A6777" w:rsidRDefault="00B32AAB" w:rsidP="000A6777">
      <w:pPr>
        <w:pStyle w:val="EndNoteBibliography"/>
        <w:ind w:left="720" w:hanging="720"/>
        <w:jc w:val="both"/>
        <w:rPr>
          <w:noProof/>
        </w:rPr>
      </w:pPr>
      <w:r w:rsidRPr="000A6777">
        <w:rPr>
          <w:noProof/>
        </w:rPr>
        <w:t xml:space="preserve">Sims, N., A., , Martin, J., T., (2014) Coupling the activities of bone formation and resorption: a multitude of signals within the basic multicellular unit. </w:t>
      </w:r>
      <w:r w:rsidRPr="000A6777">
        <w:rPr>
          <w:i/>
          <w:noProof/>
        </w:rPr>
        <w:t>BoneKEy Reports,</w:t>
      </w:r>
      <w:r w:rsidRPr="000A6777">
        <w:rPr>
          <w:noProof/>
        </w:rPr>
        <w:t xml:space="preserve"> 3</w:t>
      </w:r>
      <w:r w:rsidRPr="000A6777">
        <w:rPr>
          <w:b/>
          <w:noProof/>
        </w:rPr>
        <w:t>:</w:t>
      </w:r>
      <w:r w:rsidRPr="000A6777">
        <w:rPr>
          <w:noProof/>
        </w:rPr>
        <w:t xml:space="preserve"> 1-10.</w:t>
      </w:r>
    </w:p>
    <w:p w14:paraId="7B0D0291" w14:textId="77777777" w:rsidR="00B32AAB" w:rsidRPr="000A6777" w:rsidRDefault="00B32AAB" w:rsidP="000A6777">
      <w:pPr>
        <w:pStyle w:val="EndNoteBibliography"/>
        <w:ind w:left="720" w:hanging="720"/>
        <w:jc w:val="both"/>
        <w:rPr>
          <w:noProof/>
        </w:rPr>
      </w:pPr>
      <w:r w:rsidRPr="000A6777">
        <w:rPr>
          <w:noProof/>
        </w:rPr>
        <w:t xml:space="preserve">Sinnesael, M., Claessens, F., Laurent, M., Dubois, V., Boonen, S., Deboel, L., Vanderschueren, D. (2012) Androgen receptor (AR) in osteocytes is important for the maintenance of male skeletal integrity: Evidence from targeted AR disruption in mouse osteocytes. </w:t>
      </w:r>
      <w:r w:rsidRPr="000A6777">
        <w:rPr>
          <w:i/>
          <w:noProof/>
        </w:rPr>
        <w:t>Journal of Bone and Mineral Research,</w:t>
      </w:r>
      <w:r w:rsidRPr="000A6777">
        <w:rPr>
          <w:noProof/>
        </w:rPr>
        <w:t xml:space="preserve"> 27</w:t>
      </w:r>
      <w:r w:rsidRPr="000A6777">
        <w:rPr>
          <w:b/>
          <w:noProof/>
        </w:rPr>
        <w:t>:</w:t>
      </w:r>
      <w:r w:rsidRPr="000A6777">
        <w:rPr>
          <w:noProof/>
        </w:rPr>
        <w:t xml:space="preserve"> 2535-2543.</w:t>
      </w:r>
    </w:p>
    <w:p w14:paraId="3D288194" w14:textId="77777777" w:rsidR="00B32AAB" w:rsidRPr="000A6777" w:rsidRDefault="00B32AAB" w:rsidP="000A6777">
      <w:pPr>
        <w:pStyle w:val="EndNoteBibliography"/>
        <w:ind w:left="720" w:hanging="720"/>
        <w:jc w:val="both"/>
        <w:rPr>
          <w:noProof/>
        </w:rPr>
      </w:pPr>
      <w:r w:rsidRPr="000A6777">
        <w:rPr>
          <w:noProof/>
        </w:rPr>
        <w:t xml:space="preserve">Skarnes, W. C., Rosen, B., West, A. P., Koutsourakis, M., Bushell, W., Iyer, V., Mujica, A., O.,, Thomas, M., Harrow, J., Cox, T., Jackson, D., Severin, J., Biggs, P., Fu, J., Nefedov, M., De Jong, P., J., , Francis, S., A., , Bradley, A. (2011) A conditional knockout resource for the genome- wide study of mouse gene function. </w:t>
      </w:r>
      <w:r w:rsidRPr="000A6777">
        <w:rPr>
          <w:i/>
          <w:noProof/>
        </w:rPr>
        <w:t>Nature,</w:t>
      </w:r>
      <w:r w:rsidRPr="000A6777">
        <w:rPr>
          <w:noProof/>
        </w:rPr>
        <w:t xml:space="preserve"> 474</w:t>
      </w:r>
      <w:r w:rsidRPr="000A6777">
        <w:rPr>
          <w:b/>
          <w:noProof/>
        </w:rPr>
        <w:t>:</w:t>
      </w:r>
      <w:r w:rsidRPr="000A6777">
        <w:rPr>
          <w:noProof/>
        </w:rPr>
        <w:t xml:space="preserve"> 337-342.</w:t>
      </w:r>
    </w:p>
    <w:p w14:paraId="55FFE79A" w14:textId="77777777" w:rsidR="00B32AAB" w:rsidRPr="000A6777" w:rsidRDefault="00B32AAB" w:rsidP="000A6777">
      <w:pPr>
        <w:pStyle w:val="EndNoteBibliography"/>
        <w:ind w:left="720" w:hanging="720"/>
        <w:jc w:val="both"/>
        <w:rPr>
          <w:noProof/>
        </w:rPr>
      </w:pPr>
      <w:r w:rsidRPr="000A6777">
        <w:rPr>
          <w:noProof/>
        </w:rPr>
        <w:t xml:space="preserve">Skerry, T. M. (1997) Mechanical loading and bone: What sort of exercise is beneficial to the skeleton? </w:t>
      </w:r>
      <w:r w:rsidRPr="000A6777">
        <w:rPr>
          <w:i/>
          <w:noProof/>
        </w:rPr>
        <w:t>Bone,</w:t>
      </w:r>
      <w:r w:rsidRPr="000A6777">
        <w:rPr>
          <w:noProof/>
        </w:rPr>
        <w:t xml:space="preserve"> 20</w:t>
      </w:r>
      <w:r w:rsidRPr="000A6777">
        <w:rPr>
          <w:b/>
          <w:noProof/>
        </w:rPr>
        <w:t>:</w:t>
      </w:r>
      <w:r w:rsidRPr="000A6777">
        <w:rPr>
          <w:noProof/>
        </w:rPr>
        <w:t xml:space="preserve"> 179-181.</w:t>
      </w:r>
    </w:p>
    <w:p w14:paraId="5564DACE" w14:textId="77777777" w:rsidR="00B32AAB" w:rsidRPr="000A6777" w:rsidRDefault="00B32AAB" w:rsidP="000A6777">
      <w:pPr>
        <w:pStyle w:val="EndNoteBibliography"/>
        <w:ind w:left="720" w:hanging="720"/>
        <w:jc w:val="both"/>
        <w:rPr>
          <w:noProof/>
        </w:rPr>
      </w:pPr>
      <w:r w:rsidRPr="000A6777">
        <w:rPr>
          <w:noProof/>
        </w:rPr>
        <w:t xml:space="preserve">Skerry, T. M. (1999) Identification of novel signaling pathways during functional adaptation of the skeleton to mechanical loading: the role of glutamate as a paracrine signaling agent in the skeleton. </w:t>
      </w:r>
      <w:r w:rsidRPr="000A6777">
        <w:rPr>
          <w:i/>
          <w:noProof/>
        </w:rPr>
        <w:t>Journal of Bone and Mineral Metabolism,</w:t>
      </w:r>
      <w:r w:rsidRPr="000A6777">
        <w:rPr>
          <w:noProof/>
        </w:rPr>
        <w:t xml:space="preserve"> 17</w:t>
      </w:r>
      <w:r w:rsidRPr="000A6777">
        <w:rPr>
          <w:b/>
          <w:noProof/>
        </w:rPr>
        <w:t>:</w:t>
      </w:r>
      <w:r w:rsidRPr="000A6777">
        <w:rPr>
          <w:noProof/>
        </w:rPr>
        <w:t xml:space="preserve"> 66-70.</w:t>
      </w:r>
    </w:p>
    <w:p w14:paraId="192B0534" w14:textId="77777777" w:rsidR="00B32AAB" w:rsidRPr="000A6777" w:rsidRDefault="00B32AAB" w:rsidP="000A6777">
      <w:pPr>
        <w:pStyle w:val="EndNoteBibliography"/>
        <w:ind w:left="720" w:hanging="720"/>
        <w:jc w:val="both"/>
        <w:rPr>
          <w:noProof/>
        </w:rPr>
      </w:pPr>
      <w:r w:rsidRPr="000A6777">
        <w:rPr>
          <w:noProof/>
        </w:rPr>
        <w:t xml:space="preserve">Skerry, T. M. (2006a) Fracture healing. </w:t>
      </w:r>
      <w:r w:rsidRPr="000A6777">
        <w:rPr>
          <w:i/>
          <w:noProof/>
        </w:rPr>
        <w:t>In:</w:t>
      </w:r>
      <w:r w:rsidRPr="000A6777">
        <w:rPr>
          <w:noProof/>
        </w:rPr>
        <w:t xml:space="preserve"> Coughlan, A. R., Miller, A. (eds.) </w:t>
      </w:r>
      <w:r w:rsidRPr="000A6777">
        <w:rPr>
          <w:i/>
          <w:noProof/>
        </w:rPr>
        <w:t>BSAVA Manual of Small Animal Fracture Repair and Management (revised reprint).</w:t>
      </w:r>
      <w:r w:rsidRPr="000A6777">
        <w:rPr>
          <w:noProof/>
        </w:rPr>
        <w:t xml:space="preserve"> British Small Animal Veterinary Association. 25-31.</w:t>
      </w:r>
    </w:p>
    <w:p w14:paraId="227352BE" w14:textId="77777777" w:rsidR="00B32AAB" w:rsidRPr="000A6777" w:rsidRDefault="00B32AAB" w:rsidP="000A6777">
      <w:pPr>
        <w:pStyle w:val="EndNoteBibliography"/>
        <w:ind w:left="720" w:hanging="720"/>
        <w:jc w:val="both"/>
        <w:rPr>
          <w:noProof/>
        </w:rPr>
      </w:pPr>
      <w:r w:rsidRPr="000A6777">
        <w:rPr>
          <w:noProof/>
        </w:rPr>
        <w:lastRenderedPageBreak/>
        <w:t xml:space="preserve">Skerry, T. M. (2006b) One mechanostat or many? Modifications of the site-specific response of bone to mechanical loading by nature and nurture. </w:t>
      </w:r>
      <w:r w:rsidRPr="000A6777">
        <w:rPr>
          <w:i/>
          <w:noProof/>
        </w:rPr>
        <w:t>Journal of Musculoskeletal Neuronal Interactions,</w:t>
      </w:r>
      <w:r w:rsidRPr="000A6777">
        <w:rPr>
          <w:noProof/>
        </w:rPr>
        <w:t xml:space="preserve"> 6</w:t>
      </w:r>
      <w:r w:rsidRPr="000A6777">
        <w:rPr>
          <w:b/>
          <w:noProof/>
        </w:rPr>
        <w:t>:</w:t>
      </w:r>
      <w:r w:rsidRPr="000A6777">
        <w:rPr>
          <w:noProof/>
        </w:rPr>
        <w:t xml:space="preserve"> 122-127.</w:t>
      </w:r>
    </w:p>
    <w:p w14:paraId="3D39F500" w14:textId="77777777" w:rsidR="00B32AAB" w:rsidRPr="000A6777" w:rsidRDefault="00B32AAB" w:rsidP="000A6777">
      <w:pPr>
        <w:pStyle w:val="EndNoteBibliography"/>
        <w:ind w:left="720" w:hanging="720"/>
        <w:jc w:val="both"/>
        <w:rPr>
          <w:noProof/>
        </w:rPr>
      </w:pPr>
      <w:r w:rsidRPr="000A6777">
        <w:rPr>
          <w:noProof/>
        </w:rPr>
        <w:t xml:space="preserve">Skerry, T. M. (2008) The response of bone to mechanical loading and disuse: Fundamental principles and influences on osteoblast/osteocyte homeostasis. </w:t>
      </w:r>
      <w:r w:rsidRPr="000A6777">
        <w:rPr>
          <w:i/>
          <w:noProof/>
        </w:rPr>
        <w:t>Archives of Biochemistry and Biophysics,</w:t>
      </w:r>
      <w:r w:rsidRPr="000A6777">
        <w:rPr>
          <w:noProof/>
        </w:rPr>
        <w:t xml:space="preserve"> 473</w:t>
      </w:r>
      <w:r w:rsidRPr="000A6777">
        <w:rPr>
          <w:b/>
          <w:noProof/>
        </w:rPr>
        <w:t>:</w:t>
      </w:r>
      <w:r w:rsidRPr="000A6777">
        <w:rPr>
          <w:noProof/>
        </w:rPr>
        <w:t xml:space="preserve"> 117-123.</w:t>
      </w:r>
    </w:p>
    <w:p w14:paraId="7378E0C1" w14:textId="77777777" w:rsidR="00B32AAB" w:rsidRPr="000A6777" w:rsidRDefault="00B32AAB" w:rsidP="000A6777">
      <w:pPr>
        <w:pStyle w:val="EndNoteBibliography"/>
        <w:ind w:left="720" w:hanging="720"/>
        <w:jc w:val="both"/>
        <w:rPr>
          <w:noProof/>
        </w:rPr>
      </w:pPr>
      <w:r w:rsidRPr="000A6777">
        <w:rPr>
          <w:noProof/>
        </w:rPr>
        <w:t xml:space="preserve">Skerry, T. M., Bitensky, L., Chayen, J., Lanyon, L. E. (1989) Early strain-related changes in enzyme-activity in osteocytes following bone loading in vivo. </w:t>
      </w:r>
      <w:r w:rsidRPr="000A6777">
        <w:rPr>
          <w:i/>
          <w:noProof/>
        </w:rPr>
        <w:t>Journal of Bone and Mineral Research,</w:t>
      </w:r>
      <w:r w:rsidRPr="000A6777">
        <w:rPr>
          <w:noProof/>
        </w:rPr>
        <w:t xml:space="preserve"> 4</w:t>
      </w:r>
      <w:r w:rsidRPr="000A6777">
        <w:rPr>
          <w:b/>
          <w:noProof/>
        </w:rPr>
        <w:t>:</w:t>
      </w:r>
      <w:r w:rsidRPr="000A6777">
        <w:rPr>
          <w:noProof/>
        </w:rPr>
        <w:t xml:space="preserve"> 783-788.</w:t>
      </w:r>
    </w:p>
    <w:p w14:paraId="7F53518F" w14:textId="77777777" w:rsidR="00B32AAB" w:rsidRPr="000A6777" w:rsidRDefault="00B32AAB" w:rsidP="000A6777">
      <w:pPr>
        <w:pStyle w:val="EndNoteBibliography"/>
        <w:ind w:left="720" w:hanging="720"/>
        <w:jc w:val="both"/>
        <w:rPr>
          <w:noProof/>
        </w:rPr>
      </w:pPr>
      <w:r w:rsidRPr="000A6777">
        <w:rPr>
          <w:noProof/>
        </w:rPr>
        <w:t xml:space="preserve">Skerry, T. M., Lanyon, L. E. (1995) Interruption of disuse by short duration walking exercise does not prevent bone loss in the sheep calcaneus. </w:t>
      </w:r>
      <w:r w:rsidRPr="000A6777">
        <w:rPr>
          <w:i/>
          <w:noProof/>
        </w:rPr>
        <w:t>Bone,</w:t>
      </w:r>
      <w:r w:rsidRPr="000A6777">
        <w:rPr>
          <w:noProof/>
        </w:rPr>
        <w:t xml:space="preserve"> 16</w:t>
      </w:r>
      <w:r w:rsidRPr="000A6777">
        <w:rPr>
          <w:b/>
          <w:noProof/>
        </w:rPr>
        <w:t>:</w:t>
      </w:r>
      <w:r w:rsidRPr="000A6777">
        <w:rPr>
          <w:noProof/>
        </w:rPr>
        <w:t xml:space="preserve"> 269-274.</w:t>
      </w:r>
    </w:p>
    <w:p w14:paraId="3A6CC81F" w14:textId="77777777" w:rsidR="00B32AAB" w:rsidRPr="000A6777" w:rsidRDefault="00B32AAB" w:rsidP="000A6777">
      <w:pPr>
        <w:pStyle w:val="EndNoteBibliography"/>
        <w:ind w:left="720" w:hanging="720"/>
        <w:jc w:val="both"/>
        <w:rPr>
          <w:noProof/>
        </w:rPr>
      </w:pPr>
      <w:r w:rsidRPr="000A6777">
        <w:rPr>
          <w:noProof/>
        </w:rPr>
        <w:t xml:space="preserve">Skerry, T. M., Lanyon, L. E. (2009) Systemic and Contralateral Responses to Loading of Bones. </w:t>
      </w:r>
      <w:r w:rsidRPr="000A6777">
        <w:rPr>
          <w:i/>
          <w:noProof/>
        </w:rPr>
        <w:t>Journal of Bone and Mineral Research,</w:t>
      </w:r>
      <w:r w:rsidRPr="000A6777">
        <w:rPr>
          <w:noProof/>
        </w:rPr>
        <w:t xml:space="preserve"> 24</w:t>
      </w:r>
      <w:r w:rsidRPr="000A6777">
        <w:rPr>
          <w:b/>
          <w:noProof/>
        </w:rPr>
        <w:t>:</w:t>
      </w:r>
      <w:r w:rsidRPr="000A6777">
        <w:rPr>
          <w:noProof/>
        </w:rPr>
        <w:t xml:space="preserve"> 753-753.</w:t>
      </w:r>
    </w:p>
    <w:p w14:paraId="7A4619C3" w14:textId="77777777" w:rsidR="00B32AAB" w:rsidRPr="000A6777" w:rsidRDefault="00B32AAB" w:rsidP="000A6777">
      <w:pPr>
        <w:pStyle w:val="EndNoteBibliography"/>
        <w:ind w:left="720" w:hanging="720"/>
        <w:jc w:val="both"/>
        <w:rPr>
          <w:noProof/>
        </w:rPr>
      </w:pPr>
      <w:r w:rsidRPr="000A6777">
        <w:rPr>
          <w:noProof/>
        </w:rPr>
        <w:t xml:space="preserve">Small, C. J., Bloom, S. R. (2004) Gut hormones and the control of appetite. </w:t>
      </w:r>
      <w:r w:rsidRPr="000A6777">
        <w:rPr>
          <w:i/>
          <w:noProof/>
        </w:rPr>
        <w:t>Trends in Endocrinology and Metabolism,</w:t>
      </w:r>
      <w:r w:rsidRPr="000A6777">
        <w:rPr>
          <w:noProof/>
        </w:rPr>
        <w:t xml:space="preserve"> 15</w:t>
      </w:r>
      <w:r w:rsidRPr="000A6777">
        <w:rPr>
          <w:b/>
          <w:noProof/>
        </w:rPr>
        <w:t>:</w:t>
      </w:r>
      <w:r w:rsidRPr="000A6777">
        <w:rPr>
          <w:noProof/>
        </w:rPr>
        <w:t xml:space="preserve"> 259-263.</w:t>
      </w:r>
    </w:p>
    <w:p w14:paraId="6E573922" w14:textId="77777777" w:rsidR="00B32AAB" w:rsidRPr="000A6777" w:rsidRDefault="00B32AAB" w:rsidP="000A6777">
      <w:pPr>
        <w:pStyle w:val="EndNoteBibliography"/>
        <w:ind w:left="720" w:hanging="720"/>
        <w:jc w:val="both"/>
        <w:rPr>
          <w:noProof/>
        </w:rPr>
      </w:pPr>
      <w:r w:rsidRPr="000A6777">
        <w:rPr>
          <w:noProof/>
        </w:rPr>
        <w:t>Smith, R. G., Sun, Y., Jiang, H., Albarran</w:t>
      </w:r>
      <w:r w:rsidRPr="000A6777">
        <w:rPr>
          <w:rFonts w:ascii="American Typewriter Condensed" w:hAnsi="American Typewriter Condensed" w:cs="American Typewriter Condensed"/>
          <w:noProof/>
        </w:rPr>
        <w:t>‐</w:t>
      </w:r>
      <w:r w:rsidRPr="000A6777">
        <w:rPr>
          <w:noProof/>
        </w:rPr>
        <w:t>Zeckler, R., Timchenko, N. (2007) Ghrelin Receptor (GHS</w:t>
      </w:r>
      <w:r w:rsidRPr="000A6777">
        <w:rPr>
          <w:rFonts w:ascii="American Typewriter Condensed" w:hAnsi="American Typewriter Condensed" w:cs="American Typewriter Condensed"/>
          <w:noProof/>
        </w:rPr>
        <w:t>‐</w:t>
      </w:r>
      <w:r w:rsidRPr="000A6777">
        <w:rPr>
          <w:noProof/>
        </w:rPr>
        <w:t xml:space="preserve">R1A) Agonists Show Potential as Interventive Agents during Aging. </w:t>
      </w:r>
      <w:r w:rsidRPr="000A6777">
        <w:rPr>
          <w:i/>
          <w:noProof/>
        </w:rPr>
        <w:t>Annals of the New York Academy of Sciences,</w:t>
      </w:r>
      <w:r w:rsidRPr="000A6777">
        <w:rPr>
          <w:noProof/>
        </w:rPr>
        <w:t xml:space="preserve"> 1119</w:t>
      </w:r>
      <w:r w:rsidRPr="000A6777">
        <w:rPr>
          <w:b/>
          <w:noProof/>
        </w:rPr>
        <w:t>:</w:t>
      </w:r>
      <w:r w:rsidRPr="000A6777">
        <w:rPr>
          <w:noProof/>
        </w:rPr>
        <w:t xml:space="preserve"> 147-164.</w:t>
      </w:r>
    </w:p>
    <w:p w14:paraId="2337D1C0" w14:textId="77777777" w:rsidR="00B32AAB" w:rsidRPr="000A6777" w:rsidRDefault="00B32AAB" w:rsidP="000A6777">
      <w:pPr>
        <w:pStyle w:val="EndNoteBibliography"/>
        <w:ind w:left="720" w:hanging="720"/>
        <w:jc w:val="both"/>
        <w:rPr>
          <w:noProof/>
        </w:rPr>
      </w:pPr>
      <w:r w:rsidRPr="000A6777">
        <w:rPr>
          <w:noProof/>
        </w:rPr>
        <w:t xml:space="preserve">Sobhani, A., Moradi, F., Naraghi, T. A., Ansari, W., Moghadsi, M., Kashani, R. (2004) Estimation of glucocorticoid effects on bone metabolism markers and bone mineral density in rats. </w:t>
      </w:r>
      <w:r w:rsidRPr="000A6777">
        <w:rPr>
          <w:i/>
          <w:noProof/>
        </w:rPr>
        <w:t>Bone,</w:t>
      </w:r>
      <w:r w:rsidRPr="000A6777">
        <w:rPr>
          <w:noProof/>
        </w:rPr>
        <w:t xml:space="preserve"> 34</w:t>
      </w:r>
      <w:r w:rsidRPr="000A6777">
        <w:rPr>
          <w:b/>
          <w:noProof/>
        </w:rPr>
        <w:t>:</w:t>
      </w:r>
      <w:r w:rsidRPr="000A6777">
        <w:rPr>
          <w:noProof/>
        </w:rPr>
        <w:t xml:space="preserve"> S43-S44.</w:t>
      </w:r>
    </w:p>
    <w:p w14:paraId="2F768B17" w14:textId="77777777" w:rsidR="00B32AAB" w:rsidRPr="000A6777" w:rsidRDefault="00B32AAB" w:rsidP="000A6777">
      <w:pPr>
        <w:pStyle w:val="EndNoteBibliography"/>
        <w:ind w:left="720" w:hanging="720"/>
        <w:jc w:val="both"/>
        <w:rPr>
          <w:noProof/>
        </w:rPr>
      </w:pPr>
      <w:r w:rsidRPr="000A6777">
        <w:rPr>
          <w:noProof/>
        </w:rPr>
        <w:t xml:space="preserve">Somerville, J., Aspden, R., Armour, K., Reid, D. (2004) Growth of C57Bl/ 6 Mice and the Material and Mechanical Properties of Cortical Bone from the Tibia. </w:t>
      </w:r>
      <w:r w:rsidRPr="000A6777">
        <w:rPr>
          <w:i/>
          <w:noProof/>
        </w:rPr>
        <w:t>Calcified Tissue International,</w:t>
      </w:r>
      <w:r w:rsidRPr="000A6777">
        <w:rPr>
          <w:noProof/>
        </w:rPr>
        <w:t xml:space="preserve"> 74</w:t>
      </w:r>
      <w:r w:rsidRPr="000A6777">
        <w:rPr>
          <w:b/>
          <w:noProof/>
        </w:rPr>
        <w:t>:</w:t>
      </w:r>
      <w:r w:rsidRPr="000A6777">
        <w:rPr>
          <w:noProof/>
        </w:rPr>
        <w:t xml:space="preserve"> 469-475.</w:t>
      </w:r>
    </w:p>
    <w:p w14:paraId="71C2D11C" w14:textId="77777777" w:rsidR="00B32AAB" w:rsidRPr="000A6777" w:rsidRDefault="00B32AAB" w:rsidP="000A6777">
      <w:pPr>
        <w:pStyle w:val="EndNoteBibliography"/>
        <w:ind w:left="720" w:hanging="720"/>
        <w:jc w:val="both"/>
        <w:rPr>
          <w:noProof/>
        </w:rPr>
      </w:pPr>
      <w:r w:rsidRPr="000A6777">
        <w:rPr>
          <w:noProof/>
        </w:rPr>
        <w:t xml:space="preserve">Speakman, J. R., Mitchell, S. E. (2011) Caloric restriction. </w:t>
      </w:r>
      <w:r w:rsidR="00F51F95">
        <w:rPr>
          <w:i/>
          <w:noProof/>
        </w:rPr>
        <w:t>Molecular Aspects of M</w:t>
      </w:r>
      <w:r w:rsidRPr="000A6777">
        <w:rPr>
          <w:i/>
          <w:noProof/>
        </w:rPr>
        <w:t>edicine,</w:t>
      </w:r>
      <w:r w:rsidRPr="000A6777">
        <w:rPr>
          <w:noProof/>
        </w:rPr>
        <w:t xml:space="preserve"> 32</w:t>
      </w:r>
      <w:r w:rsidRPr="000A6777">
        <w:rPr>
          <w:b/>
          <w:noProof/>
        </w:rPr>
        <w:t>:</w:t>
      </w:r>
      <w:r w:rsidRPr="000A6777">
        <w:rPr>
          <w:noProof/>
        </w:rPr>
        <w:t xml:space="preserve"> 159-221.</w:t>
      </w:r>
    </w:p>
    <w:p w14:paraId="59DD249E" w14:textId="77777777" w:rsidR="00B32AAB" w:rsidRPr="000A6777" w:rsidRDefault="00B32AAB" w:rsidP="000A6777">
      <w:pPr>
        <w:pStyle w:val="EndNoteBibliography"/>
        <w:ind w:left="720" w:hanging="720"/>
        <w:jc w:val="both"/>
        <w:rPr>
          <w:noProof/>
        </w:rPr>
      </w:pPr>
      <w:r w:rsidRPr="000A6777">
        <w:rPr>
          <w:noProof/>
        </w:rPr>
        <w:t xml:space="preserve">Spector, E. R. S., Scott M.; Sibonga, Jean D. (2009) Skeletal Effects of Long-Duration Head-Down Bed Rest. </w:t>
      </w:r>
      <w:r w:rsidRPr="000A6777">
        <w:rPr>
          <w:i/>
          <w:noProof/>
        </w:rPr>
        <w:t>Aviation, Space, and Environmental Medicine,</w:t>
      </w:r>
      <w:r w:rsidRPr="000A6777">
        <w:rPr>
          <w:noProof/>
        </w:rPr>
        <w:t xml:space="preserve"> 80(5,Suppl.)</w:t>
      </w:r>
      <w:r w:rsidRPr="000A6777">
        <w:rPr>
          <w:b/>
          <w:noProof/>
        </w:rPr>
        <w:t>:</w:t>
      </w:r>
      <w:r w:rsidRPr="000A6777">
        <w:rPr>
          <w:noProof/>
        </w:rPr>
        <w:t xml:space="preserve"> A23–A28.</w:t>
      </w:r>
    </w:p>
    <w:p w14:paraId="13D2AE92" w14:textId="77777777" w:rsidR="00B32AAB" w:rsidRPr="000A6777" w:rsidRDefault="00B32AAB" w:rsidP="000A6777">
      <w:pPr>
        <w:pStyle w:val="EndNoteBibliography"/>
        <w:ind w:left="720" w:hanging="720"/>
        <w:jc w:val="both"/>
        <w:rPr>
          <w:noProof/>
        </w:rPr>
      </w:pPr>
      <w:r w:rsidRPr="000A6777">
        <w:rPr>
          <w:noProof/>
        </w:rPr>
        <w:t xml:space="preserve">Srinivasan, S., Agans, S. C., King, K. A., Moy, N. Y., Poliachik, S. L., Gross, T. S. (2003) Enabling bone formation in the aged skeleton via rest-inserted mechanical loading. </w:t>
      </w:r>
      <w:r w:rsidRPr="000A6777">
        <w:rPr>
          <w:i/>
          <w:noProof/>
        </w:rPr>
        <w:t>Bone,</w:t>
      </w:r>
      <w:r w:rsidRPr="000A6777">
        <w:rPr>
          <w:noProof/>
        </w:rPr>
        <w:t xml:space="preserve"> 33</w:t>
      </w:r>
      <w:r w:rsidRPr="000A6777">
        <w:rPr>
          <w:b/>
          <w:noProof/>
        </w:rPr>
        <w:t>:</w:t>
      </w:r>
      <w:r w:rsidRPr="000A6777">
        <w:rPr>
          <w:noProof/>
        </w:rPr>
        <w:t xml:space="preserve"> 946-955.</w:t>
      </w:r>
    </w:p>
    <w:p w14:paraId="147FE378" w14:textId="77777777" w:rsidR="00B32AAB" w:rsidRPr="000A6777" w:rsidRDefault="00B32AAB" w:rsidP="000A6777">
      <w:pPr>
        <w:pStyle w:val="EndNoteBibliography"/>
        <w:ind w:left="720" w:hanging="720"/>
        <w:jc w:val="both"/>
        <w:rPr>
          <w:noProof/>
        </w:rPr>
      </w:pPr>
      <w:r w:rsidRPr="000A6777">
        <w:rPr>
          <w:noProof/>
        </w:rPr>
        <w:t xml:space="preserve">Srinivasan, S., Weimer, D. A., Agans, S. C., Bain, S. D., Gross, T. S. (2002) Low-magnitude mechanical loading becomes osteogenic when rest is inserted between each load cycle. </w:t>
      </w:r>
      <w:r w:rsidRPr="000A6777">
        <w:rPr>
          <w:i/>
          <w:noProof/>
        </w:rPr>
        <w:t>Journal of  Bone and Mineral Research,</w:t>
      </w:r>
      <w:r w:rsidRPr="000A6777">
        <w:rPr>
          <w:noProof/>
        </w:rPr>
        <w:t xml:space="preserve"> 17</w:t>
      </w:r>
      <w:r w:rsidRPr="000A6777">
        <w:rPr>
          <w:b/>
          <w:noProof/>
        </w:rPr>
        <w:t>:</w:t>
      </w:r>
      <w:r w:rsidRPr="000A6777">
        <w:rPr>
          <w:noProof/>
        </w:rPr>
        <w:t xml:space="preserve"> 1613-1620.</w:t>
      </w:r>
    </w:p>
    <w:p w14:paraId="09463090" w14:textId="77777777" w:rsidR="00B32AAB" w:rsidRPr="000A6777" w:rsidRDefault="00B32AAB" w:rsidP="000A6777">
      <w:pPr>
        <w:pStyle w:val="EndNoteBibliography"/>
        <w:ind w:left="720" w:hanging="720"/>
        <w:jc w:val="both"/>
        <w:rPr>
          <w:noProof/>
        </w:rPr>
      </w:pPr>
      <w:r w:rsidRPr="000A6777">
        <w:rPr>
          <w:noProof/>
        </w:rPr>
        <w:lastRenderedPageBreak/>
        <w:t xml:space="preserve">Stark, M., Lukaszuk, J., Prawitz, A., Salacinski, A. (2012) Protein timing and its effects on muscular hypertrophy and strength in individuals engaged in weight-training. </w:t>
      </w:r>
      <w:r w:rsidRPr="000A6777">
        <w:rPr>
          <w:i/>
          <w:noProof/>
        </w:rPr>
        <w:t>Journal of the International Society of Sports Nutrition,</w:t>
      </w:r>
      <w:r w:rsidRPr="000A6777">
        <w:rPr>
          <w:noProof/>
        </w:rPr>
        <w:t xml:space="preserve"> 9</w:t>
      </w:r>
      <w:r w:rsidRPr="000A6777">
        <w:rPr>
          <w:b/>
          <w:noProof/>
        </w:rPr>
        <w:t>:</w:t>
      </w:r>
      <w:r w:rsidRPr="000A6777">
        <w:rPr>
          <w:noProof/>
        </w:rPr>
        <w:t xml:space="preserve"> 1-8.</w:t>
      </w:r>
    </w:p>
    <w:p w14:paraId="64C1C01A" w14:textId="77777777" w:rsidR="00B32AAB" w:rsidRPr="000A6777" w:rsidRDefault="00B32AAB" w:rsidP="000A6777">
      <w:pPr>
        <w:pStyle w:val="EndNoteBibliography"/>
        <w:ind w:left="720" w:hanging="720"/>
        <w:jc w:val="both"/>
        <w:rPr>
          <w:noProof/>
        </w:rPr>
      </w:pPr>
      <w:r w:rsidRPr="000A6777">
        <w:rPr>
          <w:noProof/>
        </w:rPr>
        <w:t xml:space="preserve">Stenholm, S., Metter, E. J., Roth, G. S., Ingram, D. K., Mattison, J. A., Taub, D. D., Ferrucci, L. (2011) Relationship between plasma ghrelin, insulin, leptin, interleukin 6, adiponectin, testosterone and longevity in the Baltimore Longitudinal Study of Aging. </w:t>
      </w:r>
      <w:r w:rsidR="00F51F95">
        <w:rPr>
          <w:i/>
          <w:noProof/>
        </w:rPr>
        <w:t>Aging Clinical and Experimental R</w:t>
      </w:r>
      <w:r w:rsidRPr="000A6777">
        <w:rPr>
          <w:i/>
          <w:noProof/>
        </w:rPr>
        <w:t>esearch,</w:t>
      </w:r>
      <w:r w:rsidRPr="000A6777">
        <w:rPr>
          <w:noProof/>
        </w:rPr>
        <w:t xml:space="preserve"> 23</w:t>
      </w:r>
      <w:r w:rsidRPr="000A6777">
        <w:rPr>
          <w:b/>
          <w:noProof/>
        </w:rPr>
        <w:t>:</w:t>
      </w:r>
      <w:r w:rsidRPr="000A6777">
        <w:rPr>
          <w:noProof/>
        </w:rPr>
        <w:t xml:space="preserve"> 153-158.</w:t>
      </w:r>
    </w:p>
    <w:p w14:paraId="77F3A3B2" w14:textId="77777777" w:rsidR="00B32AAB" w:rsidRPr="000A6777" w:rsidRDefault="00B32AAB" w:rsidP="000A6777">
      <w:pPr>
        <w:pStyle w:val="EndNoteBibliography"/>
        <w:ind w:left="720" w:hanging="720"/>
        <w:jc w:val="both"/>
        <w:rPr>
          <w:noProof/>
        </w:rPr>
      </w:pPr>
      <w:r w:rsidRPr="000A6777">
        <w:rPr>
          <w:noProof/>
        </w:rPr>
        <w:t xml:space="preserve">Stephens, T., Basinski, M., Bristow, P., Bue-Valleskey, J. (1995) The role of neuropeptide Y in the antiobesity action of the obese gene product. </w:t>
      </w:r>
      <w:r w:rsidRPr="000A6777">
        <w:rPr>
          <w:i/>
          <w:noProof/>
        </w:rPr>
        <w:t>Nature,</w:t>
      </w:r>
      <w:r w:rsidRPr="000A6777">
        <w:rPr>
          <w:noProof/>
        </w:rPr>
        <w:t xml:space="preserve"> 377</w:t>
      </w:r>
      <w:r w:rsidRPr="000A6777">
        <w:rPr>
          <w:b/>
          <w:noProof/>
        </w:rPr>
        <w:t>:</w:t>
      </w:r>
      <w:r w:rsidRPr="000A6777">
        <w:rPr>
          <w:noProof/>
        </w:rPr>
        <w:t xml:space="preserve"> 530-532.</w:t>
      </w:r>
    </w:p>
    <w:p w14:paraId="58DBE656" w14:textId="77777777" w:rsidR="00B32AAB" w:rsidRPr="000A6777" w:rsidRDefault="00B32AAB" w:rsidP="000A6777">
      <w:pPr>
        <w:pStyle w:val="EndNoteBibliography"/>
        <w:ind w:left="720" w:hanging="720"/>
        <w:jc w:val="both"/>
        <w:rPr>
          <w:noProof/>
        </w:rPr>
      </w:pPr>
      <w:r w:rsidRPr="000A6777">
        <w:rPr>
          <w:noProof/>
        </w:rPr>
        <w:t xml:space="preserve">Stolzing, A., Scutt, A. (2006) Age-related impairment of mesenchymal progenitor cell function. </w:t>
      </w:r>
      <w:r w:rsidRPr="000A6777">
        <w:rPr>
          <w:i/>
          <w:noProof/>
        </w:rPr>
        <w:t>Aging Cell,</w:t>
      </w:r>
      <w:r w:rsidRPr="000A6777">
        <w:rPr>
          <w:noProof/>
        </w:rPr>
        <w:t xml:space="preserve"> 5</w:t>
      </w:r>
      <w:r w:rsidRPr="000A6777">
        <w:rPr>
          <w:b/>
          <w:noProof/>
        </w:rPr>
        <w:t>:</w:t>
      </w:r>
      <w:r w:rsidRPr="000A6777">
        <w:rPr>
          <w:noProof/>
        </w:rPr>
        <w:t xml:space="preserve"> 213-224.</w:t>
      </w:r>
    </w:p>
    <w:p w14:paraId="0720690E" w14:textId="77777777" w:rsidR="00B32AAB" w:rsidRPr="000A6777" w:rsidRDefault="00B32AAB" w:rsidP="000A6777">
      <w:pPr>
        <w:pStyle w:val="EndNoteBibliography"/>
        <w:ind w:left="720" w:hanging="720"/>
        <w:jc w:val="both"/>
        <w:rPr>
          <w:noProof/>
        </w:rPr>
      </w:pPr>
      <w:r w:rsidRPr="000A6777">
        <w:rPr>
          <w:noProof/>
        </w:rPr>
        <w:t xml:space="preserve">Storheim, K., Zwart, J.-A. (2014) Musculoskeletal disorders and the Global Burden of Disease study. </w:t>
      </w:r>
      <w:r w:rsidRPr="000A6777">
        <w:rPr>
          <w:i/>
          <w:noProof/>
        </w:rPr>
        <w:t>Annals of the Rheumatic Diseases,</w:t>
      </w:r>
      <w:r w:rsidRPr="000A6777">
        <w:rPr>
          <w:noProof/>
        </w:rPr>
        <w:t xml:space="preserve"> 73</w:t>
      </w:r>
      <w:r w:rsidRPr="000A6777">
        <w:rPr>
          <w:b/>
          <w:noProof/>
        </w:rPr>
        <w:t>:</w:t>
      </w:r>
      <w:r w:rsidRPr="000A6777">
        <w:rPr>
          <w:noProof/>
        </w:rPr>
        <w:t xml:space="preserve"> 949-950.</w:t>
      </w:r>
    </w:p>
    <w:p w14:paraId="016B0293" w14:textId="77777777" w:rsidR="00B32AAB" w:rsidRPr="000A6777" w:rsidRDefault="00B32AAB" w:rsidP="000A6777">
      <w:pPr>
        <w:pStyle w:val="EndNoteBibliography"/>
        <w:ind w:left="720" w:hanging="720"/>
        <w:jc w:val="both"/>
        <w:rPr>
          <w:noProof/>
        </w:rPr>
      </w:pPr>
      <w:r w:rsidRPr="000A6777">
        <w:rPr>
          <w:noProof/>
        </w:rPr>
        <w:t xml:space="preserve">Strotmeyer, E. S., Cauley, J. A., Schwartz, A. V., Nevitt, M. C., Resnick, H. E., Zmuda, J. M., Bauer, D. C., Tylavsky, F. A., De Rekeneire, N., Harris, T. B., Newman, A. B. (2004) Diabetes Is Associated Independently of Body Composition With BMD and Bone Volume in Older White and Black Men and Women: The Health, Aging, and Body Composition Study. </w:t>
      </w:r>
      <w:r w:rsidRPr="000A6777">
        <w:rPr>
          <w:i/>
          <w:noProof/>
        </w:rPr>
        <w:t>Journal of Bone and Mineral Research,</w:t>
      </w:r>
      <w:r w:rsidRPr="000A6777">
        <w:rPr>
          <w:noProof/>
        </w:rPr>
        <w:t xml:space="preserve"> 19</w:t>
      </w:r>
      <w:r w:rsidRPr="000A6777">
        <w:rPr>
          <w:b/>
          <w:noProof/>
        </w:rPr>
        <w:t>:</w:t>
      </w:r>
      <w:r w:rsidRPr="000A6777">
        <w:rPr>
          <w:noProof/>
        </w:rPr>
        <w:t xml:space="preserve"> 1084-1091.</w:t>
      </w:r>
    </w:p>
    <w:p w14:paraId="014E75A2" w14:textId="77777777" w:rsidR="00B32AAB" w:rsidRPr="000A6777" w:rsidRDefault="00B32AAB" w:rsidP="000A6777">
      <w:pPr>
        <w:pStyle w:val="EndNoteBibliography"/>
        <w:ind w:left="720" w:hanging="720"/>
        <w:jc w:val="both"/>
        <w:rPr>
          <w:noProof/>
        </w:rPr>
      </w:pPr>
      <w:r w:rsidRPr="000A6777">
        <w:rPr>
          <w:noProof/>
        </w:rPr>
        <w:t xml:space="preserve">Sugiyama, T., Meakin, L. B., Browne, W. J., Galea, G. L., Price, J. S., Lanyon, L. E. (2012) Bones' adaptive response to mechanical loading is essentially linear between the low strains associated with disuse and the high strains associated with the lamellar/woven bone transition. </w:t>
      </w:r>
      <w:r w:rsidRPr="000A6777">
        <w:rPr>
          <w:i/>
          <w:noProof/>
        </w:rPr>
        <w:t>Journal of Bone and Mineral Research,</w:t>
      </w:r>
      <w:r w:rsidRPr="000A6777">
        <w:rPr>
          <w:noProof/>
        </w:rPr>
        <w:t xml:space="preserve"> 27</w:t>
      </w:r>
      <w:r w:rsidRPr="000A6777">
        <w:rPr>
          <w:b/>
          <w:noProof/>
        </w:rPr>
        <w:t>:</w:t>
      </w:r>
      <w:r w:rsidRPr="000A6777">
        <w:rPr>
          <w:noProof/>
        </w:rPr>
        <w:t xml:space="preserve"> 1784-1793.</w:t>
      </w:r>
    </w:p>
    <w:p w14:paraId="3A036C1E" w14:textId="77777777" w:rsidR="00B32AAB" w:rsidRPr="000A6777" w:rsidRDefault="00B32AAB" w:rsidP="000A6777">
      <w:pPr>
        <w:pStyle w:val="EndNoteBibliography"/>
        <w:ind w:left="720" w:hanging="720"/>
        <w:jc w:val="both"/>
        <w:rPr>
          <w:noProof/>
        </w:rPr>
      </w:pPr>
      <w:r w:rsidRPr="000A6777">
        <w:rPr>
          <w:noProof/>
        </w:rPr>
        <w:t xml:space="preserve">Sugiyama, T., Price, J. S., Lanyon, L. E. (2010) Functional adaptation to mechanical loading in both cortical and cancellous bone is controlled locally and is confined to the loaded bones. </w:t>
      </w:r>
      <w:r w:rsidRPr="000A6777">
        <w:rPr>
          <w:i/>
          <w:noProof/>
        </w:rPr>
        <w:t>Bone,</w:t>
      </w:r>
      <w:r w:rsidRPr="000A6777">
        <w:rPr>
          <w:noProof/>
        </w:rPr>
        <w:t xml:space="preserve"> 46</w:t>
      </w:r>
      <w:r w:rsidRPr="000A6777">
        <w:rPr>
          <w:b/>
          <w:noProof/>
        </w:rPr>
        <w:t>:</w:t>
      </w:r>
      <w:r w:rsidRPr="000A6777">
        <w:rPr>
          <w:noProof/>
        </w:rPr>
        <w:t xml:space="preserve"> 314-321.</w:t>
      </w:r>
    </w:p>
    <w:p w14:paraId="30579CF1" w14:textId="77777777" w:rsidR="00B32AAB" w:rsidRPr="000A6777" w:rsidRDefault="00B32AAB" w:rsidP="000A6777">
      <w:pPr>
        <w:pStyle w:val="EndNoteBibliography"/>
        <w:ind w:left="720" w:hanging="720"/>
        <w:jc w:val="both"/>
        <w:rPr>
          <w:noProof/>
        </w:rPr>
      </w:pPr>
      <w:r w:rsidRPr="000A6777">
        <w:rPr>
          <w:noProof/>
        </w:rPr>
        <w:t xml:space="preserve">Sugiyama, T., Saxon, L. K., Zaman, G., Moustafa, A., Sunters, A., Price, J. S., Lanyon, L. E. (2008) Mechanical loading enhances the anabolic effects of intermittent parathyroid hormone (1–34) on trabecular and cortical bone in mice. </w:t>
      </w:r>
      <w:r w:rsidRPr="000A6777">
        <w:rPr>
          <w:i/>
          <w:noProof/>
        </w:rPr>
        <w:t>Bone,</w:t>
      </w:r>
      <w:r w:rsidRPr="000A6777">
        <w:rPr>
          <w:noProof/>
        </w:rPr>
        <w:t xml:space="preserve"> 43</w:t>
      </w:r>
      <w:r w:rsidRPr="000A6777">
        <w:rPr>
          <w:b/>
          <w:noProof/>
        </w:rPr>
        <w:t>:</w:t>
      </w:r>
      <w:r w:rsidRPr="000A6777">
        <w:rPr>
          <w:noProof/>
        </w:rPr>
        <w:t xml:space="preserve"> 238-248.</w:t>
      </w:r>
    </w:p>
    <w:p w14:paraId="2C2C9335" w14:textId="77777777" w:rsidR="00B32AAB" w:rsidRPr="000A6777" w:rsidRDefault="00B32AAB" w:rsidP="000A6777">
      <w:pPr>
        <w:pStyle w:val="EndNoteBibliography"/>
        <w:ind w:left="720" w:hanging="720"/>
        <w:jc w:val="both"/>
        <w:rPr>
          <w:noProof/>
        </w:rPr>
      </w:pPr>
      <w:r w:rsidRPr="000A6777">
        <w:rPr>
          <w:noProof/>
        </w:rPr>
        <w:t xml:space="preserve">Sun, Y., Ahmed, S., Smith, R. (2003) Deletion of Ghrelin Impairs neither Growth nor Appetite. </w:t>
      </w:r>
      <w:r w:rsidRPr="000A6777">
        <w:rPr>
          <w:i/>
          <w:noProof/>
        </w:rPr>
        <w:t>Molecular and Cellular Biology,</w:t>
      </w:r>
      <w:r w:rsidRPr="000A6777">
        <w:rPr>
          <w:noProof/>
        </w:rPr>
        <w:t xml:space="preserve"> 23</w:t>
      </w:r>
      <w:r w:rsidRPr="000A6777">
        <w:rPr>
          <w:b/>
          <w:noProof/>
        </w:rPr>
        <w:t>:</w:t>
      </w:r>
      <w:r w:rsidRPr="000A6777">
        <w:rPr>
          <w:noProof/>
        </w:rPr>
        <w:t xml:space="preserve"> 7973-7981.</w:t>
      </w:r>
    </w:p>
    <w:p w14:paraId="451820EF" w14:textId="77777777" w:rsidR="00B32AAB" w:rsidRPr="000A6777" w:rsidRDefault="00B32AAB" w:rsidP="000A6777">
      <w:pPr>
        <w:pStyle w:val="EndNoteBibliography"/>
        <w:ind w:left="720" w:hanging="720"/>
        <w:jc w:val="both"/>
        <w:rPr>
          <w:noProof/>
        </w:rPr>
      </w:pPr>
      <w:r w:rsidRPr="000A6777">
        <w:rPr>
          <w:noProof/>
        </w:rPr>
        <w:t xml:space="preserve">Suzuki, H., Amizuka, N., Oda, K., Li, M., Yoshie, H., Ohshima, H., Noda, M., Maeda, T. (2005) Histological evidence of the altered distribution of osteocytes and bone </w:t>
      </w:r>
      <w:r w:rsidRPr="000A6777">
        <w:rPr>
          <w:noProof/>
        </w:rPr>
        <w:lastRenderedPageBreak/>
        <w:t xml:space="preserve">matrix synthesis in klotho-deficient mice. </w:t>
      </w:r>
      <w:r w:rsidRPr="000A6777">
        <w:rPr>
          <w:i/>
          <w:noProof/>
        </w:rPr>
        <w:t>Archives of Histology and Cytology,</w:t>
      </w:r>
      <w:r w:rsidRPr="000A6777">
        <w:rPr>
          <w:noProof/>
        </w:rPr>
        <w:t xml:space="preserve"> 68</w:t>
      </w:r>
      <w:r w:rsidRPr="000A6777">
        <w:rPr>
          <w:b/>
          <w:noProof/>
        </w:rPr>
        <w:t>:</w:t>
      </w:r>
      <w:r w:rsidRPr="000A6777">
        <w:rPr>
          <w:noProof/>
        </w:rPr>
        <w:t xml:space="preserve"> 371-381.</w:t>
      </w:r>
    </w:p>
    <w:p w14:paraId="49B45202" w14:textId="77777777" w:rsidR="00B32AAB" w:rsidRPr="000A6777" w:rsidRDefault="00B32AAB" w:rsidP="000A6777">
      <w:pPr>
        <w:pStyle w:val="EndNoteBibliography"/>
        <w:ind w:left="720" w:hanging="720"/>
        <w:jc w:val="both"/>
        <w:rPr>
          <w:noProof/>
        </w:rPr>
      </w:pPr>
      <w:r w:rsidRPr="000A6777">
        <w:rPr>
          <w:noProof/>
        </w:rPr>
        <w:t xml:space="preserve">Syed, F., Ng, A. (2010) The Pathophysiology of the Aging Skeleton. </w:t>
      </w:r>
      <w:r w:rsidRPr="000A6777">
        <w:rPr>
          <w:i/>
          <w:noProof/>
        </w:rPr>
        <w:t>Current Osteoporosis Reports,</w:t>
      </w:r>
      <w:r w:rsidRPr="000A6777">
        <w:rPr>
          <w:noProof/>
        </w:rPr>
        <w:t xml:space="preserve"> 8</w:t>
      </w:r>
      <w:r w:rsidRPr="000A6777">
        <w:rPr>
          <w:b/>
          <w:noProof/>
        </w:rPr>
        <w:t>:</w:t>
      </w:r>
      <w:r w:rsidRPr="000A6777">
        <w:rPr>
          <w:noProof/>
        </w:rPr>
        <w:t xml:space="preserve"> 235-240.</w:t>
      </w:r>
    </w:p>
    <w:p w14:paraId="25BAE0C2" w14:textId="77777777" w:rsidR="00B32AAB" w:rsidRPr="000A6777" w:rsidRDefault="00B32AAB" w:rsidP="000A6777">
      <w:pPr>
        <w:pStyle w:val="EndNoteBibliography"/>
        <w:ind w:left="720" w:hanging="720"/>
        <w:jc w:val="both"/>
        <w:rPr>
          <w:noProof/>
        </w:rPr>
      </w:pPr>
      <w:r w:rsidRPr="000A6777">
        <w:rPr>
          <w:noProof/>
        </w:rPr>
        <w:t xml:space="preserve">Syed, F. A., Hoey, K. A. (2010) Integrative physiology of the aging bone: Insights from animal and cellular models. </w:t>
      </w:r>
      <w:r w:rsidRPr="000A6777">
        <w:rPr>
          <w:i/>
          <w:noProof/>
        </w:rPr>
        <w:t>Annals of the New York Academy of Sciences,</w:t>
      </w:r>
      <w:r w:rsidRPr="000A6777">
        <w:rPr>
          <w:noProof/>
        </w:rPr>
        <w:t xml:space="preserve"> 1211</w:t>
      </w:r>
      <w:r w:rsidRPr="000A6777">
        <w:rPr>
          <w:b/>
          <w:noProof/>
        </w:rPr>
        <w:t>:</w:t>
      </w:r>
      <w:r w:rsidRPr="000A6777">
        <w:rPr>
          <w:noProof/>
        </w:rPr>
        <w:t xml:space="preserve"> 95-106.</w:t>
      </w:r>
    </w:p>
    <w:p w14:paraId="0D4D37A4" w14:textId="77777777" w:rsidR="00B32AAB" w:rsidRPr="000A6777" w:rsidRDefault="00B32AAB" w:rsidP="000A6777">
      <w:pPr>
        <w:pStyle w:val="EndNoteBibliography"/>
        <w:ind w:left="720" w:hanging="720"/>
        <w:jc w:val="both"/>
        <w:rPr>
          <w:noProof/>
        </w:rPr>
      </w:pPr>
      <w:r w:rsidRPr="000A6777">
        <w:rPr>
          <w:noProof/>
        </w:rPr>
        <w:t xml:space="preserve">Syed, F. A., Melim, T. (2011) Rodent models of aging bone: An update. </w:t>
      </w:r>
      <w:r w:rsidRPr="000A6777">
        <w:rPr>
          <w:i/>
          <w:noProof/>
        </w:rPr>
        <w:t>Current Osteoporosis Reports,</w:t>
      </w:r>
      <w:r w:rsidRPr="000A6777">
        <w:rPr>
          <w:noProof/>
        </w:rPr>
        <w:t xml:space="preserve"> 9</w:t>
      </w:r>
      <w:r w:rsidRPr="000A6777">
        <w:rPr>
          <w:b/>
          <w:noProof/>
        </w:rPr>
        <w:t>:</w:t>
      </w:r>
      <w:r w:rsidRPr="000A6777">
        <w:rPr>
          <w:noProof/>
        </w:rPr>
        <w:t xml:space="preserve"> 219-228.</w:t>
      </w:r>
    </w:p>
    <w:p w14:paraId="665C34CA" w14:textId="77777777" w:rsidR="00B32AAB" w:rsidRPr="000A6777" w:rsidRDefault="00B32AAB" w:rsidP="000A6777">
      <w:pPr>
        <w:pStyle w:val="EndNoteBibliography"/>
        <w:ind w:left="720" w:hanging="720"/>
        <w:jc w:val="both"/>
        <w:rPr>
          <w:noProof/>
        </w:rPr>
      </w:pPr>
      <w:r w:rsidRPr="000A6777">
        <w:rPr>
          <w:noProof/>
        </w:rPr>
        <w:t xml:space="preserve">Szentirmai, É., Kapás, L., Sun, Y., Smith, R., Krueger, J. (2010) Restricted feeding-induced sleep, activity, and body temperature changes in normal and preproghrelindeficient mice. </w:t>
      </w:r>
      <w:r w:rsidRPr="000A6777">
        <w:rPr>
          <w:i/>
          <w:noProof/>
        </w:rPr>
        <w:t>American Journal of Physiology,</w:t>
      </w:r>
      <w:r w:rsidRPr="000A6777">
        <w:rPr>
          <w:noProof/>
        </w:rPr>
        <w:t xml:space="preserve"> 298</w:t>
      </w:r>
      <w:r w:rsidRPr="000A6777">
        <w:rPr>
          <w:b/>
          <w:noProof/>
        </w:rPr>
        <w:t>:</w:t>
      </w:r>
      <w:r w:rsidRPr="000A6777">
        <w:rPr>
          <w:noProof/>
        </w:rPr>
        <w:t xml:space="preserve"> R467-R477.</w:t>
      </w:r>
    </w:p>
    <w:p w14:paraId="7A621BA5" w14:textId="77777777" w:rsidR="00B32AAB" w:rsidRPr="000A6777" w:rsidRDefault="00B32AAB" w:rsidP="000A6777">
      <w:pPr>
        <w:pStyle w:val="EndNoteBibliography"/>
        <w:ind w:left="720" w:hanging="720"/>
        <w:jc w:val="both"/>
        <w:rPr>
          <w:noProof/>
        </w:rPr>
      </w:pPr>
      <w:r w:rsidRPr="000A6777">
        <w:rPr>
          <w:noProof/>
        </w:rPr>
        <w:t xml:space="preserve">Takeda, H., Muto, S., Hattori, T., Sadakane, C., Tsuchiya, K., Katsurada, T., Ohkawara, T., Oridate, N., Asaka, M. (2010) Rikkunshito Ameliorates the Aging-Associated Decrease in Ghrelin Receptor Reactivity via Phosphodiesterase III Inhibition. </w:t>
      </w:r>
      <w:r w:rsidRPr="000A6777">
        <w:rPr>
          <w:i/>
          <w:noProof/>
        </w:rPr>
        <w:t>Endocrinology,</w:t>
      </w:r>
      <w:r w:rsidRPr="000A6777">
        <w:rPr>
          <w:noProof/>
        </w:rPr>
        <w:t xml:space="preserve"> 151</w:t>
      </w:r>
      <w:r w:rsidRPr="000A6777">
        <w:rPr>
          <w:b/>
          <w:noProof/>
        </w:rPr>
        <w:t>:</w:t>
      </w:r>
      <w:r w:rsidRPr="000A6777">
        <w:rPr>
          <w:noProof/>
        </w:rPr>
        <w:t xml:space="preserve"> 244-252.</w:t>
      </w:r>
    </w:p>
    <w:p w14:paraId="20CB8939" w14:textId="77777777" w:rsidR="00B32AAB" w:rsidRPr="000A6777" w:rsidRDefault="00B32AAB" w:rsidP="000A6777">
      <w:pPr>
        <w:pStyle w:val="EndNoteBibliography"/>
        <w:ind w:left="720" w:hanging="720"/>
        <w:jc w:val="both"/>
        <w:rPr>
          <w:noProof/>
        </w:rPr>
      </w:pPr>
      <w:r w:rsidRPr="000A6777">
        <w:rPr>
          <w:noProof/>
        </w:rPr>
        <w:t xml:space="preserve">Takeda, S., Elefteriou, F., Levasseur, R., Liu, X., Zhao, L., Parker, K. L., Armstrong, D., Ducy, P., Karsenty, G. (2002) Leptin Regulates Bone Formation via the Sympathetic Nervous System. </w:t>
      </w:r>
      <w:r w:rsidRPr="000A6777">
        <w:rPr>
          <w:i/>
          <w:noProof/>
        </w:rPr>
        <w:t>Cell,</w:t>
      </w:r>
      <w:r w:rsidRPr="000A6777">
        <w:rPr>
          <w:noProof/>
        </w:rPr>
        <w:t xml:space="preserve"> 111</w:t>
      </w:r>
      <w:r w:rsidRPr="000A6777">
        <w:rPr>
          <w:b/>
          <w:noProof/>
        </w:rPr>
        <w:t>:</w:t>
      </w:r>
      <w:r w:rsidRPr="000A6777">
        <w:rPr>
          <w:noProof/>
        </w:rPr>
        <w:t xml:space="preserve"> 305-317.</w:t>
      </w:r>
    </w:p>
    <w:p w14:paraId="3B5C01FC" w14:textId="77777777" w:rsidR="00B32AAB" w:rsidRPr="000A6777" w:rsidRDefault="00B32AAB" w:rsidP="000A6777">
      <w:pPr>
        <w:pStyle w:val="EndNoteBibliography"/>
        <w:ind w:left="720" w:hanging="720"/>
        <w:jc w:val="both"/>
        <w:rPr>
          <w:noProof/>
        </w:rPr>
      </w:pPr>
      <w:r w:rsidRPr="000A6777">
        <w:rPr>
          <w:noProof/>
        </w:rPr>
        <w:t xml:space="preserve">Talbott, S. M., Rothkopf, M. M., Shapses, S. A. (1998) Dietary restriction of energy and calcium alters bone turnover and density in younger and older female rats. </w:t>
      </w:r>
      <w:r w:rsidRPr="000A6777">
        <w:rPr>
          <w:i/>
          <w:noProof/>
        </w:rPr>
        <w:t>The Journal of Nutrition,</w:t>
      </w:r>
      <w:r w:rsidRPr="000A6777">
        <w:rPr>
          <w:noProof/>
        </w:rPr>
        <w:t xml:space="preserve"> 128</w:t>
      </w:r>
      <w:r w:rsidRPr="000A6777">
        <w:rPr>
          <w:b/>
          <w:noProof/>
        </w:rPr>
        <w:t>:</w:t>
      </w:r>
      <w:r w:rsidRPr="000A6777">
        <w:rPr>
          <w:noProof/>
        </w:rPr>
        <w:t xml:space="preserve"> 640-645.</w:t>
      </w:r>
    </w:p>
    <w:p w14:paraId="53C4F5D0" w14:textId="77777777" w:rsidR="00B32AAB" w:rsidRPr="000A6777" w:rsidRDefault="00B32AAB" w:rsidP="000A6777">
      <w:pPr>
        <w:pStyle w:val="EndNoteBibliography"/>
        <w:ind w:left="720" w:hanging="720"/>
        <w:jc w:val="both"/>
        <w:rPr>
          <w:noProof/>
        </w:rPr>
      </w:pPr>
      <w:r w:rsidRPr="000A6777">
        <w:rPr>
          <w:noProof/>
        </w:rPr>
        <w:t xml:space="preserve">Tamashiro, K. L. K., Nguyen, M. M. N., Ostrander, M. M., Gardner, S. R., Ma, L. Y., Woods, S. C., Sakai, R. R. (2007) Social stress and recovery: implications for body weight and body composition. </w:t>
      </w:r>
      <w:r w:rsidR="00F51F95">
        <w:rPr>
          <w:i/>
          <w:noProof/>
        </w:rPr>
        <w:t>American Journal of Physiology. Regulatory, Integrative and Comparative P</w:t>
      </w:r>
      <w:r w:rsidRPr="000A6777">
        <w:rPr>
          <w:i/>
          <w:noProof/>
        </w:rPr>
        <w:t>hysiology,</w:t>
      </w:r>
      <w:r w:rsidRPr="000A6777">
        <w:rPr>
          <w:noProof/>
        </w:rPr>
        <w:t xml:space="preserve"> 293</w:t>
      </w:r>
      <w:r w:rsidRPr="000A6777">
        <w:rPr>
          <w:b/>
          <w:noProof/>
        </w:rPr>
        <w:t>:</w:t>
      </w:r>
      <w:r w:rsidRPr="000A6777">
        <w:rPr>
          <w:noProof/>
        </w:rPr>
        <w:t xml:space="preserve"> R1864-R1874.</w:t>
      </w:r>
    </w:p>
    <w:p w14:paraId="46172187" w14:textId="77777777" w:rsidR="00B32AAB" w:rsidRPr="000A6777" w:rsidRDefault="00B32AAB" w:rsidP="000A6777">
      <w:pPr>
        <w:pStyle w:val="EndNoteBibliography"/>
        <w:ind w:left="720" w:hanging="720"/>
        <w:jc w:val="both"/>
        <w:rPr>
          <w:noProof/>
        </w:rPr>
      </w:pPr>
      <w:r w:rsidRPr="000A6777">
        <w:rPr>
          <w:noProof/>
        </w:rPr>
        <w:t xml:space="preserve">Tan, S. D., Bakker, A. D., Semeins, C. M., Kuijpers-Jagtman, A. M., Klein-Nulend, J. (2008) Inhibition of osteocyte apoptosis by fluid flow is mediated by nitric oxide. </w:t>
      </w:r>
      <w:r w:rsidRPr="000A6777">
        <w:rPr>
          <w:i/>
          <w:noProof/>
        </w:rPr>
        <w:t>Biochemical and Biophysical Research Communications,</w:t>
      </w:r>
      <w:r w:rsidRPr="000A6777">
        <w:rPr>
          <w:noProof/>
        </w:rPr>
        <w:t xml:space="preserve"> 369</w:t>
      </w:r>
      <w:r w:rsidRPr="000A6777">
        <w:rPr>
          <w:b/>
          <w:noProof/>
        </w:rPr>
        <w:t>:</w:t>
      </w:r>
      <w:r w:rsidRPr="000A6777">
        <w:rPr>
          <w:noProof/>
        </w:rPr>
        <w:t xml:space="preserve"> 1150-1154.</w:t>
      </w:r>
    </w:p>
    <w:p w14:paraId="006E0047" w14:textId="77777777" w:rsidR="00B32AAB" w:rsidRPr="000A6777" w:rsidRDefault="00B32AAB" w:rsidP="000A6777">
      <w:pPr>
        <w:pStyle w:val="EndNoteBibliography"/>
        <w:ind w:left="720" w:hanging="720"/>
        <w:jc w:val="both"/>
        <w:rPr>
          <w:noProof/>
        </w:rPr>
      </w:pPr>
      <w:r w:rsidRPr="000A6777">
        <w:rPr>
          <w:noProof/>
        </w:rPr>
        <w:t>Tanaka, S., Sakai, A., Tanaka, M., Otomo, H., Okimoto, N., Sakata, T., Nakamura, T. (2004) Skeletal Unloading Alleviates the Anabolic Action of Intermittent PTH( 1– 34) in Mouse Tibia in Association With Inhibition of PTH</w:t>
      </w:r>
      <w:r w:rsidRPr="000A6777">
        <w:rPr>
          <w:rFonts w:ascii="American Typewriter Condensed" w:hAnsi="American Typewriter Condensed" w:cs="American Typewriter Condensed"/>
          <w:noProof/>
        </w:rPr>
        <w:t>‐</w:t>
      </w:r>
      <w:r w:rsidRPr="000A6777">
        <w:rPr>
          <w:noProof/>
        </w:rPr>
        <w:t xml:space="preserve"> Induced Increase in c</w:t>
      </w:r>
      <w:r w:rsidRPr="000A6777">
        <w:rPr>
          <w:rFonts w:ascii="American Typewriter Condensed" w:hAnsi="American Typewriter Condensed" w:cs="American Typewriter Condensed"/>
          <w:noProof/>
        </w:rPr>
        <w:t>‐</w:t>
      </w:r>
      <w:r w:rsidRPr="000A6777">
        <w:rPr>
          <w:noProof/>
        </w:rPr>
        <w:t xml:space="preserve"> fos mRNA in Bone Marrow Cells. </w:t>
      </w:r>
      <w:r w:rsidRPr="000A6777">
        <w:rPr>
          <w:i/>
          <w:noProof/>
        </w:rPr>
        <w:t>Journal of Bone and Mineral Research,</w:t>
      </w:r>
      <w:r w:rsidRPr="000A6777">
        <w:rPr>
          <w:noProof/>
        </w:rPr>
        <w:t xml:space="preserve"> 19</w:t>
      </w:r>
      <w:r w:rsidRPr="000A6777">
        <w:rPr>
          <w:b/>
          <w:noProof/>
        </w:rPr>
        <w:t>:</w:t>
      </w:r>
      <w:r w:rsidRPr="000A6777">
        <w:rPr>
          <w:noProof/>
        </w:rPr>
        <w:t xml:space="preserve"> 1813-1820.</w:t>
      </w:r>
    </w:p>
    <w:p w14:paraId="170D5B2B" w14:textId="77777777" w:rsidR="00B32AAB" w:rsidRPr="000A6777" w:rsidRDefault="00B32AAB" w:rsidP="000A6777">
      <w:pPr>
        <w:pStyle w:val="EndNoteBibliography"/>
        <w:ind w:left="720" w:hanging="720"/>
        <w:jc w:val="both"/>
        <w:rPr>
          <w:noProof/>
        </w:rPr>
      </w:pPr>
      <w:r w:rsidRPr="000A6777">
        <w:rPr>
          <w:noProof/>
        </w:rPr>
        <w:lastRenderedPageBreak/>
        <w:t xml:space="preserve">Tang, B. M. P., Eslick, G. D., Nowson, C., Smith, C., Bensoussan, A. (2007) Use of calcium or calcium in combination with vitamin D supplementation to prevent fractures and bone loss in people aged 50 years and older: a meta- analysis. </w:t>
      </w:r>
      <w:r w:rsidRPr="000A6777">
        <w:rPr>
          <w:i/>
          <w:noProof/>
        </w:rPr>
        <w:t>The Lancet,</w:t>
      </w:r>
      <w:r w:rsidRPr="000A6777">
        <w:rPr>
          <w:noProof/>
        </w:rPr>
        <w:t xml:space="preserve"> 370</w:t>
      </w:r>
      <w:r w:rsidRPr="000A6777">
        <w:rPr>
          <w:b/>
          <w:noProof/>
        </w:rPr>
        <w:t>:</w:t>
      </w:r>
      <w:r w:rsidRPr="000A6777">
        <w:rPr>
          <w:noProof/>
        </w:rPr>
        <w:t xml:space="preserve"> 657-666.</w:t>
      </w:r>
    </w:p>
    <w:p w14:paraId="766F3D03" w14:textId="77777777" w:rsidR="00B32AAB" w:rsidRPr="000A6777" w:rsidRDefault="00B32AAB" w:rsidP="000A6777">
      <w:pPr>
        <w:pStyle w:val="EndNoteBibliography"/>
        <w:ind w:left="720" w:hanging="720"/>
        <w:jc w:val="both"/>
        <w:rPr>
          <w:noProof/>
        </w:rPr>
      </w:pPr>
      <w:r w:rsidRPr="000A6777">
        <w:rPr>
          <w:noProof/>
        </w:rPr>
        <w:t xml:space="preserve">Tang, L. Y., Cullen, D. M., Yee, J. A., Jee, W. S. S., Kimmel, D. B. (1997) Prostaglandin E 2 increases the skeletal response to mechanical loading. </w:t>
      </w:r>
      <w:r w:rsidRPr="000A6777">
        <w:rPr>
          <w:i/>
          <w:noProof/>
        </w:rPr>
        <w:t>Journal of Bone and Mineral Research,</w:t>
      </w:r>
      <w:r w:rsidRPr="000A6777">
        <w:rPr>
          <w:noProof/>
        </w:rPr>
        <w:t xml:space="preserve"> 12</w:t>
      </w:r>
      <w:r w:rsidRPr="000A6777">
        <w:rPr>
          <w:b/>
          <w:noProof/>
        </w:rPr>
        <w:t>:</w:t>
      </w:r>
      <w:r w:rsidRPr="000A6777">
        <w:rPr>
          <w:noProof/>
        </w:rPr>
        <w:t xml:space="preserve"> 276-282.</w:t>
      </w:r>
    </w:p>
    <w:p w14:paraId="248490DE" w14:textId="77777777" w:rsidR="00B32AAB" w:rsidRPr="000A6777" w:rsidRDefault="00B32AAB" w:rsidP="000A6777">
      <w:pPr>
        <w:pStyle w:val="EndNoteBibliography"/>
        <w:ind w:left="720" w:hanging="720"/>
        <w:jc w:val="both"/>
        <w:rPr>
          <w:noProof/>
        </w:rPr>
      </w:pPr>
      <w:r w:rsidRPr="000A6777">
        <w:rPr>
          <w:noProof/>
        </w:rPr>
        <w:t xml:space="preserve">Tartaglia, L. A., Dembski, M., Weng, X., Deng, N., Culpepper, J., Devos, R., Richards, G. J., Campfield, L. A., Clark, F. T., Deeds, J., Muir, C., Sanker, S., Moriarty, A., Moore, K. J., Smutko, J. S., Mays, G. G., Wool, E. A., Monroe, C. A., Tepper, R. I. (1995) Identification and expression cloning of a leptin receptor, OB- R. </w:t>
      </w:r>
      <w:r w:rsidRPr="000A6777">
        <w:rPr>
          <w:i/>
          <w:noProof/>
        </w:rPr>
        <w:t>Cell,</w:t>
      </w:r>
      <w:r w:rsidRPr="000A6777">
        <w:rPr>
          <w:noProof/>
        </w:rPr>
        <w:t xml:space="preserve"> 83</w:t>
      </w:r>
      <w:r w:rsidRPr="000A6777">
        <w:rPr>
          <w:b/>
          <w:noProof/>
        </w:rPr>
        <w:t>:</w:t>
      </w:r>
      <w:r w:rsidRPr="000A6777">
        <w:rPr>
          <w:noProof/>
        </w:rPr>
        <w:t xml:space="preserve"> 1263-1271.</w:t>
      </w:r>
    </w:p>
    <w:p w14:paraId="0CB65EC2" w14:textId="77777777" w:rsidR="00B32AAB" w:rsidRPr="000A6777" w:rsidRDefault="00B32AAB" w:rsidP="000A6777">
      <w:pPr>
        <w:pStyle w:val="EndNoteBibliography"/>
        <w:ind w:left="720" w:hanging="720"/>
        <w:jc w:val="both"/>
        <w:rPr>
          <w:noProof/>
        </w:rPr>
      </w:pPr>
      <w:r w:rsidRPr="000A6777">
        <w:rPr>
          <w:noProof/>
        </w:rPr>
        <w:t xml:space="preserve">Tashjian, A., Gagel, R. (2006) Teriparatide [Human PTH(1-34)]: 2.5 years of experience on the use and safety of the drug for the treatment of osteoporosis </w:t>
      </w:r>
      <w:r w:rsidRPr="000A6777">
        <w:rPr>
          <w:i/>
          <w:noProof/>
        </w:rPr>
        <w:t>Journal of  Bone and Mineral Research,</w:t>
      </w:r>
      <w:r w:rsidRPr="000A6777">
        <w:rPr>
          <w:noProof/>
        </w:rPr>
        <w:t xml:space="preserve"> 21</w:t>
      </w:r>
      <w:r w:rsidRPr="000A6777">
        <w:rPr>
          <w:b/>
          <w:noProof/>
        </w:rPr>
        <w:t>:</w:t>
      </w:r>
      <w:r w:rsidRPr="000A6777">
        <w:rPr>
          <w:noProof/>
        </w:rPr>
        <w:t xml:space="preserve"> 354-365.</w:t>
      </w:r>
    </w:p>
    <w:p w14:paraId="4B5DDE3D" w14:textId="77777777" w:rsidR="00B32AAB" w:rsidRPr="000A6777" w:rsidRDefault="00B32AAB" w:rsidP="000A6777">
      <w:pPr>
        <w:pStyle w:val="EndNoteBibliography"/>
        <w:ind w:left="720" w:hanging="720"/>
        <w:jc w:val="both"/>
        <w:rPr>
          <w:noProof/>
        </w:rPr>
      </w:pPr>
      <w:r w:rsidRPr="000A6777">
        <w:rPr>
          <w:noProof/>
        </w:rPr>
        <w:t xml:space="preserve">Tatsumi, S., Ito, M., Asaba, Y., Tsutsumi, K., Ikeda, K. (2008) Life-long caloric restriction reveals biphasic and dimorphic effects on bone metabolism in rodents. </w:t>
      </w:r>
      <w:r w:rsidRPr="000A6777">
        <w:rPr>
          <w:i/>
          <w:noProof/>
        </w:rPr>
        <w:t>Endocrinology,</w:t>
      </w:r>
      <w:r w:rsidRPr="000A6777">
        <w:rPr>
          <w:noProof/>
        </w:rPr>
        <w:t xml:space="preserve"> 149</w:t>
      </w:r>
      <w:r w:rsidRPr="000A6777">
        <w:rPr>
          <w:b/>
          <w:noProof/>
        </w:rPr>
        <w:t>:</w:t>
      </w:r>
      <w:r w:rsidRPr="000A6777">
        <w:rPr>
          <w:noProof/>
        </w:rPr>
        <w:t xml:space="preserve"> 634.</w:t>
      </w:r>
    </w:p>
    <w:p w14:paraId="6B23B8FA" w14:textId="77777777" w:rsidR="00B32AAB" w:rsidRPr="000A6777" w:rsidRDefault="00B32AAB" w:rsidP="000A6777">
      <w:pPr>
        <w:pStyle w:val="EndNoteBibliography"/>
        <w:ind w:left="720" w:hanging="720"/>
        <w:jc w:val="both"/>
        <w:rPr>
          <w:noProof/>
        </w:rPr>
      </w:pPr>
      <w:r w:rsidRPr="000A6777">
        <w:rPr>
          <w:noProof/>
        </w:rPr>
        <w:t xml:space="preserve">Teff, K., Mattes, R., Engelman, K. (1991) Cephalic phase insulin release in normal weight males: Verification and reliability. </w:t>
      </w:r>
      <w:r w:rsidRPr="000A6777">
        <w:rPr>
          <w:i/>
          <w:noProof/>
        </w:rPr>
        <w:t>American Journal of Physiology,</w:t>
      </w:r>
      <w:r w:rsidRPr="000A6777">
        <w:rPr>
          <w:noProof/>
        </w:rPr>
        <w:t xml:space="preserve"> 261</w:t>
      </w:r>
      <w:r w:rsidRPr="000A6777">
        <w:rPr>
          <w:b/>
          <w:noProof/>
        </w:rPr>
        <w:t>:</w:t>
      </w:r>
      <w:r w:rsidRPr="000A6777">
        <w:rPr>
          <w:noProof/>
        </w:rPr>
        <w:t xml:space="preserve"> E430-E436.</w:t>
      </w:r>
    </w:p>
    <w:p w14:paraId="547C4176" w14:textId="77777777" w:rsidR="00B32AAB" w:rsidRPr="000A6777" w:rsidRDefault="00B32AAB" w:rsidP="000A6777">
      <w:pPr>
        <w:pStyle w:val="EndNoteBibliography"/>
        <w:ind w:left="720" w:hanging="720"/>
        <w:jc w:val="both"/>
        <w:rPr>
          <w:noProof/>
        </w:rPr>
      </w:pPr>
      <w:r w:rsidRPr="000A6777">
        <w:rPr>
          <w:noProof/>
        </w:rPr>
        <w:t xml:space="preserve">Teff, K. L. (2011) How neural mediation of anticipatory and compensatory insulin release helps us tolerate food. </w:t>
      </w:r>
      <w:r w:rsidRPr="000A6777">
        <w:rPr>
          <w:i/>
          <w:noProof/>
        </w:rPr>
        <w:t>Physiology and Behavior,</w:t>
      </w:r>
      <w:r w:rsidRPr="000A6777">
        <w:rPr>
          <w:noProof/>
        </w:rPr>
        <w:t xml:space="preserve"> 103</w:t>
      </w:r>
      <w:r w:rsidRPr="000A6777">
        <w:rPr>
          <w:b/>
          <w:noProof/>
        </w:rPr>
        <w:t>:</w:t>
      </w:r>
      <w:r w:rsidRPr="000A6777">
        <w:rPr>
          <w:noProof/>
        </w:rPr>
        <w:t xml:space="preserve"> 44-50.</w:t>
      </w:r>
    </w:p>
    <w:p w14:paraId="3DE82269" w14:textId="77777777" w:rsidR="00B32AAB" w:rsidRPr="000A6777" w:rsidRDefault="00B32AAB" w:rsidP="000A6777">
      <w:pPr>
        <w:pStyle w:val="EndNoteBibliography"/>
        <w:ind w:left="720" w:hanging="720"/>
        <w:jc w:val="both"/>
        <w:rPr>
          <w:noProof/>
        </w:rPr>
      </w:pPr>
      <w:r w:rsidRPr="000A6777">
        <w:rPr>
          <w:noProof/>
        </w:rPr>
        <w:t xml:space="preserve">Thomas, D. M., Udagawa, N., Hards, D. K., Quinn, J. M. W., Moseley, J. M., Findlay, D. M., Best, J. D. (1998) Insulin receptor expression in primary and cultured osteoclast-like cells. </w:t>
      </w:r>
      <w:r w:rsidRPr="000A6777">
        <w:rPr>
          <w:i/>
          <w:noProof/>
        </w:rPr>
        <w:t>Bone,</w:t>
      </w:r>
      <w:r w:rsidRPr="000A6777">
        <w:rPr>
          <w:noProof/>
        </w:rPr>
        <w:t xml:space="preserve"> 23</w:t>
      </w:r>
      <w:r w:rsidRPr="000A6777">
        <w:rPr>
          <w:b/>
          <w:noProof/>
        </w:rPr>
        <w:t>:</w:t>
      </w:r>
      <w:r w:rsidRPr="000A6777">
        <w:rPr>
          <w:noProof/>
        </w:rPr>
        <w:t xml:space="preserve"> 181-186.</w:t>
      </w:r>
    </w:p>
    <w:p w14:paraId="0D7CE81F" w14:textId="77777777" w:rsidR="00B32AAB" w:rsidRPr="000A6777" w:rsidRDefault="00B32AAB" w:rsidP="000A6777">
      <w:pPr>
        <w:pStyle w:val="EndNoteBibliography"/>
        <w:ind w:left="720" w:hanging="720"/>
        <w:jc w:val="both"/>
        <w:rPr>
          <w:noProof/>
        </w:rPr>
      </w:pPr>
      <w:r w:rsidRPr="000A6777">
        <w:rPr>
          <w:noProof/>
        </w:rPr>
        <w:t xml:space="preserve">Thomas, F. B., Mazzaferri, E. L., Crockett, S. E., Mekhjian, H. S., Gruemer, H. D., Cataland, S. (1976) Stimulation of secretion of gastric inhibitory polypeptide and insulin by intraduodenal amino acid perfusion. </w:t>
      </w:r>
      <w:r w:rsidR="00BF4001">
        <w:rPr>
          <w:i/>
          <w:noProof/>
        </w:rPr>
        <w:t>Gastroenterology</w:t>
      </w:r>
      <w:r w:rsidRPr="000A6777">
        <w:rPr>
          <w:i/>
          <w:noProof/>
        </w:rPr>
        <w:t>,</w:t>
      </w:r>
      <w:r w:rsidRPr="000A6777">
        <w:rPr>
          <w:noProof/>
        </w:rPr>
        <w:t xml:space="preserve"> 70</w:t>
      </w:r>
      <w:r w:rsidRPr="000A6777">
        <w:rPr>
          <w:b/>
          <w:noProof/>
        </w:rPr>
        <w:t>:</w:t>
      </w:r>
      <w:r w:rsidRPr="000A6777">
        <w:rPr>
          <w:noProof/>
        </w:rPr>
        <w:t xml:space="preserve"> 523-527.</w:t>
      </w:r>
    </w:p>
    <w:p w14:paraId="0BE195CD" w14:textId="77777777" w:rsidR="00B32AAB" w:rsidRPr="000A6777" w:rsidRDefault="00B32AAB" w:rsidP="000A6777">
      <w:pPr>
        <w:pStyle w:val="EndNoteBibliography"/>
        <w:ind w:left="720" w:hanging="720"/>
        <w:jc w:val="both"/>
        <w:rPr>
          <w:noProof/>
        </w:rPr>
      </w:pPr>
      <w:r w:rsidRPr="000A6777">
        <w:rPr>
          <w:noProof/>
        </w:rPr>
        <w:t xml:space="preserve">Thomas, T., Gori, F., Khosla, S., Jensen, M. D., Burguera, B., Riggs, B. L. (1999) Leptin Acts on Human Marrow Stromal Cells to Enhance Differentiation to Osteoblasts and to Inhibit Differentiation to Adipocytes1. </w:t>
      </w:r>
      <w:r w:rsidRPr="000A6777">
        <w:rPr>
          <w:i/>
          <w:noProof/>
        </w:rPr>
        <w:t>Endocrinology,</w:t>
      </w:r>
      <w:r w:rsidRPr="000A6777">
        <w:rPr>
          <w:noProof/>
        </w:rPr>
        <w:t xml:space="preserve"> 140</w:t>
      </w:r>
      <w:r w:rsidRPr="000A6777">
        <w:rPr>
          <w:b/>
          <w:noProof/>
        </w:rPr>
        <w:t>:</w:t>
      </w:r>
      <w:r w:rsidRPr="000A6777">
        <w:rPr>
          <w:noProof/>
        </w:rPr>
        <w:t xml:space="preserve"> 1630-1638.</w:t>
      </w:r>
    </w:p>
    <w:p w14:paraId="683C9736" w14:textId="77777777" w:rsidR="00B32AAB" w:rsidRPr="000A6777" w:rsidRDefault="00B32AAB" w:rsidP="000A6777">
      <w:pPr>
        <w:pStyle w:val="EndNoteBibliography"/>
        <w:ind w:left="720" w:hanging="720"/>
        <w:jc w:val="both"/>
        <w:rPr>
          <w:noProof/>
        </w:rPr>
      </w:pPr>
      <w:r w:rsidRPr="000A6777">
        <w:rPr>
          <w:noProof/>
        </w:rPr>
        <w:t xml:space="preserve">Thomsen, C., Rasmussen, O., Lousen, T., Holst, J. (1999) Differential effects of saturated and monounsaturated fatty acids on postprandial lipemia and incretin responses in healthy subjects. </w:t>
      </w:r>
      <w:r w:rsidR="00F51F95">
        <w:rPr>
          <w:i/>
          <w:noProof/>
        </w:rPr>
        <w:t>The American Journal of Clinical N</w:t>
      </w:r>
      <w:r w:rsidRPr="000A6777">
        <w:rPr>
          <w:i/>
          <w:noProof/>
        </w:rPr>
        <w:t>utrition,</w:t>
      </w:r>
      <w:r w:rsidRPr="000A6777">
        <w:rPr>
          <w:noProof/>
        </w:rPr>
        <w:t xml:space="preserve"> 69</w:t>
      </w:r>
      <w:r w:rsidRPr="000A6777">
        <w:rPr>
          <w:b/>
          <w:noProof/>
        </w:rPr>
        <w:t>:</w:t>
      </w:r>
      <w:r w:rsidRPr="000A6777">
        <w:rPr>
          <w:noProof/>
        </w:rPr>
        <w:t xml:space="preserve"> 1135-1143.</w:t>
      </w:r>
    </w:p>
    <w:p w14:paraId="7781E63A" w14:textId="77777777" w:rsidR="00B32AAB" w:rsidRPr="000A6777" w:rsidRDefault="00B32AAB" w:rsidP="000A6777">
      <w:pPr>
        <w:pStyle w:val="EndNoteBibliography"/>
        <w:ind w:left="720" w:hanging="720"/>
        <w:jc w:val="both"/>
        <w:rPr>
          <w:noProof/>
        </w:rPr>
      </w:pPr>
      <w:r w:rsidRPr="000A6777">
        <w:rPr>
          <w:noProof/>
        </w:rPr>
        <w:lastRenderedPageBreak/>
        <w:t xml:space="preserve">Thrailkill, K. M., Lumpkin Jr, C. K., Bunn, R. C., Kemp, S. F., Fowlkes, J. L. (2005) Is insulin an anabolic agent in bone? Dissecting the diabetic bone for clues. </w:t>
      </w:r>
      <w:r w:rsidRPr="000A6777">
        <w:rPr>
          <w:i/>
          <w:noProof/>
        </w:rPr>
        <w:t>American Journal of Physiology - Endocrinology and Metabolism,</w:t>
      </w:r>
      <w:r w:rsidRPr="000A6777">
        <w:rPr>
          <w:noProof/>
        </w:rPr>
        <w:t xml:space="preserve"> 289</w:t>
      </w:r>
      <w:r w:rsidRPr="000A6777">
        <w:rPr>
          <w:b/>
          <w:noProof/>
        </w:rPr>
        <w:t>:</w:t>
      </w:r>
      <w:r w:rsidRPr="000A6777">
        <w:rPr>
          <w:noProof/>
        </w:rPr>
        <w:t xml:space="preserve"> E735-E745.</w:t>
      </w:r>
    </w:p>
    <w:p w14:paraId="4D6A49B0" w14:textId="77777777" w:rsidR="00B32AAB" w:rsidRPr="000A6777" w:rsidRDefault="00B32AAB" w:rsidP="000A6777">
      <w:pPr>
        <w:pStyle w:val="EndNoteBibliography"/>
        <w:ind w:left="720" w:hanging="720"/>
        <w:jc w:val="both"/>
        <w:rPr>
          <w:noProof/>
        </w:rPr>
      </w:pPr>
      <w:r w:rsidRPr="000A6777">
        <w:rPr>
          <w:noProof/>
        </w:rPr>
        <w:t xml:space="preserve">Tobias, J. H., Gould, V., Brunton, L., Deere, K., Rittweger, J., Lipperts, M., Grimm, B. (2014) Physical Activity and Bone: May the Force be with You. </w:t>
      </w:r>
      <w:r w:rsidR="0049166F">
        <w:rPr>
          <w:i/>
          <w:noProof/>
        </w:rPr>
        <w:t>Frontiers in E</w:t>
      </w:r>
      <w:r w:rsidRPr="000A6777">
        <w:rPr>
          <w:i/>
          <w:noProof/>
        </w:rPr>
        <w:t>ndocrinology,</w:t>
      </w:r>
      <w:r w:rsidRPr="000A6777">
        <w:rPr>
          <w:noProof/>
        </w:rPr>
        <w:t xml:space="preserve"> 5</w:t>
      </w:r>
      <w:r w:rsidRPr="000A6777">
        <w:rPr>
          <w:b/>
          <w:noProof/>
        </w:rPr>
        <w:t>:</w:t>
      </w:r>
      <w:r w:rsidRPr="000A6777">
        <w:rPr>
          <w:noProof/>
        </w:rPr>
        <w:t xml:space="preserve"> 1-5.</w:t>
      </w:r>
    </w:p>
    <w:p w14:paraId="0199C047" w14:textId="77777777" w:rsidR="00B32AAB" w:rsidRPr="000A6777" w:rsidRDefault="00B32AAB" w:rsidP="000A6777">
      <w:pPr>
        <w:pStyle w:val="EndNoteBibliography"/>
        <w:ind w:left="720" w:hanging="720"/>
        <w:jc w:val="both"/>
        <w:rPr>
          <w:noProof/>
        </w:rPr>
      </w:pPr>
      <w:r w:rsidRPr="000A6777">
        <w:rPr>
          <w:noProof/>
        </w:rPr>
        <w:t xml:space="preserve">Tolle, V., Bassant, M.-H., Zizzari, P., Poindessous-Jazat, F., Tomasetto, C., Epelbaum, J., Bluet-Pajot, M.-T. (2002) Ultradian Rhythmicity of Ghrelin Secretion in Relation with GH, Feeding Behavior, and Sleep-Wake Patterns in Rats. </w:t>
      </w:r>
      <w:r w:rsidRPr="000A6777">
        <w:rPr>
          <w:i/>
          <w:noProof/>
        </w:rPr>
        <w:t>Endocrinology,</w:t>
      </w:r>
      <w:r w:rsidRPr="000A6777">
        <w:rPr>
          <w:noProof/>
        </w:rPr>
        <w:t xml:space="preserve"> 143</w:t>
      </w:r>
      <w:r w:rsidRPr="000A6777">
        <w:rPr>
          <w:b/>
          <w:noProof/>
        </w:rPr>
        <w:t>:</w:t>
      </w:r>
      <w:r w:rsidRPr="000A6777">
        <w:rPr>
          <w:noProof/>
        </w:rPr>
        <w:t xml:space="preserve"> 1353-1361.</w:t>
      </w:r>
    </w:p>
    <w:p w14:paraId="02722762" w14:textId="77777777" w:rsidR="00B32AAB" w:rsidRPr="000A6777" w:rsidRDefault="00B32AAB" w:rsidP="000A6777">
      <w:pPr>
        <w:pStyle w:val="EndNoteBibliography"/>
        <w:ind w:left="720" w:hanging="720"/>
        <w:jc w:val="both"/>
        <w:rPr>
          <w:noProof/>
        </w:rPr>
      </w:pPr>
      <w:r w:rsidRPr="000A6777">
        <w:rPr>
          <w:noProof/>
        </w:rPr>
        <w:t xml:space="preserve">Tran Van, P. T., Vignery, A., Baron, R. (1982) Cellular kinetics of the bone remodeling sequence in the rat. </w:t>
      </w:r>
      <w:r w:rsidR="0049166F">
        <w:rPr>
          <w:i/>
          <w:noProof/>
        </w:rPr>
        <w:t>The Anatomical R</w:t>
      </w:r>
      <w:r w:rsidRPr="000A6777">
        <w:rPr>
          <w:i/>
          <w:noProof/>
        </w:rPr>
        <w:t>ecord,</w:t>
      </w:r>
      <w:r w:rsidRPr="000A6777">
        <w:rPr>
          <w:noProof/>
        </w:rPr>
        <w:t xml:space="preserve"> 202</w:t>
      </w:r>
      <w:r w:rsidRPr="000A6777">
        <w:rPr>
          <w:b/>
          <w:noProof/>
        </w:rPr>
        <w:t>:</w:t>
      </w:r>
      <w:r w:rsidRPr="000A6777">
        <w:rPr>
          <w:noProof/>
        </w:rPr>
        <w:t xml:space="preserve"> 445-451.</w:t>
      </w:r>
    </w:p>
    <w:p w14:paraId="705D87EF" w14:textId="77777777" w:rsidR="00B32AAB" w:rsidRPr="000A6777" w:rsidRDefault="00B32AAB" w:rsidP="000A6777">
      <w:pPr>
        <w:pStyle w:val="EndNoteBibliography"/>
        <w:ind w:left="720" w:hanging="720"/>
        <w:jc w:val="both"/>
        <w:rPr>
          <w:noProof/>
        </w:rPr>
      </w:pPr>
      <w:r w:rsidRPr="000A6777">
        <w:rPr>
          <w:noProof/>
        </w:rPr>
        <w:t>Trayhurn, P., Hoggard, N., Mercer, J. G., Rayner, D. V. (1998) Hormonal and neuroendocrine regulation of energy balance</w:t>
      </w:r>
      <w:r w:rsidRPr="000A6777">
        <w:rPr>
          <w:rFonts w:ascii="American Typewriter Condensed" w:hAnsi="American Typewriter Condensed" w:cs="American Typewriter Condensed"/>
          <w:noProof/>
        </w:rPr>
        <w:t>‐</w:t>
      </w:r>
      <w:r w:rsidRPr="000A6777">
        <w:rPr>
          <w:noProof/>
        </w:rPr>
        <w:t xml:space="preserve">the role of leptin. </w:t>
      </w:r>
      <w:r w:rsidRPr="000A6777">
        <w:rPr>
          <w:i/>
          <w:noProof/>
        </w:rPr>
        <w:t>Archiv für Tierernaehrung,</w:t>
      </w:r>
      <w:r w:rsidRPr="000A6777">
        <w:rPr>
          <w:noProof/>
        </w:rPr>
        <w:t xml:space="preserve"> 51</w:t>
      </w:r>
      <w:r w:rsidRPr="000A6777">
        <w:rPr>
          <w:b/>
          <w:noProof/>
        </w:rPr>
        <w:t>:</w:t>
      </w:r>
      <w:r w:rsidRPr="000A6777">
        <w:rPr>
          <w:noProof/>
        </w:rPr>
        <w:t xml:space="preserve"> 177-185.</w:t>
      </w:r>
    </w:p>
    <w:p w14:paraId="4F34BD0A" w14:textId="77777777" w:rsidR="00B32AAB" w:rsidRPr="000A6777" w:rsidRDefault="00B32AAB" w:rsidP="000A6777">
      <w:pPr>
        <w:pStyle w:val="EndNoteBibliography"/>
        <w:ind w:left="720" w:hanging="720"/>
        <w:jc w:val="both"/>
        <w:rPr>
          <w:noProof/>
        </w:rPr>
      </w:pPr>
      <w:r w:rsidRPr="000A6777">
        <w:rPr>
          <w:noProof/>
        </w:rPr>
        <w:t xml:space="preserve">Tschop, M., Wawarta, R., Riepl, R., Friedrich, S., Bidlingmaier, M., Landgraf, R., Folwaczny, C. (2001) Post- prandial decrease of circulating human ghrelin levels. </w:t>
      </w:r>
      <w:r w:rsidR="0049166F">
        <w:rPr>
          <w:i/>
          <w:noProof/>
        </w:rPr>
        <w:t>Journal o</w:t>
      </w:r>
      <w:r w:rsidRPr="000A6777">
        <w:rPr>
          <w:i/>
          <w:noProof/>
        </w:rPr>
        <w:t>f Endocrinological Investigation,</w:t>
      </w:r>
      <w:r w:rsidRPr="000A6777">
        <w:rPr>
          <w:noProof/>
        </w:rPr>
        <w:t xml:space="preserve"> 24</w:t>
      </w:r>
      <w:r w:rsidRPr="000A6777">
        <w:rPr>
          <w:b/>
          <w:noProof/>
        </w:rPr>
        <w:t>:</w:t>
      </w:r>
      <w:r w:rsidRPr="000A6777">
        <w:rPr>
          <w:noProof/>
        </w:rPr>
        <w:t xml:space="preserve"> RC19-RC21.</w:t>
      </w:r>
    </w:p>
    <w:p w14:paraId="354518CD" w14:textId="77777777" w:rsidR="00B32AAB" w:rsidRPr="000A6777" w:rsidRDefault="00B32AAB" w:rsidP="000A6777">
      <w:pPr>
        <w:pStyle w:val="EndNoteBibliography"/>
        <w:ind w:left="720" w:hanging="720"/>
        <w:jc w:val="both"/>
        <w:rPr>
          <w:noProof/>
        </w:rPr>
      </w:pPr>
      <w:r w:rsidRPr="000A6777">
        <w:rPr>
          <w:noProof/>
        </w:rPr>
        <w:t>Tsukiyama, K., Yamada, Y., Yamada, C., Harada, N., Kawasaki, Y., Ogura, M., Bessho, K., Li, M., Amizuka, N., Sato, M., Udagawa, N., Takahashi, N., Tanaka</w:t>
      </w:r>
      <w:r w:rsidR="00BF4001">
        <w:rPr>
          <w:noProof/>
        </w:rPr>
        <w:t>, K., Oiso, Y., Seino, Y. (2006</w:t>
      </w:r>
      <w:r w:rsidRPr="000A6777">
        <w:rPr>
          <w:noProof/>
        </w:rPr>
        <w:t xml:space="preserve">) Gastric inhibitory polypeptide as an endogenous factor promoting new bone formation after food ingestion. </w:t>
      </w:r>
      <w:r w:rsidR="0049166F">
        <w:rPr>
          <w:i/>
          <w:noProof/>
        </w:rPr>
        <w:t>Molecular Endocrinology</w:t>
      </w:r>
      <w:r w:rsidRPr="000A6777">
        <w:rPr>
          <w:i/>
          <w:noProof/>
        </w:rPr>
        <w:t>,</w:t>
      </w:r>
      <w:r w:rsidRPr="000A6777">
        <w:rPr>
          <w:noProof/>
        </w:rPr>
        <w:t xml:space="preserve"> 20</w:t>
      </w:r>
      <w:r w:rsidRPr="000A6777">
        <w:rPr>
          <w:b/>
          <w:noProof/>
        </w:rPr>
        <w:t>:</w:t>
      </w:r>
      <w:r w:rsidRPr="000A6777">
        <w:rPr>
          <w:noProof/>
        </w:rPr>
        <w:t xml:space="preserve"> 1644-1651.</w:t>
      </w:r>
    </w:p>
    <w:p w14:paraId="36D54717" w14:textId="77777777" w:rsidR="00B32AAB" w:rsidRPr="000A6777" w:rsidRDefault="00B32AAB" w:rsidP="000A6777">
      <w:pPr>
        <w:pStyle w:val="EndNoteBibliography"/>
        <w:ind w:left="720" w:hanging="720"/>
        <w:jc w:val="both"/>
        <w:rPr>
          <w:noProof/>
        </w:rPr>
      </w:pPr>
      <w:r w:rsidRPr="000A6777">
        <w:rPr>
          <w:noProof/>
        </w:rPr>
        <w:t xml:space="preserve">Turner, C., Robling, A. G. (2003) Designing exercise regimens to increase bone strength. </w:t>
      </w:r>
      <w:r w:rsidRPr="000A6777">
        <w:rPr>
          <w:i/>
          <w:noProof/>
        </w:rPr>
        <w:t>Exercise and Sport Sciences Reviews,</w:t>
      </w:r>
      <w:r w:rsidRPr="000A6777">
        <w:rPr>
          <w:noProof/>
        </w:rPr>
        <w:t xml:space="preserve"> 31</w:t>
      </w:r>
      <w:r w:rsidRPr="000A6777">
        <w:rPr>
          <w:b/>
          <w:noProof/>
        </w:rPr>
        <w:t>:</w:t>
      </w:r>
      <w:r w:rsidRPr="000A6777">
        <w:rPr>
          <w:noProof/>
        </w:rPr>
        <w:t xml:space="preserve"> 45-50.</w:t>
      </w:r>
    </w:p>
    <w:p w14:paraId="2F15164C" w14:textId="77777777" w:rsidR="00B32AAB" w:rsidRPr="000A6777" w:rsidRDefault="00B32AAB" w:rsidP="000A6777">
      <w:pPr>
        <w:pStyle w:val="EndNoteBibliography"/>
        <w:ind w:left="720" w:hanging="720"/>
        <w:jc w:val="both"/>
        <w:rPr>
          <w:noProof/>
        </w:rPr>
      </w:pPr>
      <w:r w:rsidRPr="000A6777">
        <w:rPr>
          <w:noProof/>
        </w:rPr>
        <w:t xml:space="preserve">Turner, C. H. (2006) Bone Strength: Current Concepts. </w:t>
      </w:r>
      <w:r w:rsidRPr="000A6777">
        <w:rPr>
          <w:i/>
          <w:noProof/>
        </w:rPr>
        <w:t>Annals of the New York Academy of Sciences,</w:t>
      </w:r>
      <w:r w:rsidRPr="000A6777">
        <w:rPr>
          <w:noProof/>
        </w:rPr>
        <w:t xml:space="preserve"> 1068</w:t>
      </w:r>
      <w:r w:rsidRPr="000A6777">
        <w:rPr>
          <w:b/>
          <w:noProof/>
        </w:rPr>
        <w:t>:</w:t>
      </w:r>
      <w:r w:rsidRPr="000A6777">
        <w:rPr>
          <w:noProof/>
        </w:rPr>
        <w:t xml:space="preserve"> 429-446.</w:t>
      </w:r>
    </w:p>
    <w:p w14:paraId="57052C63" w14:textId="77777777" w:rsidR="00B32AAB" w:rsidRPr="000A6777" w:rsidRDefault="00B32AAB" w:rsidP="000A6777">
      <w:pPr>
        <w:pStyle w:val="EndNoteBibliography"/>
        <w:ind w:left="720" w:hanging="720"/>
        <w:jc w:val="both"/>
        <w:rPr>
          <w:noProof/>
        </w:rPr>
      </w:pPr>
      <w:r w:rsidRPr="000A6777">
        <w:rPr>
          <w:noProof/>
        </w:rPr>
        <w:t xml:space="preserve">Turner, C. H., Akhter, M. P., Raab, D. M., Kimmel, D. B., Recker, R. R. (1991) A noninvasive, in vivo model for studying strain adaptive bone modeling. </w:t>
      </w:r>
      <w:r w:rsidRPr="000A6777">
        <w:rPr>
          <w:i/>
          <w:noProof/>
        </w:rPr>
        <w:t>Bone,</w:t>
      </w:r>
      <w:r w:rsidRPr="000A6777">
        <w:rPr>
          <w:noProof/>
        </w:rPr>
        <w:t xml:space="preserve"> 12</w:t>
      </w:r>
      <w:r w:rsidRPr="000A6777">
        <w:rPr>
          <w:b/>
          <w:noProof/>
        </w:rPr>
        <w:t>:</w:t>
      </w:r>
      <w:r w:rsidRPr="000A6777">
        <w:rPr>
          <w:noProof/>
        </w:rPr>
        <w:t xml:space="preserve"> 73-79.</w:t>
      </w:r>
    </w:p>
    <w:p w14:paraId="7C84B671" w14:textId="77777777" w:rsidR="00B32AAB" w:rsidRPr="000A6777" w:rsidRDefault="00B32AAB" w:rsidP="000A6777">
      <w:pPr>
        <w:pStyle w:val="EndNoteBibliography"/>
        <w:ind w:left="720" w:hanging="720"/>
        <w:jc w:val="both"/>
        <w:rPr>
          <w:noProof/>
        </w:rPr>
      </w:pPr>
      <w:r w:rsidRPr="000A6777">
        <w:rPr>
          <w:noProof/>
        </w:rPr>
        <w:t xml:space="preserve">Turner, C. H., Owan, I., Takano, Y. (1995) Mechanotransduction in bone: Role of strain rate. </w:t>
      </w:r>
      <w:r w:rsidRPr="000A6777">
        <w:rPr>
          <w:i/>
          <w:noProof/>
        </w:rPr>
        <w:t>American Journal of Physiology - Endocrinology and Metabolism,</w:t>
      </w:r>
      <w:r w:rsidRPr="000A6777">
        <w:rPr>
          <w:noProof/>
        </w:rPr>
        <w:t xml:space="preserve"> 269</w:t>
      </w:r>
      <w:r w:rsidRPr="000A6777">
        <w:rPr>
          <w:b/>
          <w:noProof/>
        </w:rPr>
        <w:t>:</w:t>
      </w:r>
      <w:r w:rsidRPr="000A6777">
        <w:rPr>
          <w:noProof/>
        </w:rPr>
        <w:t xml:space="preserve"> E438-E442.</w:t>
      </w:r>
    </w:p>
    <w:p w14:paraId="0A57FD26" w14:textId="77777777" w:rsidR="00B32AAB" w:rsidRPr="000A6777" w:rsidRDefault="00B32AAB" w:rsidP="000A6777">
      <w:pPr>
        <w:pStyle w:val="EndNoteBibliography"/>
        <w:ind w:left="720" w:hanging="720"/>
        <w:jc w:val="both"/>
        <w:rPr>
          <w:noProof/>
        </w:rPr>
      </w:pPr>
      <w:r w:rsidRPr="000A6777">
        <w:rPr>
          <w:noProof/>
        </w:rPr>
        <w:t xml:space="preserve">Turner, R. T., Philbrick, K. A., Lindenmaier, L. B., Iwaniec, U. T., Kalra, S. P., Boghossian, S., Wong, C. P. (2013) Peripheral leptin regulates bone formation. </w:t>
      </w:r>
      <w:r w:rsidRPr="000A6777">
        <w:rPr>
          <w:i/>
          <w:noProof/>
        </w:rPr>
        <w:t>Journal of Bone and Mineral Research,</w:t>
      </w:r>
      <w:r w:rsidRPr="000A6777">
        <w:rPr>
          <w:noProof/>
        </w:rPr>
        <w:t xml:space="preserve"> 28</w:t>
      </w:r>
      <w:r w:rsidRPr="000A6777">
        <w:rPr>
          <w:b/>
          <w:noProof/>
        </w:rPr>
        <w:t>:</w:t>
      </w:r>
      <w:r w:rsidRPr="000A6777">
        <w:rPr>
          <w:noProof/>
        </w:rPr>
        <w:t xml:space="preserve"> 22-34.</w:t>
      </w:r>
    </w:p>
    <w:p w14:paraId="6C974416" w14:textId="77777777" w:rsidR="00B32AAB" w:rsidRPr="000A6777" w:rsidRDefault="00B32AAB" w:rsidP="000A6777">
      <w:pPr>
        <w:pStyle w:val="EndNoteBibliography"/>
        <w:ind w:left="720" w:hanging="720"/>
        <w:jc w:val="both"/>
        <w:rPr>
          <w:noProof/>
        </w:rPr>
      </w:pPr>
      <w:r w:rsidRPr="000A6777">
        <w:rPr>
          <w:noProof/>
        </w:rPr>
        <w:lastRenderedPageBreak/>
        <w:t xml:space="preserve">Turton, M. D., D, O., Shea, Gunn, I., Beak, S. A., Edwards, C. M. B., Meeran, K., Choi, S. J., Taylor, G. M., Heath, M. M., Lambert, P. D., Wilding, J. P. H., Smith, D. M., Ghatei, M. A., Herbert, J., Bloom, S. R. (1996) A role for glucagon- like peptide- 1 in the central regulation of feeding. </w:t>
      </w:r>
      <w:r w:rsidRPr="000A6777">
        <w:rPr>
          <w:i/>
          <w:noProof/>
        </w:rPr>
        <w:t>Nature,</w:t>
      </w:r>
      <w:r w:rsidRPr="000A6777">
        <w:rPr>
          <w:noProof/>
        </w:rPr>
        <w:t xml:space="preserve"> 379</w:t>
      </w:r>
      <w:r w:rsidRPr="000A6777">
        <w:rPr>
          <w:b/>
          <w:noProof/>
        </w:rPr>
        <w:t>:</w:t>
      </w:r>
      <w:r w:rsidRPr="000A6777">
        <w:rPr>
          <w:noProof/>
        </w:rPr>
        <w:t xml:space="preserve"> 69-72.</w:t>
      </w:r>
    </w:p>
    <w:p w14:paraId="021C036C" w14:textId="77777777" w:rsidR="00B32AAB" w:rsidRPr="000A6777" w:rsidRDefault="00B32AAB" w:rsidP="000A6777">
      <w:pPr>
        <w:pStyle w:val="EndNoteBibliography"/>
        <w:ind w:left="720" w:hanging="720"/>
        <w:jc w:val="both"/>
        <w:rPr>
          <w:noProof/>
        </w:rPr>
      </w:pPr>
      <w:r w:rsidRPr="000A6777">
        <w:rPr>
          <w:noProof/>
        </w:rPr>
        <w:t xml:space="preserve">Ueda, S.-y., Miyamoto, T., Nakahara, H., Shishido, T., Usui, T., Katsura, Y., Yoshikawa, T., Fujimoto, S. (2013) Effects of exercise training on gut hormone levels after a single bout of exercise in middle- aged Japanese women. </w:t>
      </w:r>
      <w:r w:rsidRPr="000A6777">
        <w:rPr>
          <w:i/>
          <w:noProof/>
        </w:rPr>
        <w:t>SpringerPlus,</w:t>
      </w:r>
      <w:r w:rsidRPr="000A6777">
        <w:rPr>
          <w:noProof/>
        </w:rPr>
        <w:t xml:space="preserve"> 2</w:t>
      </w:r>
      <w:r w:rsidRPr="000A6777">
        <w:rPr>
          <w:b/>
          <w:noProof/>
        </w:rPr>
        <w:t>:</w:t>
      </w:r>
      <w:r w:rsidRPr="000A6777">
        <w:rPr>
          <w:noProof/>
        </w:rPr>
        <w:t xml:space="preserve"> 1-9.</w:t>
      </w:r>
    </w:p>
    <w:p w14:paraId="07BBEA6E" w14:textId="77777777" w:rsidR="00B32AAB" w:rsidRPr="000A6777" w:rsidRDefault="00B32AAB" w:rsidP="000A6777">
      <w:pPr>
        <w:pStyle w:val="EndNoteBibliography"/>
        <w:ind w:left="720" w:hanging="720"/>
        <w:jc w:val="both"/>
        <w:rPr>
          <w:noProof/>
        </w:rPr>
      </w:pPr>
      <w:r w:rsidRPr="000A6777">
        <w:rPr>
          <w:noProof/>
        </w:rPr>
        <w:t xml:space="preserve">Väänänen, H. K., Zhao, H., Mulari, M., Halleen, J. M. (2000) The cell biology of osteoclast function. </w:t>
      </w:r>
      <w:r w:rsidRPr="000A6777">
        <w:rPr>
          <w:i/>
          <w:noProof/>
        </w:rPr>
        <w:t>Journal of Cell Science,</w:t>
      </w:r>
      <w:r w:rsidRPr="000A6777">
        <w:rPr>
          <w:noProof/>
        </w:rPr>
        <w:t xml:space="preserve"> 113 (Pt 3)</w:t>
      </w:r>
      <w:r w:rsidRPr="000A6777">
        <w:rPr>
          <w:b/>
          <w:noProof/>
        </w:rPr>
        <w:t>:</w:t>
      </w:r>
      <w:r w:rsidRPr="000A6777">
        <w:rPr>
          <w:noProof/>
        </w:rPr>
        <w:t xml:space="preserve"> 377-381.</w:t>
      </w:r>
    </w:p>
    <w:p w14:paraId="4F1D272C" w14:textId="77777777" w:rsidR="00B32AAB" w:rsidRPr="000A6777" w:rsidRDefault="00B32AAB" w:rsidP="000A6777">
      <w:pPr>
        <w:pStyle w:val="EndNoteBibliography"/>
        <w:ind w:left="720" w:hanging="720"/>
        <w:jc w:val="both"/>
        <w:rPr>
          <w:noProof/>
        </w:rPr>
      </w:pPr>
      <w:r w:rsidRPr="000A6777">
        <w:rPr>
          <w:noProof/>
        </w:rPr>
        <w:t xml:space="preserve">Vahl, T. P., Drazen, D. L., Seeley, R. J., D'Alessio, D. A., Woods, S. C. (2010) Meal-Anticipatory Glucagon-Like Peptide-1 Secretion in Rats. </w:t>
      </w:r>
      <w:r w:rsidRPr="000A6777">
        <w:rPr>
          <w:i/>
          <w:noProof/>
        </w:rPr>
        <w:t>Endocrinology,</w:t>
      </w:r>
      <w:r w:rsidRPr="000A6777">
        <w:rPr>
          <w:noProof/>
        </w:rPr>
        <w:t xml:space="preserve"> 151</w:t>
      </w:r>
      <w:r w:rsidRPr="000A6777">
        <w:rPr>
          <w:b/>
          <w:noProof/>
        </w:rPr>
        <w:t>:</w:t>
      </w:r>
      <w:r w:rsidRPr="000A6777">
        <w:rPr>
          <w:noProof/>
        </w:rPr>
        <w:t xml:space="preserve"> 569-575.</w:t>
      </w:r>
    </w:p>
    <w:p w14:paraId="2C74B012" w14:textId="77777777" w:rsidR="00B32AAB" w:rsidRPr="000A6777" w:rsidRDefault="00B32AAB" w:rsidP="000A6777">
      <w:pPr>
        <w:pStyle w:val="EndNoteBibliography"/>
        <w:ind w:left="720" w:hanging="720"/>
        <w:jc w:val="both"/>
        <w:rPr>
          <w:noProof/>
        </w:rPr>
      </w:pPr>
      <w:r w:rsidRPr="000A6777">
        <w:rPr>
          <w:noProof/>
        </w:rPr>
        <w:t xml:space="preserve">Van der Velde, M., Van der Eerden, B. C. J., Sun, Y., Almering, J. M. M., Van der Lely, A.-J., Delhanty, P. J. D., Smith, R. G., Van Leeuwen, J. P. T. M. (2012) An Age-Dependent Interaction with Leptin Unmasks Ghrelin's Bone-Protective Effects. </w:t>
      </w:r>
      <w:r w:rsidRPr="000A6777">
        <w:rPr>
          <w:i/>
          <w:noProof/>
        </w:rPr>
        <w:t>Endocrinology,</w:t>
      </w:r>
      <w:r w:rsidRPr="000A6777">
        <w:rPr>
          <w:noProof/>
        </w:rPr>
        <w:t xml:space="preserve"> 153</w:t>
      </w:r>
      <w:r w:rsidRPr="000A6777">
        <w:rPr>
          <w:b/>
          <w:noProof/>
        </w:rPr>
        <w:t>:</w:t>
      </w:r>
      <w:r w:rsidRPr="000A6777">
        <w:rPr>
          <w:noProof/>
        </w:rPr>
        <w:t xml:space="preserve"> 3593-3602.</w:t>
      </w:r>
    </w:p>
    <w:p w14:paraId="13937F14" w14:textId="77777777" w:rsidR="00B32AAB" w:rsidRPr="000A6777" w:rsidRDefault="00B32AAB" w:rsidP="000A6777">
      <w:pPr>
        <w:pStyle w:val="EndNoteBibliography"/>
        <w:ind w:left="720" w:hanging="720"/>
        <w:jc w:val="both"/>
        <w:rPr>
          <w:noProof/>
        </w:rPr>
      </w:pPr>
      <w:r w:rsidRPr="000A6777">
        <w:rPr>
          <w:noProof/>
        </w:rPr>
        <w:t xml:space="preserve">Van Staa, T. P., Dennison, E. M., Leufkens, H. G. M., Cooper, C. (2001) Epidemiology of fractures in England and Wales. </w:t>
      </w:r>
      <w:r w:rsidRPr="000A6777">
        <w:rPr>
          <w:i/>
          <w:noProof/>
        </w:rPr>
        <w:t>Bone,</w:t>
      </w:r>
      <w:r w:rsidRPr="000A6777">
        <w:rPr>
          <w:noProof/>
        </w:rPr>
        <w:t xml:space="preserve"> 29</w:t>
      </w:r>
      <w:r w:rsidRPr="000A6777">
        <w:rPr>
          <w:b/>
          <w:noProof/>
        </w:rPr>
        <w:t>:</w:t>
      </w:r>
      <w:r w:rsidRPr="000A6777">
        <w:rPr>
          <w:noProof/>
        </w:rPr>
        <w:t xml:space="preserve"> 517-522.</w:t>
      </w:r>
    </w:p>
    <w:p w14:paraId="1C7EE242" w14:textId="77777777" w:rsidR="00B32AAB" w:rsidRPr="000A6777" w:rsidRDefault="00B32AAB" w:rsidP="000A6777">
      <w:pPr>
        <w:pStyle w:val="EndNoteBibliography"/>
        <w:ind w:left="720" w:hanging="720"/>
        <w:jc w:val="both"/>
        <w:rPr>
          <w:noProof/>
        </w:rPr>
      </w:pPr>
      <w:r w:rsidRPr="000A6777">
        <w:rPr>
          <w:noProof/>
        </w:rPr>
        <w:t xml:space="preserve">Vanderweele, D. A., Haraczkiewicz, E., Van Itallie, T. B. (1982) Elevated insulin and satiety in obese and normal-weight rats. </w:t>
      </w:r>
      <w:r w:rsidRPr="000A6777">
        <w:rPr>
          <w:i/>
          <w:noProof/>
        </w:rPr>
        <w:t>Appetite,</w:t>
      </w:r>
      <w:r w:rsidRPr="000A6777">
        <w:rPr>
          <w:noProof/>
        </w:rPr>
        <w:t xml:space="preserve"> 3</w:t>
      </w:r>
      <w:r w:rsidRPr="000A6777">
        <w:rPr>
          <w:b/>
          <w:noProof/>
        </w:rPr>
        <w:t>:</w:t>
      </w:r>
      <w:r w:rsidRPr="000A6777">
        <w:rPr>
          <w:noProof/>
        </w:rPr>
        <w:t xml:space="preserve"> 99-109.</w:t>
      </w:r>
    </w:p>
    <w:p w14:paraId="4ABAB619" w14:textId="77777777" w:rsidR="00B32AAB" w:rsidRPr="000A6777" w:rsidRDefault="00B32AAB" w:rsidP="000A6777">
      <w:pPr>
        <w:pStyle w:val="EndNoteBibliography"/>
        <w:ind w:left="720" w:hanging="720"/>
        <w:jc w:val="both"/>
        <w:rPr>
          <w:noProof/>
        </w:rPr>
      </w:pPr>
      <w:r w:rsidRPr="000A6777">
        <w:rPr>
          <w:noProof/>
        </w:rPr>
        <w:t xml:space="preserve">Vashishth, D., Tanner, K. E., Bonfield, W. (2000) Contribution, development and morphology of microcracking in cortical bone during crack propagation. </w:t>
      </w:r>
      <w:r w:rsidRPr="000A6777">
        <w:rPr>
          <w:i/>
          <w:noProof/>
        </w:rPr>
        <w:t>Journal of Biomechanics,</w:t>
      </w:r>
      <w:r w:rsidRPr="000A6777">
        <w:rPr>
          <w:noProof/>
        </w:rPr>
        <w:t xml:space="preserve"> 33</w:t>
      </w:r>
      <w:r w:rsidRPr="000A6777">
        <w:rPr>
          <w:b/>
          <w:noProof/>
        </w:rPr>
        <w:t>:</w:t>
      </w:r>
      <w:r w:rsidRPr="000A6777">
        <w:rPr>
          <w:noProof/>
        </w:rPr>
        <w:t xml:space="preserve"> 1169-1174.</w:t>
      </w:r>
    </w:p>
    <w:p w14:paraId="77E8B8CB" w14:textId="77777777" w:rsidR="00B32AAB" w:rsidRPr="000A6777" w:rsidRDefault="00B32AAB" w:rsidP="000A6777">
      <w:pPr>
        <w:pStyle w:val="EndNoteBibliography"/>
        <w:ind w:left="720" w:hanging="720"/>
        <w:jc w:val="both"/>
        <w:rPr>
          <w:noProof/>
        </w:rPr>
      </w:pPr>
      <w:r w:rsidRPr="000A6777">
        <w:rPr>
          <w:noProof/>
        </w:rPr>
        <w:t xml:space="preserve">Vermeulen, J. K., De Vries, A., Schlingmann, F., Remie, R. (1997) Food deprivation: common sense or nonsense? </w:t>
      </w:r>
      <w:r w:rsidRPr="000A6777">
        <w:rPr>
          <w:i/>
          <w:noProof/>
        </w:rPr>
        <w:t>Animal Technology,</w:t>
      </w:r>
      <w:r w:rsidRPr="000A6777">
        <w:rPr>
          <w:noProof/>
        </w:rPr>
        <w:t xml:space="preserve"> 48</w:t>
      </w:r>
      <w:r w:rsidRPr="000A6777">
        <w:rPr>
          <w:b/>
          <w:noProof/>
        </w:rPr>
        <w:t>:</w:t>
      </w:r>
      <w:r w:rsidRPr="000A6777">
        <w:rPr>
          <w:noProof/>
        </w:rPr>
        <w:t xml:space="preserve"> 45-54.</w:t>
      </w:r>
    </w:p>
    <w:p w14:paraId="36062A2D" w14:textId="77777777" w:rsidR="00B32AAB" w:rsidRPr="000A6777" w:rsidRDefault="00B32AAB" w:rsidP="000A6777">
      <w:pPr>
        <w:pStyle w:val="EndNoteBibliography"/>
        <w:ind w:left="720" w:hanging="720"/>
        <w:jc w:val="both"/>
        <w:rPr>
          <w:noProof/>
        </w:rPr>
      </w:pPr>
      <w:r w:rsidRPr="000A6777">
        <w:rPr>
          <w:noProof/>
        </w:rPr>
        <w:t xml:space="preserve">Vestergaard, P., Jorgensen, N., Mosekilde, L., Schwarz, P. (2007) Effects of parathyroid hormone alone or in combination with antiresorptive therapy on bone mineral density and fracture risk – a meta- analysis. </w:t>
      </w:r>
      <w:r w:rsidR="000B7F5B">
        <w:rPr>
          <w:i/>
          <w:noProof/>
        </w:rPr>
        <w:t>Osteoporosis Internationa</w:t>
      </w:r>
      <w:r w:rsidRPr="000A6777">
        <w:rPr>
          <w:i/>
          <w:noProof/>
        </w:rPr>
        <w:t>l,</w:t>
      </w:r>
      <w:r w:rsidRPr="000A6777">
        <w:rPr>
          <w:noProof/>
        </w:rPr>
        <w:t xml:space="preserve"> 18</w:t>
      </w:r>
      <w:r w:rsidRPr="000A6777">
        <w:rPr>
          <w:b/>
          <w:noProof/>
        </w:rPr>
        <w:t>:</w:t>
      </w:r>
      <w:r w:rsidRPr="000A6777">
        <w:rPr>
          <w:noProof/>
        </w:rPr>
        <w:t xml:space="preserve"> 45-57.</w:t>
      </w:r>
    </w:p>
    <w:p w14:paraId="258CBF84" w14:textId="77777777" w:rsidR="00B32AAB" w:rsidRPr="000A6777" w:rsidRDefault="00B32AAB" w:rsidP="000A6777">
      <w:pPr>
        <w:pStyle w:val="EndNoteBibliography"/>
        <w:ind w:left="720" w:hanging="720"/>
        <w:jc w:val="both"/>
        <w:rPr>
          <w:noProof/>
        </w:rPr>
      </w:pPr>
      <w:r w:rsidRPr="000A6777">
        <w:rPr>
          <w:noProof/>
        </w:rPr>
        <w:t xml:space="preserve">Viguet-Carrin, S., Garnero, P., Delmas, P. (2006) The role of collagen in bone strength. </w:t>
      </w:r>
      <w:r w:rsidR="000B7F5B">
        <w:rPr>
          <w:i/>
          <w:noProof/>
        </w:rPr>
        <w:t>Osteoporosis Internationa</w:t>
      </w:r>
      <w:r w:rsidRPr="000A6777">
        <w:rPr>
          <w:i/>
          <w:noProof/>
        </w:rPr>
        <w:t>l,</w:t>
      </w:r>
      <w:r w:rsidRPr="000A6777">
        <w:rPr>
          <w:noProof/>
        </w:rPr>
        <w:t xml:space="preserve"> 17</w:t>
      </w:r>
      <w:r w:rsidRPr="000A6777">
        <w:rPr>
          <w:b/>
          <w:noProof/>
        </w:rPr>
        <w:t>:</w:t>
      </w:r>
      <w:r w:rsidRPr="000A6777">
        <w:rPr>
          <w:noProof/>
        </w:rPr>
        <w:t xml:space="preserve"> 319-336.</w:t>
      </w:r>
    </w:p>
    <w:p w14:paraId="239BE327" w14:textId="77777777" w:rsidR="00B32AAB" w:rsidRPr="000A6777" w:rsidRDefault="00B32AAB" w:rsidP="000A6777">
      <w:pPr>
        <w:pStyle w:val="EndNoteBibliography"/>
        <w:ind w:left="720" w:hanging="720"/>
        <w:jc w:val="both"/>
        <w:rPr>
          <w:noProof/>
        </w:rPr>
      </w:pPr>
      <w:r w:rsidRPr="000A6777">
        <w:rPr>
          <w:noProof/>
        </w:rPr>
        <w:t xml:space="preserve">Villareal, D. T., Fontana, L., Weiss, E. P., Racette, S. B., Steger-May, K., Schechtman, K. B., Klein, S., Holloszy, J. O. (2006) Bone Mineral Density Response to Caloric Restriction– Induced Weight Loss or Exercise- Induced Weight Loss: A Randomized Controlled Trial. </w:t>
      </w:r>
      <w:r w:rsidRPr="000A6777">
        <w:rPr>
          <w:i/>
          <w:noProof/>
        </w:rPr>
        <w:t>Archives of Internal Medicine,</w:t>
      </w:r>
      <w:r w:rsidRPr="000A6777">
        <w:rPr>
          <w:noProof/>
        </w:rPr>
        <w:t xml:space="preserve"> 166</w:t>
      </w:r>
      <w:r w:rsidRPr="000A6777">
        <w:rPr>
          <w:b/>
          <w:noProof/>
        </w:rPr>
        <w:t>:</w:t>
      </w:r>
      <w:r w:rsidRPr="000A6777">
        <w:rPr>
          <w:noProof/>
        </w:rPr>
        <w:t xml:space="preserve"> 2502-2510.</w:t>
      </w:r>
    </w:p>
    <w:p w14:paraId="2E660B7D" w14:textId="77777777" w:rsidR="00B32AAB" w:rsidRPr="000A6777" w:rsidRDefault="00B32AAB" w:rsidP="000A6777">
      <w:pPr>
        <w:pStyle w:val="EndNoteBibliography"/>
        <w:ind w:left="720" w:hanging="720"/>
        <w:jc w:val="both"/>
        <w:rPr>
          <w:noProof/>
        </w:rPr>
      </w:pPr>
      <w:r w:rsidRPr="000A6777">
        <w:rPr>
          <w:noProof/>
        </w:rPr>
        <w:lastRenderedPageBreak/>
        <w:t xml:space="preserve">Vilsbøll, T., Krarup, T., Holst, T., Sonne, T., Madsbad, T., Vølund, T., Juul, T. (2003) Incretin secretion in relation to meal size and body weight in healthy subjects and people with type 1 and type 2 diabetes mellitus. </w:t>
      </w:r>
      <w:r w:rsidRPr="000A6777">
        <w:rPr>
          <w:i/>
          <w:noProof/>
        </w:rPr>
        <w:t>Journal of Clinical Endocrinology and Metabolism,</w:t>
      </w:r>
      <w:r w:rsidRPr="000A6777">
        <w:rPr>
          <w:noProof/>
        </w:rPr>
        <w:t xml:space="preserve"> 88</w:t>
      </w:r>
      <w:r w:rsidRPr="000A6777">
        <w:rPr>
          <w:b/>
          <w:noProof/>
        </w:rPr>
        <w:t>:</w:t>
      </w:r>
      <w:r w:rsidRPr="000A6777">
        <w:rPr>
          <w:noProof/>
        </w:rPr>
        <w:t xml:space="preserve"> 2706-2713.</w:t>
      </w:r>
    </w:p>
    <w:p w14:paraId="1BD3765B" w14:textId="77777777" w:rsidR="00B32AAB" w:rsidRPr="000A6777" w:rsidRDefault="00B32AAB" w:rsidP="000A6777">
      <w:pPr>
        <w:pStyle w:val="EndNoteBibliography"/>
        <w:ind w:left="720" w:hanging="720"/>
        <w:jc w:val="both"/>
        <w:rPr>
          <w:noProof/>
        </w:rPr>
      </w:pPr>
      <w:r w:rsidRPr="000A6777">
        <w:rPr>
          <w:noProof/>
        </w:rPr>
        <w:t>Vilsbøll, T., Krarup, T., Madsbad, S., Holst, J. J. (2001) No reactive hypoglycaemia in Type 2 diabetic patients after subcutaneous administration of GLP</w:t>
      </w:r>
      <w:r w:rsidRPr="000A6777">
        <w:rPr>
          <w:rFonts w:ascii="American Typewriter Condensed" w:hAnsi="American Typewriter Condensed" w:cs="American Typewriter Condensed"/>
          <w:noProof/>
        </w:rPr>
        <w:t>‐</w:t>
      </w:r>
      <w:r w:rsidRPr="000A6777">
        <w:rPr>
          <w:noProof/>
        </w:rPr>
        <w:t xml:space="preserve"> 1 and intravenous glucose. </w:t>
      </w:r>
      <w:r w:rsidRPr="000A6777">
        <w:rPr>
          <w:i/>
          <w:noProof/>
        </w:rPr>
        <w:t>Diabetic Medicine,</w:t>
      </w:r>
      <w:r w:rsidRPr="000A6777">
        <w:rPr>
          <w:noProof/>
        </w:rPr>
        <w:t xml:space="preserve"> 18</w:t>
      </w:r>
      <w:r w:rsidRPr="000A6777">
        <w:rPr>
          <w:b/>
          <w:noProof/>
        </w:rPr>
        <w:t>:</w:t>
      </w:r>
      <w:r w:rsidRPr="000A6777">
        <w:rPr>
          <w:noProof/>
        </w:rPr>
        <w:t xml:space="preserve"> 144-149.</w:t>
      </w:r>
    </w:p>
    <w:p w14:paraId="1A704087" w14:textId="77777777" w:rsidR="00B32AAB" w:rsidRPr="000A6777" w:rsidRDefault="00B32AAB" w:rsidP="000A6777">
      <w:pPr>
        <w:pStyle w:val="EndNoteBibliography"/>
        <w:ind w:left="720" w:hanging="720"/>
        <w:jc w:val="both"/>
        <w:rPr>
          <w:noProof/>
        </w:rPr>
      </w:pPr>
      <w:r w:rsidRPr="000A6777">
        <w:rPr>
          <w:noProof/>
        </w:rPr>
        <w:t xml:space="preserve">Volante, M., Fulcheri, E., Allia, E., Cerrato, M., Pucci, A., Papotti, M. (2002) Ghrelin expression in fetal, infant, and adult human lung. </w:t>
      </w:r>
      <w:r w:rsidR="000B7F5B">
        <w:rPr>
          <w:i/>
          <w:noProof/>
        </w:rPr>
        <w:t>Journal o</w:t>
      </w:r>
      <w:r w:rsidRPr="000A6777">
        <w:rPr>
          <w:i/>
          <w:noProof/>
        </w:rPr>
        <w:t>f Histochemistry and Cytochemistry,</w:t>
      </w:r>
      <w:r w:rsidRPr="000A6777">
        <w:rPr>
          <w:noProof/>
        </w:rPr>
        <w:t xml:space="preserve"> 50</w:t>
      </w:r>
      <w:r w:rsidRPr="000A6777">
        <w:rPr>
          <w:b/>
          <w:noProof/>
        </w:rPr>
        <w:t>:</w:t>
      </w:r>
      <w:r w:rsidRPr="000A6777">
        <w:rPr>
          <w:noProof/>
        </w:rPr>
        <w:t xml:space="preserve"> 1013-1021.</w:t>
      </w:r>
    </w:p>
    <w:p w14:paraId="5F6828BF" w14:textId="77777777" w:rsidR="00B32AAB" w:rsidRPr="000A6777" w:rsidRDefault="00B32AAB" w:rsidP="000A6777">
      <w:pPr>
        <w:pStyle w:val="EndNoteBibliography"/>
        <w:ind w:left="720" w:hanging="720"/>
        <w:jc w:val="both"/>
        <w:rPr>
          <w:noProof/>
        </w:rPr>
      </w:pPr>
      <w:r w:rsidRPr="000A6777">
        <w:rPr>
          <w:noProof/>
        </w:rPr>
        <w:t xml:space="preserve">Wallace, J. M., Rajachar, R. M., Allen, M. R., Bloomfield, S. A., Robey, P. G., Young, M. F., Kohn, D. H. (2007) Exercise- induced changes in the cortical bone of growing mice are bone- and gender- specific. </w:t>
      </w:r>
      <w:r w:rsidRPr="000A6777">
        <w:rPr>
          <w:i/>
          <w:noProof/>
        </w:rPr>
        <w:t>Bone,</w:t>
      </w:r>
      <w:r w:rsidRPr="000A6777">
        <w:rPr>
          <w:noProof/>
        </w:rPr>
        <w:t xml:space="preserve"> 40</w:t>
      </w:r>
      <w:r w:rsidRPr="000A6777">
        <w:rPr>
          <w:b/>
          <w:noProof/>
        </w:rPr>
        <w:t>:</w:t>
      </w:r>
      <w:r w:rsidRPr="000A6777">
        <w:rPr>
          <w:noProof/>
        </w:rPr>
        <w:t xml:space="preserve"> 1120-1127.</w:t>
      </w:r>
    </w:p>
    <w:p w14:paraId="39F01FF2" w14:textId="77777777" w:rsidR="00B32AAB" w:rsidRPr="000A6777" w:rsidRDefault="00B32AAB" w:rsidP="000A6777">
      <w:pPr>
        <w:pStyle w:val="EndNoteBibliography"/>
        <w:ind w:left="720" w:hanging="720"/>
        <w:jc w:val="both"/>
        <w:rPr>
          <w:noProof/>
        </w:rPr>
      </w:pPr>
      <w:r w:rsidRPr="000A6777">
        <w:rPr>
          <w:noProof/>
        </w:rPr>
        <w:t xml:space="preserve">Wang, L., Martı́nez, V., Barrachina, M. D., Taché, Y. (1998) Fos expression in the brain induced by peripheral injection of CCK or leptin plus CCK in fasted lean mice. </w:t>
      </w:r>
      <w:r w:rsidRPr="000A6777">
        <w:rPr>
          <w:i/>
          <w:noProof/>
        </w:rPr>
        <w:t>Brain Research,</w:t>
      </w:r>
      <w:r w:rsidRPr="000A6777">
        <w:rPr>
          <w:noProof/>
        </w:rPr>
        <w:t xml:space="preserve"> 791</w:t>
      </w:r>
      <w:r w:rsidRPr="000A6777">
        <w:rPr>
          <w:b/>
          <w:noProof/>
        </w:rPr>
        <w:t>:</w:t>
      </w:r>
      <w:r w:rsidRPr="000A6777">
        <w:rPr>
          <w:noProof/>
        </w:rPr>
        <w:t xml:space="preserve"> 157-166.</w:t>
      </w:r>
    </w:p>
    <w:p w14:paraId="4C066AB8" w14:textId="77777777" w:rsidR="00B32AAB" w:rsidRPr="000A6777" w:rsidRDefault="00B32AAB" w:rsidP="000A6777">
      <w:pPr>
        <w:pStyle w:val="EndNoteBibliography"/>
        <w:ind w:left="720" w:hanging="720"/>
        <w:jc w:val="both"/>
        <w:rPr>
          <w:noProof/>
        </w:rPr>
      </w:pPr>
      <w:r w:rsidRPr="000A6777">
        <w:rPr>
          <w:noProof/>
        </w:rPr>
        <w:t xml:space="preserve">Wang, X., Shen, X., Li, X., Mauli Agrawal, C. (2002) Age- related changes in the collagen network and toughness of bone. </w:t>
      </w:r>
      <w:r w:rsidRPr="000A6777">
        <w:rPr>
          <w:i/>
          <w:noProof/>
        </w:rPr>
        <w:t>Bone,</w:t>
      </w:r>
      <w:r w:rsidRPr="000A6777">
        <w:rPr>
          <w:noProof/>
        </w:rPr>
        <w:t xml:space="preserve"> 31</w:t>
      </w:r>
      <w:r w:rsidRPr="000A6777">
        <w:rPr>
          <w:b/>
          <w:noProof/>
        </w:rPr>
        <w:t>:</w:t>
      </w:r>
      <w:r w:rsidRPr="000A6777">
        <w:rPr>
          <w:noProof/>
        </w:rPr>
        <w:t xml:space="preserve"> 1-7.</w:t>
      </w:r>
    </w:p>
    <w:p w14:paraId="2D38EC96" w14:textId="77777777" w:rsidR="00B32AAB" w:rsidRPr="000A6777" w:rsidRDefault="00B32AAB" w:rsidP="000A6777">
      <w:pPr>
        <w:pStyle w:val="EndNoteBibliography"/>
        <w:ind w:left="720" w:hanging="720"/>
        <w:jc w:val="both"/>
        <w:rPr>
          <w:noProof/>
        </w:rPr>
      </w:pPr>
      <w:r w:rsidRPr="000A6777">
        <w:rPr>
          <w:noProof/>
        </w:rPr>
        <w:t xml:space="preserve">Wang, Y., Nishi, M., Doi, A., Shono, T., Furukawa, Y., Shimada, T., Furuta, H., Sasaki, H., Nanjo, K. (2010) Ghrelin inhibits insulin secretion through the AMPK–UCP2 pathway in β cells. </w:t>
      </w:r>
      <w:r w:rsidRPr="000A6777">
        <w:rPr>
          <w:i/>
          <w:noProof/>
        </w:rPr>
        <w:t>Federation of European Biochemical Societies Letters,</w:t>
      </w:r>
      <w:r w:rsidRPr="000A6777">
        <w:rPr>
          <w:noProof/>
        </w:rPr>
        <w:t xml:space="preserve"> 584</w:t>
      </w:r>
      <w:r w:rsidRPr="000A6777">
        <w:rPr>
          <w:b/>
          <w:noProof/>
        </w:rPr>
        <w:t>:</w:t>
      </w:r>
      <w:r w:rsidRPr="000A6777">
        <w:rPr>
          <w:noProof/>
        </w:rPr>
        <w:t xml:space="preserve"> 1503-1508.</w:t>
      </w:r>
    </w:p>
    <w:p w14:paraId="7BD904DD" w14:textId="77777777" w:rsidR="00B32AAB" w:rsidRPr="000A6777" w:rsidRDefault="00B32AAB" w:rsidP="000A6777">
      <w:pPr>
        <w:pStyle w:val="EndNoteBibliography"/>
        <w:ind w:left="720" w:hanging="720"/>
        <w:jc w:val="both"/>
        <w:rPr>
          <w:noProof/>
        </w:rPr>
      </w:pPr>
      <w:r w:rsidRPr="000A6777">
        <w:rPr>
          <w:noProof/>
        </w:rPr>
        <w:t xml:space="preserve">Wauters, M., Considine, R. V., Van Gaal, L. F. (2000) Human leptin: From an adipocyte hormone to an endocrine mediator. </w:t>
      </w:r>
      <w:r w:rsidRPr="000A6777">
        <w:rPr>
          <w:i/>
          <w:noProof/>
        </w:rPr>
        <w:t>European Journal of Endocrinology,</w:t>
      </w:r>
      <w:r w:rsidRPr="000A6777">
        <w:rPr>
          <w:noProof/>
        </w:rPr>
        <w:t xml:space="preserve"> 143</w:t>
      </w:r>
      <w:r w:rsidRPr="000A6777">
        <w:rPr>
          <w:b/>
          <w:noProof/>
        </w:rPr>
        <w:t>:</w:t>
      </w:r>
      <w:r w:rsidRPr="000A6777">
        <w:rPr>
          <w:noProof/>
        </w:rPr>
        <w:t xml:space="preserve"> 293-311.</w:t>
      </w:r>
    </w:p>
    <w:p w14:paraId="4F9C9256" w14:textId="77777777" w:rsidR="00B32AAB" w:rsidRPr="000A6777" w:rsidRDefault="00B32AAB" w:rsidP="000A6777">
      <w:pPr>
        <w:pStyle w:val="EndNoteBibliography"/>
        <w:ind w:left="720" w:hanging="720"/>
        <w:jc w:val="both"/>
        <w:rPr>
          <w:noProof/>
        </w:rPr>
      </w:pPr>
      <w:r w:rsidRPr="000A6777">
        <w:rPr>
          <w:noProof/>
        </w:rPr>
        <w:t xml:space="preserve">Weatherholt, A., Fuchs, R., Warden, S. J. (2013) Cortical and trabecular bone adaptation to incremental load magnitudes using the mouse tibial axial compression loading model. </w:t>
      </w:r>
      <w:r w:rsidRPr="000A6777">
        <w:rPr>
          <w:i/>
          <w:noProof/>
        </w:rPr>
        <w:t>Bone,</w:t>
      </w:r>
      <w:r w:rsidRPr="000A6777">
        <w:rPr>
          <w:noProof/>
        </w:rPr>
        <w:t xml:space="preserve"> 52</w:t>
      </w:r>
      <w:r w:rsidRPr="000A6777">
        <w:rPr>
          <w:b/>
          <w:noProof/>
        </w:rPr>
        <w:t>:</w:t>
      </w:r>
      <w:r w:rsidRPr="000A6777">
        <w:rPr>
          <w:noProof/>
        </w:rPr>
        <w:t xml:space="preserve"> 372-379.</w:t>
      </w:r>
    </w:p>
    <w:p w14:paraId="44A6D76A" w14:textId="77777777" w:rsidR="00B32AAB" w:rsidRPr="000A6777" w:rsidRDefault="00B32AAB" w:rsidP="000A6777">
      <w:pPr>
        <w:pStyle w:val="EndNoteBibliography"/>
        <w:ind w:left="720" w:hanging="720"/>
        <w:jc w:val="both"/>
        <w:rPr>
          <w:noProof/>
        </w:rPr>
      </w:pPr>
      <w:r w:rsidRPr="000A6777">
        <w:rPr>
          <w:noProof/>
        </w:rPr>
        <w:t xml:space="preserve">Wehkamp, D., Sokolovic, A., Vermeulen, J., Gilhuijs-Pederson, L. A., Sokolović, M., Sokolović, A., van Haaften, R. I. M., Nikolsky, Y., Evelo, C. T. A., van Kampen, A. H. C., Hakvoort, T. B. M., Lamers, W. H. (2007) Fasting induces a biphasic adaptive metabolic response in murine small intestine. </w:t>
      </w:r>
      <w:r w:rsidRPr="000A6777">
        <w:rPr>
          <w:i/>
          <w:noProof/>
        </w:rPr>
        <w:t>BMC Genomics,</w:t>
      </w:r>
      <w:r w:rsidRPr="000A6777">
        <w:rPr>
          <w:noProof/>
        </w:rPr>
        <w:t xml:space="preserve"> 8</w:t>
      </w:r>
      <w:r w:rsidRPr="000A6777">
        <w:rPr>
          <w:b/>
          <w:noProof/>
        </w:rPr>
        <w:t>:</w:t>
      </w:r>
      <w:r w:rsidRPr="000A6777">
        <w:rPr>
          <w:noProof/>
        </w:rPr>
        <w:t xml:space="preserve"> 1-18.</w:t>
      </w:r>
    </w:p>
    <w:p w14:paraId="4FA2E61B" w14:textId="77777777" w:rsidR="00B32AAB" w:rsidRPr="000A6777" w:rsidRDefault="00B32AAB" w:rsidP="000A6777">
      <w:pPr>
        <w:pStyle w:val="EndNoteBibliography"/>
        <w:ind w:left="720" w:hanging="720"/>
        <w:jc w:val="both"/>
        <w:rPr>
          <w:noProof/>
        </w:rPr>
      </w:pPr>
      <w:r w:rsidRPr="000A6777">
        <w:rPr>
          <w:noProof/>
        </w:rPr>
        <w:t xml:space="preserve">Wehrli, F. W. (2007) Structural and functional assessment of trabecular and cortical bone by micro magnetic resonance imaging. </w:t>
      </w:r>
      <w:r w:rsidRPr="000A6777">
        <w:rPr>
          <w:i/>
          <w:noProof/>
        </w:rPr>
        <w:t>Journal of Magnetic Resonance Imaging,</w:t>
      </w:r>
      <w:r w:rsidRPr="000A6777">
        <w:rPr>
          <w:noProof/>
        </w:rPr>
        <w:t xml:space="preserve"> 25</w:t>
      </w:r>
      <w:r w:rsidRPr="000A6777">
        <w:rPr>
          <w:b/>
          <w:noProof/>
        </w:rPr>
        <w:t>:</w:t>
      </w:r>
      <w:r w:rsidRPr="000A6777">
        <w:rPr>
          <w:noProof/>
        </w:rPr>
        <w:t xml:space="preserve"> 390-409.</w:t>
      </w:r>
    </w:p>
    <w:p w14:paraId="37628987" w14:textId="77777777" w:rsidR="00B32AAB" w:rsidRDefault="00AE5BC3" w:rsidP="000A6777">
      <w:pPr>
        <w:pStyle w:val="EndNoteBibliography"/>
        <w:ind w:left="720" w:hanging="720"/>
        <w:jc w:val="both"/>
        <w:rPr>
          <w:noProof/>
        </w:rPr>
      </w:pPr>
      <w:r>
        <w:rPr>
          <w:noProof/>
        </w:rPr>
        <w:lastRenderedPageBreak/>
        <w:t>Weilbaecher, K. N., Guise, T., A., Mccauley, L.</w:t>
      </w:r>
      <w:r w:rsidR="00B32AAB" w:rsidRPr="000A6777">
        <w:rPr>
          <w:noProof/>
        </w:rPr>
        <w:t xml:space="preserve"> K. (2011) Cancer to bone: a fatal attraction. </w:t>
      </w:r>
      <w:r w:rsidR="00B32AAB" w:rsidRPr="000A6777">
        <w:rPr>
          <w:i/>
          <w:noProof/>
        </w:rPr>
        <w:t>Nature Reviews Cancer,</w:t>
      </w:r>
      <w:r w:rsidR="00B32AAB" w:rsidRPr="000A6777">
        <w:rPr>
          <w:noProof/>
        </w:rPr>
        <w:t xml:space="preserve"> 11</w:t>
      </w:r>
      <w:r w:rsidR="00B32AAB" w:rsidRPr="000A6777">
        <w:rPr>
          <w:b/>
          <w:noProof/>
        </w:rPr>
        <w:t>:</w:t>
      </w:r>
      <w:r w:rsidR="00B32AAB" w:rsidRPr="000A6777">
        <w:rPr>
          <w:noProof/>
        </w:rPr>
        <w:t xml:space="preserve"> 411-425.</w:t>
      </w:r>
    </w:p>
    <w:p w14:paraId="5A42D336" w14:textId="77777777" w:rsidR="00101CC6" w:rsidRPr="000A6777" w:rsidRDefault="00101CC6" w:rsidP="00AE5BC3">
      <w:pPr>
        <w:pStyle w:val="EndNoteBibliography"/>
        <w:ind w:left="720" w:hanging="720"/>
        <w:jc w:val="both"/>
        <w:rPr>
          <w:noProof/>
        </w:rPr>
      </w:pPr>
      <w:r>
        <w:rPr>
          <w:noProof/>
        </w:rPr>
        <w:t>Wein, M.</w:t>
      </w:r>
      <w:r w:rsidR="00AE5BC3">
        <w:rPr>
          <w:noProof/>
        </w:rPr>
        <w:t xml:space="preserve"> N., Liang, Y., Goransson, O., Sundberg, T. B., Wang, J., Williams, E.A., O'Meara, M.J., Govea, N., Beqo, B., Nishimori, S., Nagano, K., Brooks, D. J., Martins, J. S., Corbin, B., Anselmo, A., Sadreyev, R., Wu, J. Y., Sakamoto, K., Foretz, M., Xavier, R. J., Baron, R., Bouxsein, M. L., Gardella, T. J.,Divieti-Pajevic, P., Gray, N. S., Kronenberg, H. M. (2016) SIKs control osteocyte responses to parathyroid hormone. </w:t>
      </w:r>
      <w:r w:rsidR="00AE5BC3" w:rsidRPr="00AE5BC3">
        <w:rPr>
          <w:i/>
          <w:noProof/>
        </w:rPr>
        <w:t>Nature Communications,</w:t>
      </w:r>
      <w:r w:rsidR="00AE5BC3">
        <w:rPr>
          <w:i/>
          <w:noProof/>
        </w:rPr>
        <w:t xml:space="preserve"> </w:t>
      </w:r>
      <w:r w:rsidR="00AE5BC3">
        <w:rPr>
          <w:noProof/>
        </w:rPr>
        <w:t>7:13176 1-17.</w:t>
      </w:r>
      <w:r w:rsidR="00AE5BC3" w:rsidRPr="00AE5BC3">
        <w:rPr>
          <w:i/>
          <w:noProof/>
        </w:rPr>
        <w:t xml:space="preserve">  </w:t>
      </w:r>
      <w:r w:rsidR="00AE5BC3">
        <w:rPr>
          <w:noProof/>
        </w:rPr>
        <w:t xml:space="preserve"> </w:t>
      </w:r>
    </w:p>
    <w:p w14:paraId="50ADB048" w14:textId="77777777" w:rsidR="00B32AAB" w:rsidRPr="000A6777" w:rsidRDefault="00B32AAB" w:rsidP="000A6777">
      <w:pPr>
        <w:pStyle w:val="EndNoteBibliography"/>
        <w:ind w:left="720" w:hanging="720"/>
        <w:jc w:val="both"/>
        <w:rPr>
          <w:noProof/>
        </w:rPr>
      </w:pPr>
      <w:r w:rsidRPr="000A6777">
        <w:rPr>
          <w:noProof/>
        </w:rPr>
        <w:t xml:space="preserve">Weinert, D., Eimert, H., Erkert, H. G., Schneyer, U. (1994) Resynchronization of the Circadian Corticosterone Rhythm After a Light/Dark Shift in Juvenile and Adult Mice. </w:t>
      </w:r>
      <w:r w:rsidR="00FB2990">
        <w:rPr>
          <w:i/>
          <w:noProof/>
        </w:rPr>
        <w:t>Chronobiology I</w:t>
      </w:r>
      <w:r w:rsidRPr="000A6777">
        <w:rPr>
          <w:i/>
          <w:noProof/>
        </w:rPr>
        <w:t>nternational,</w:t>
      </w:r>
      <w:r w:rsidRPr="000A6777">
        <w:rPr>
          <w:noProof/>
        </w:rPr>
        <w:t xml:space="preserve"> 11</w:t>
      </w:r>
      <w:r w:rsidRPr="000A6777">
        <w:rPr>
          <w:b/>
          <w:noProof/>
        </w:rPr>
        <w:t>:</w:t>
      </w:r>
      <w:r w:rsidRPr="000A6777">
        <w:rPr>
          <w:noProof/>
        </w:rPr>
        <w:t xml:space="preserve"> 222-231.</w:t>
      </w:r>
    </w:p>
    <w:p w14:paraId="3250A90D" w14:textId="77777777" w:rsidR="00B32AAB" w:rsidRPr="000A6777" w:rsidRDefault="00B32AAB" w:rsidP="000A6777">
      <w:pPr>
        <w:pStyle w:val="EndNoteBibliography"/>
        <w:ind w:left="720" w:hanging="720"/>
        <w:jc w:val="both"/>
        <w:rPr>
          <w:noProof/>
        </w:rPr>
      </w:pPr>
      <w:r w:rsidRPr="000A6777">
        <w:rPr>
          <w:noProof/>
        </w:rPr>
        <w:t xml:space="preserve">Weinstein, R., Powers, C., Parfitt, A., Manolagas, S. C. (2002) Preservation of osteocyte viability by bisphosphonates contributes to bone strength in glucocorticoid- treated mice independently of BMD: An unappreciated determinant of bone strength. </w:t>
      </w:r>
      <w:r w:rsidRPr="000A6777">
        <w:rPr>
          <w:i/>
          <w:noProof/>
        </w:rPr>
        <w:t>Journal of  Bone and Mineral Research,</w:t>
      </w:r>
      <w:r w:rsidRPr="000A6777">
        <w:rPr>
          <w:noProof/>
        </w:rPr>
        <w:t xml:space="preserve"> 17</w:t>
      </w:r>
      <w:r w:rsidRPr="000A6777">
        <w:rPr>
          <w:b/>
          <w:noProof/>
        </w:rPr>
        <w:t>:</w:t>
      </w:r>
      <w:r w:rsidRPr="000A6777">
        <w:rPr>
          <w:noProof/>
        </w:rPr>
        <w:t xml:space="preserve"> S156-S156.</w:t>
      </w:r>
    </w:p>
    <w:p w14:paraId="5B722AF7" w14:textId="77777777" w:rsidR="00B32AAB" w:rsidRPr="000A6777" w:rsidRDefault="00B32AAB" w:rsidP="000A6777">
      <w:pPr>
        <w:pStyle w:val="EndNoteBibliography"/>
        <w:ind w:left="720" w:hanging="720"/>
        <w:jc w:val="both"/>
        <w:rPr>
          <w:noProof/>
        </w:rPr>
      </w:pPr>
      <w:r w:rsidRPr="000A6777">
        <w:rPr>
          <w:noProof/>
        </w:rPr>
        <w:t xml:space="preserve">Weinstein, R. S., Manolagas, S. C., Nicholas, R. W. (2000) Apoptosis of osteocytes in glucocorticoid- induced osteonecrosis of the hip. </w:t>
      </w:r>
      <w:r w:rsidRPr="000A6777">
        <w:rPr>
          <w:i/>
          <w:noProof/>
        </w:rPr>
        <w:t>Journal of Clinical Endocrinology and Metabolism,</w:t>
      </w:r>
      <w:r w:rsidRPr="000A6777">
        <w:rPr>
          <w:noProof/>
        </w:rPr>
        <w:t xml:space="preserve"> 85</w:t>
      </w:r>
      <w:r w:rsidRPr="000A6777">
        <w:rPr>
          <w:b/>
          <w:noProof/>
        </w:rPr>
        <w:t>:</w:t>
      </w:r>
      <w:r w:rsidRPr="000A6777">
        <w:rPr>
          <w:noProof/>
        </w:rPr>
        <w:t xml:space="preserve"> 2907-2912.</w:t>
      </w:r>
    </w:p>
    <w:p w14:paraId="45E73E5D" w14:textId="77777777" w:rsidR="00B32AAB" w:rsidRPr="000A6777" w:rsidRDefault="00B32AAB" w:rsidP="000A6777">
      <w:pPr>
        <w:pStyle w:val="EndNoteBibliography"/>
        <w:ind w:left="720" w:hanging="720"/>
        <w:jc w:val="both"/>
        <w:rPr>
          <w:noProof/>
        </w:rPr>
      </w:pPr>
      <w:r w:rsidRPr="000A6777">
        <w:rPr>
          <w:noProof/>
        </w:rPr>
        <w:t xml:space="preserve">Weinstein, R. S., Wan, C., Liu, Q., Wang, Y., Almeida, M., O’brien, C. A., Thostenson, J., Roberson, P. K., Boskey, A. L., Clemens, T. L., Manolagas, S. C. (2010) Endogenous glucocorticoids decrease skeletal angiogenesis, vascularity, hydration, and strength in aged mice. </w:t>
      </w:r>
      <w:r w:rsidRPr="000A6777">
        <w:rPr>
          <w:i/>
          <w:noProof/>
        </w:rPr>
        <w:t>Aging Cell,</w:t>
      </w:r>
      <w:r w:rsidRPr="000A6777">
        <w:rPr>
          <w:noProof/>
        </w:rPr>
        <w:t xml:space="preserve"> 9</w:t>
      </w:r>
      <w:r w:rsidRPr="000A6777">
        <w:rPr>
          <w:b/>
          <w:noProof/>
        </w:rPr>
        <w:t>:</w:t>
      </w:r>
      <w:r w:rsidRPr="000A6777">
        <w:rPr>
          <w:noProof/>
        </w:rPr>
        <w:t xml:space="preserve"> 147-161.</w:t>
      </w:r>
    </w:p>
    <w:p w14:paraId="5350608F" w14:textId="77777777" w:rsidR="00B32AAB" w:rsidRPr="000A6777" w:rsidRDefault="00B32AAB" w:rsidP="000A6777">
      <w:pPr>
        <w:pStyle w:val="EndNoteBibliography"/>
        <w:ind w:left="720" w:hanging="720"/>
        <w:jc w:val="both"/>
        <w:rPr>
          <w:noProof/>
        </w:rPr>
      </w:pPr>
      <w:r w:rsidRPr="000A6777">
        <w:rPr>
          <w:noProof/>
        </w:rPr>
        <w:t xml:space="preserve">Weiss, A., Arbell, I., Steinhagen-Thiessen, E., Silbermann, M. (1991) Structural changes in aging bone: Osteopenia in the proximal femurs of female mice. </w:t>
      </w:r>
      <w:r w:rsidRPr="000A6777">
        <w:rPr>
          <w:i/>
          <w:noProof/>
        </w:rPr>
        <w:t>Bone,</w:t>
      </w:r>
      <w:r w:rsidRPr="000A6777">
        <w:rPr>
          <w:noProof/>
        </w:rPr>
        <w:t xml:space="preserve"> 12</w:t>
      </w:r>
      <w:r w:rsidRPr="000A6777">
        <w:rPr>
          <w:b/>
          <w:noProof/>
        </w:rPr>
        <w:t>:</w:t>
      </w:r>
      <w:r w:rsidRPr="000A6777">
        <w:rPr>
          <w:noProof/>
        </w:rPr>
        <w:t xml:space="preserve"> 165-172.</w:t>
      </w:r>
    </w:p>
    <w:p w14:paraId="4D952192" w14:textId="77777777" w:rsidR="00B32AAB" w:rsidRPr="000A6777" w:rsidRDefault="00B32AAB" w:rsidP="000A6777">
      <w:pPr>
        <w:pStyle w:val="EndNoteBibliography"/>
        <w:ind w:left="720" w:hanging="720"/>
        <w:jc w:val="both"/>
        <w:rPr>
          <w:noProof/>
        </w:rPr>
      </w:pPr>
      <w:r w:rsidRPr="000A6777">
        <w:rPr>
          <w:noProof/>
        </w:rPr>
        <w:t xml:space="preserve">Welt, C., Chan, J., Bullen, J., Murphy, R., Smith, P., Depaoli, A., Karalis, A., Mantzoros, C. S. (2004) Recombinant human leptin in women with hypothalamic amenorrhea. </w:t>
      </w:r>
      <w:r w:rsidRPr="000A6777">
        <w:rPr>
          <w:i/>
          <w:noProof/>
        </w:rPr>
        <w:t>The New England Journal of Medicine,</w:t>
      </w:r>
      <w:r w:rsidRPr="000A6777">
        <w:rPr>
          <w:noProof/>
        </w:rPr>
        <w:t xml:space="preserve"> 351</w:t>
      </w:r>
      <w:r w:rsidRPr="000A6777">
        <w:rPr>
          <w:b/>
          <w:noProof/>
        </w:rPr>
        <w:t>:</w:t>
      </w:r>
      <w:r w:rsidRPr="000A6777">
        <w:rPr>
          <w:noProof/>
        </w:rPr>
        <w:t xml:space="preserve"> 987-997.</w:t>
      </w:r>
    </w:p>
    <w:p w14:paraId="6D35ACC9" w14:textId="77777777" w:rsidR="00B32AAB" w:rsidRPr="000A6777" w:rsidRDefault="00B32AAB" w:rsidP="000A6777">
      <w:pPr>
        <w:pStyle w:val="EndNoteBibliography"/>
        <w:ind w:left="720" w:hanging="720"/>
        <w:jc w:val="both"/>
        <w:rPr>
          <w:noProof/>
        </w:rPr>
      </w:pPr>
      <w:r w:rsidRPr="000A6777">
        <w:rPr>
          <w:noProof/>
        </w:rPr>
        <w:t xml:space="preserve">Westendorf, J. J., Kahler, R. A., Schroeder, T. M. (2004) Wnt signaling in osteoblasts and bone diseases. </w:t>
      </w:r>
      <w:r w:rsidRPr="000A6777">
        <w:rPr>
          <w:i/>
          <w:noProof/>
        </w:rPr>
        <w:t>Gene,</w:t>
      </w:r>
      <w:r w:rsidRPr="000A6777">
        <w:rPr>
          <w:noProof/>
        </w:rPr>
        <w:t xml:space="preserve"> 341</w:t>
      </w:r>
      <w:r w:rsidRPr="000A6777">
        <w:rPr>
          <w:b/>
          <w:noProof/>
        </w:rPr>
        <w:t>:</w:t>
      </w:r>
      <w:r w:rsidRPr="000A6777">
        <w:rPr>
          <w:noProof/>
        </w:rPr>
        <w:t xml:space="preserve"> 19-39.</w:t>
      </w:r>
    </w:p>
    <w:p w14:paraId="3F32978D" w14:textId="77777777" w:rsidR="00B32AAB" w:rsidRPr="000A6777" w:rsidRDefault="00B32AAB" w:rsidP="000A6777">
      <w:pPr>
        <w:pStyle w:val="EndNoteBibliography"/>
        <w:ind w:left="720" w:hanging="720"/>
        <w:jc w:val="both"/>
        <w:rPr>
          <w:noProof/>
        </w:rPr>
      </w:pPr>
      <w:r w:rsidRPr="000A6777">
        <w:rPr>
          <w:noProof/>
        </w:rPr>
        <w:t xml:space="preserve">Wichers, M., Schmidt, E., Bidlingmaier, F., Klingmüller, D. (1999) Diurnal rhythm of crosslaps in human serum. </w:t>
      </w:r>
      <w:r w:rsidRPr="000A6777">
        <w:rPr>
          <w:i/>
          <w:noProof/>
        </w:rPr>
        <w:t>Clinical Chemistry,</w:t>
      </w:r>
      <w:r w:rsidRPr="000A6777">
        <w:rPr>
          <w:noProof/>
        </w:rPr>
        <w:t xml:space="preserve"> 45</w:t>
      </w:r>
      <w:r w:rsidRPr="000A6777">
        <w:rPr>
          <w:b/>
          <w:noProof/>
        </w:rPr>
        <w:t>:</w:t>
      </w:r>
      <w:r w:rsidRPr="000A6777">
        <w:rPr>
          <w:noProof/>
        </w:rPr>
        <w:t xml:space="preserve"> 1858-1860.</w:t>
      </w:r>
    </w:p>
    <w:p w14:paraId="12ECD1DE" w14:textId="77777777" w:rsidR="00B32AAB" w:rsidRPr="000A6777" w:rsidRDefault="00B32AAB" w:rsidP="000A6777">
      <w:pPr>
        <w:pStyle w:val="EndNoteBibliography"/>
        <w:ind w:left="720" w:hanging="720"/>
        <w:jc w:val="both"/>
        <w:rPr>
          <w:noProof/>
        </w:rPr>
      </w:pPr>
      <w:r w:rsidRPr="000A6777">
        <w:rPr>
          <w:noProof/>
        </w:rPr>
        <w:t xml:space="preserve">Wilkinson, S., Tarnopolsky, M., Macdonald, M., Macdonald, J. (2007) Consumption of fluid skim milk promotes greater muscle protein accretion after resistance exercise than does consumption of an isonitrogenous and isoenergetic soy- protein beverage. </w:t>
      </w:r>
      <w:r w:rsidR="00FB2990">
        <w:rPr>
          <w:i/>
          <w:noProof/>
        </w:rPr>
        <w:t>The American Journal of Clinical N</w:t>
      </w:r>
      <w:r w:rsidRPr="000A6777">
        <w:rPr>
          <w:i/>
          <w:noProof/>
        </w:rPr>
        <w:t>utrition,</w:t>
      </w:r>
      <w:r w:rsidRPr="000A6777">
        <w:rPr>
          <w:noProof/>
        </w:rPr>
        <w:t xml:space="preserve"> 85</w:t>
      </w:r>
      <w:r w:rsidRPr="000A6777">
        <w:rPr>
          <w:b/>
          <w:noProof/>
        </w:rPr>
        <w:t>:</w:t>
      </w:r>
      <w:r w:rsidRPr="000A6777">
        <w:rPr>
          <w:noProof/>
        </w:rPr>
        <w:t xml:space="preserve"> 1031-1040.</w:t>
      </w:r>
    </w:p>
    <w:p w14:paraId="223BFCBB" w14:textId="77777777" w:rsidR="00B32AAB" w:rsidRPr="000A6777" w:rsidRDefault="00B32AAB" w:rsidP="000A6777">
      <w:pPr>
        <w:pStyle w:val="EndNoteBibliography"/>
        <w:ind w:left="720" w:hanging="720"/>
        <w:jc w:val="both"/>
        <w:rPr>
          <w:noProof/>
        </w:rPr>
      </w:pPr>
      <w:r w:rsidRPr="000A6777">
        <w:rPr>
          <w:noProof/>
        </w:rPr>
        <w:lastRenderedPageBreak/>
        <w:t xml:space="preserve">Wilks, D. C., Winwood, K., Gilliver, S. F., Kwiet, A., Chatfield, M., Michaelis, I., Sun, L. W., Ferretti, J. L., Sargeant, A. J., Felsenberg, D., Rittweger, J. (2009) Bone mass and geometry of the tibia and the radius of master sprinters, middle and long distance runners, race- walkers and sedentary control participants: A pQCT study. </w:t>
      </w:r>
      <w:r w:rsidRPr="000A6777">
        <w:rPr>
          <w:i/>
          <w:noProof/>
        </w:rPr>
        <w:t>Bone,</w:t>
      </w:r>
      <w:r w:rsidRPr="000A6777">
        <w:rPr>
          <w:noProof/>
        </w:rPr>
        <w:t xml:space="preserve"> 45</w:t>
      </w:r>
      <w:r w:rsidRPr="000A6777">
        <w:rPr>
          <w:b/>
          <w:noProof/>
        </w:rPr>
        <w:t>:</w:t>
      </w:r>
      <w:r w:rsidRPr="000A6777">
        <w:rPr>
          <w:noProof/>
        </w:rPr>
        <w:t xml:space="preserve"> 91-97.</w:t>
      </w:r>
    </w:p>
    <w:p w14:paraId="725B458E" w14:textId="77777777" w:rsidR="00B32AAB" w:rsidRPr="000A6777" w:rsidRDefault="00B32AAB" w:rsidP="000A6777">
      <w:pPr>
        <w:pStyle w:val="EndNoteBibliography"/>
        <w:ind w:left="720" w:hanging="720"/>
        <w:jc w:val="both"/>
        <w:rPr>
          <w:noProof/>
        </w:rPr>
      </w:pPr>
      <w:r w:rsidRPr="000A6777">
        <w:rPr>
          <w:noProof/>
        </w:rPr>
        <w:t xml:space="preserve">Willie, B. M., Birkhold, A. I., Razi, H., Thiele, T., Aido, M., Kruck, B., Schill, A., Checa, S., Main, R., Duda, G. (2013) Diminished response to in vivo mechanical loading in trabecular and not cortical bone in adulthood of female C57Bl/6 mice coincides with a reduction in deformation to load. </w:t>
      </w:r>
      <w:r w:rsidRPr="000A6777">
        <w:rPr>
          <w:i/>
          <w:noProof/>
        </w:rPr>
        <w:t>Bone,</w:t>
      </w:r>
      <w:r w:rsidRPr="000A6777">
        <w:rPr>
          <w:noProof/>
        </w:rPr>
        <w:t xml:space="preserve"> 55</w:t>
      </w:r>
      <w:r w:rsidRPr="000A6777">
        <w:rPr>
          <w:b/>
          <w:noProof/>
        </w:rPr>
        <w:t>:</w:t>
      </w:r>
      <w:r w:rsidRPr="000A6777">
        <w:rPr>
          <w:noProof/>
        </w:rPr>
        <w:t xml:space="preserve"> 335-346.</w:t>
      </w:r>
    </w:p>
    <w:p w14:paraId="32885E8F" w14:textId="77777777" w:rsidR="00B32AAB" w:rsidRPr="000A6777" w:rsidRDefault="00B32AAB" w:rsidP="000A6777">
      <w:pPr>
        <w:pStyle w:val="EndNoteBibliography"/>
        <w:ind w:left="720" w:hanging="720"/>
        <w:jc w:val="both"/>
        <w:rPr>
          <w:noProof/>
        </w:rPr>
      </w:pPr>
      <w:r w:rsidRPr="000A6777">
        <w:rPr>
          <w:noProof/>
        </w:rPr>
        <w:t xml:space="preserve">Willinghamm, M., Brodt, M., Lee, K., Stephens, A., Ye, J., Silva, M. (2010) Age- Related Changes in Bone Structure and Strength in Female and Male BALB/ c Mice. </w:t>
      </w:r>
      <w:r w:rsidRPr="000A6777">
        <w:rPr>
          <w:i/>
          <w:noProof/>
        </w:rPr>
        <w:t>Calcified Tissue International,</w:t>
      </w:r>
      <w:r w:rsidRPr="000A6777">
        <w:rPr>
          <w:noProof/>
        </w:rPr>
        <w:t xml:space="preserve"> 86</w:t>
      </w:r>
      <w:r w:rsidRPr="000A6777">
        <w:rPr>
          <w:b/>
          <w:noProof/>
        </w:rPr>
        <w:t>:</w:t>
      </w:r>
      <w:r w:rsidRPr="000A6777">
        <w:rPr>
          <w:noProof/>
        </w:rPr>
        <w:t xml:space="preserve"> 470-483.</w:t>
      </w:r>
    </w:p>
    <w:p w14:paraId="34A06519" w14:textId="77777777" w:rsidR="00B32AAB" w:rsidRPr="000A6777" w:rsidRDefault="00B32AAB" w:rsidP="000A6777">
      <w:pPr>
        <w:pStyle w:val="EndNoteBibliography"/>
        <w:ind w:left="720" w:hanging="720"/>
        <w:jc w:val="both"/>
        <w:rPr>
          <w:noProof/>
        </w:rPr>
      </w:pPr>
      <w:r w:rsidRPr="000A6777">
        <w:rPr>
          <w:noProof/>
        </w:rPr>
        <w:t xml:space="preserve">Windahl, S. H., Andersson, G., Gustafsson, J.-Å. (2002) Elucidation of estrogen receptor function in bone with the use of mouse models. </w:t>
      </w:r>
      <w:r w:rsidRPr="000A6777">
        <w:rPr>
          <w:i/>
          <w:noProof/>
        </w:rPr>
        <w:t>Trends in Endocrinology and Metabolism,</w:t>
      </w:r>
      <w:r w:rsidRPr="000A6777">
        <w:rPr>
          <w:noProof/>
        </w:rPr>
        <w:t xml:space="preserve"> 13</w:t>
      </w:r>
      <w:r w:rsidRPr="000A6777">
        <w:rPr>
          <w:b/>
          <w:noProof/>
        </w:rPr>
        <w:t>:</w:t>
      </w:r>
      <w:r w:rsidRPr="000A6777">
        <w:rPr>
          <w:noProof/>
        </w:rPr>
        <w:t xml:space="preserve"> 195-200.</w:t>
      </w:r>
    </w:p>
    <w:p w14:paraId="08533F0F" w14:textId="77777777" w:rsidR="00B32AAB" w:rsidRPr="000A6777" w:rsidRDefault="00B32AAB" w:rsidP="000A6777">
      <w:pPr>
        <w:pStyle w:val="EndNoteBibliography"/>
        <w:ind w:left="720" w:hanging="720"/>
        <w:jc w:val="both"/>
        <w:rPr>
          <w:noProof/>
        </w:rPr>
      </w:pPr>
      <w:r w:rsidRPr="000A6777">
        <w:rPr>
          <w:noProof/>
        </w:rPr>
        <w:t>Windahl, S. H., Saxon, L., Börjesson, A. E., Lagerquist, M. K., Frenkel, B., Henning, P., Lerner, U. H., Galea, G. L., Meakin, L. B., Engdahl, C., Sjögren, K., Antal, M. C., Krust, A., Chambon, P., Lanyon, L. E., Price, J. S., Ohlsson, C. (2013) Estrogen receptor</w:t>
      </w:r>
      <w:r w:rsidRPr="000A6777">
        <w:rPr>
          <w:rFonts w:ascii="American Typewriter Condensed" w:hAnsi="American Typewriter Condensed" w:cs="American Typewriter Condensed"/>
          <w:noProof/>
        </w:rPr>
        <w:t>‐</w:t>
      </w:r>
      <w:r w:rsidRPr="000A6777">
        <w:rPr>
          <w:noProof/>
        </w:rPr>
        <w:t>α is required for the osteogenic response to mechanical loading in a ligand</w:t>
      </w:r>
      <w:r w:rsidRPr="000A6777">
        <w:rPr>
          <w:rFonts w:ascii="American Typewriter Condensed" w:hAnsi="American Typewriter Condensed" w:cs="American Typewriter Condensed"/>
          <w:noProof/>
        </w:rPr>
        <w:t>‐</w:t>
      </w:r>
      <w:r w:rsidRPr="000A6777">
        <w:rPr>
          <w:noProof/>
        </w:rPr>
        <w:t xml:space="preserve">independent manner involving its activation function 1 but not 2. </w:t>
      </w:r>
      <w:r w:rsidRPr="000A6777">
        <w:rPr>
          <w:i/>
          <w:noProof/>
        </w:rPr>
        <w:t>Journal of Bone and Mineral Research,</w:t>
      </w:r>
      <w:r w:rsidRPr="000A6777">
        <w:rPr>
          <w:noProof/>
        </w:rPr>
        <w:t xml:space="preserve"> 28</w:t>
      </w:r>
      <w:r w:rsidRPr="000A6777">
        <w:rPr>
          <w:b/>
          <w:noProof/>
        </w:rPr>
        <w:t>:</w:t>
      </w:r>
      <w:r w:rsidRPr="000A6777">
        <w:rPr>
          <w:noProof/>
        </w:rPr>
        <w:t xml:space="preserve"> 291-301.</w:t>
      </w:r>
    </w:p>
    <w:p w14:paraId="7CA6E728" w14:textId="77777777" w:rsidR="00B32AAB" w:rsidRPr="000A6777" w:rsidRDefault="00B32AAB" w:rsidP="000A6777">
      <w:pPr>
        <w:pStyle w:val="EndNoteBibliography"/>
        <w:ind w:left="720" w:hanging="720"/>
        <w:jc w:val="both"/>
        <w:rPr>
          <w:noProof/>
        </w:rPr>
      </w:pPr>
      <w:r w:rsidRPr="000A6777">
        <w:rPr>
          <w:noProof/>
        </w:rPr>
        <w:t xml:space="preserve">Wolff, J. (1986) </w:t>
      </w:r>
      <w:r w:rsidRPr="000A6777">
        <w:rPr>
          <w:i/>
          <w:noProof/>
        </w:rPr>
        <w:t xml:space="preserve">The Law of Bone Remodelling, </w:t>
      </w:r>
      <w:r w:rsidRPr="000A6777">
        <w:rPr>
          <w:noProof/>
        </w:rPr>
        <w:t xml:space="preserve">Berlin, Heidelberg, Springer-Verlag </w:t>
      </w:r>
    </w:p>
    <w:p w14:paraId="29FED907" w14:textId="77777777" w:rsidR="00B32AAB" w:rsidRPr="000A6777" w:rsidRDefault="00B32AAB" w:rsidP="000A6777">
      <w:pPr>
        <w:pStyle w:val="EndNoteBibliography"/>
        <w:ind w:left="720" w:hanging="720"/>
        <w:jc w:val="both"/>
        <w:rPr>
          <w:noProof/>
        </w:rPr>
      </w:pPr>
      <w:r w:rsidRPr="000A6777">
        <w:rPr>
          <w:noProof/>
        </w:rPr>
        <w:t xml:space="preserve">Woo, L. S., Kuei, C. S., Amiel, A. D., Gomez, C. M., Hayes, C. W., White, H. F., Akeson, H. W. (1981) The effect of prolonged physical training on the properties of long bone: a study of Wolffʼs Law. </w:t>
      </w:r>
      <w:r w:rsidRPr="000A6777">
        <w:rPr>
          <w:i/>
          <w:noProof/>
        </w:rPr>
        <w:t>The Journal of Bone and Joint Surgery,</w:t>
      </w:r>
      <w:r w:rsidRPr="000A6777">
        <w:rPr>
          <w:noProof/>
        </w:rPr>
        <w:t xml:space="preserve"> 63</w:t>
      </w:r>
      <w:r w:rsidRPr="000A6777">
        <w:rPr>
          <w:b/>
          <w:noProof/>
        </w:rPr>
        <w:t>:</w:t>
      </w:r>
      <w:r w:rsidRPr="000A6777">
        <w:rPr>
          <w:noProof/>
        </w:rPr>
        <w:t xml:space="preserve"> 780-787.</w:t>
      </w:r>
    </w:p>
    <w:p w14:paraId="30D89FCF" w14:textId="77777777" w:rsidR="00B32AAB" w:rsidRPr="000A6777" w:rsidRDefault="00B32AAB" w:rsidP="000A6777">
      <w:pPr>
        <w:pStyle w:val="EndNoteBibliography"/>
        <w:ind w:left="720" w:hanging="720"/>
        <w:jc w:val="both"/>
        <w:rPr>
          <w:noProof/>
        </w:rPr>
      </w:pPr>
      <w:r w:rsidRPr="000A6777">
        <w:rPr>
          <w:noProof/>
        </w:rPr>
        <w:t xml:space="preserve">Woods, S. C., Lutz, T. A., Geary, N., Langhans, W. (2006) Pancreatic signals controlling food intake; insulin, glucagon and amylin. </w:t>
      </w:r>
      <w:r w:rsidRPr="000A6777">
        <w:rPr>
          <w:i/>
          <w:noProof/>
        </w:rPr>
        <w:t>Philosophical Transactions of the Royal Society B,</w:t>
      </w:r>
      <w:r w:rsidRPr="000A6777">
        <w:rPr>
          <w:noProof/>
        </w:rPr>
        <w:t xml:space="preserve"> 361</w:t>
      </w:r>
      <w:r w:rsidRPr="000A6777">
        <w:rPr>
          <w:b/>
          <w:noProof/>
        </w:rPr>
        <w:t>:</w:t>
      </w:r>
      <w:r w:rsidRPr="000A6777">
        <w:rPr>
          <w:noProof/>
        </w:rPr>
        <w:t xml:space="preserve"> 1219-1235.</w:t>
      </w:r>
    </w:p>
    <w:p w14:paraId="01779FDF" w14:textId="77777777" w:rsidR="00B32AAB" w:rsidRPr="000A6777" w:rsidRDefault="00B32AAB" w:rsidP="000A6777">
      <w:pPr>
        <w:pStyle w:val="EndNoteBibliography"/>
        <w:ind w:left="720" w:hanging="720"/>
        <w:jc w:val="both"/>
        <w:rPr>
          <w:noProof/>
        </w:rPr>
      </w:pPr>
      <w:r w:rsidRPr="000A6777">
        <w:rPr>
          <w:noProof/>
        </w:rPr>
        <w:t xml:space="preserve">Xie, D., Cheng, H., Hamrick, M., Zhong, Q., Dong, K., Correa, D., Williams, S., Mulloy, A., Bollag, W., Bollag, R., Runner, R., McPherson, J., Insogna, K., Isales, C. M. (2005a) Glucose- dependent insulinotropic polypeptide receptor knockout mice have altered bone turnover. </w:t>
      </w:r>
      <w:r w:rsidRPr="000A6777">
        <w:rPr>
          <w:i/>
          <w:noProof/>
        </w:rPr>
        <w:t>Bone,</w:t>
      </w:r>
      <w:r w:rsidRPr="000A6777">
        <w:rPr>
          <w:noProof/>
        </w:rPr>
        <w:t xml:space="preserve"> 37</w:t>
      </w:r>
      <w:r w:rsidRPr="000A6777">
        <w:rPr>
          <w:b/>
          <w:noProof/>
        </w:rPr>
        <w:t>:</w:t>
      </w:r>
      <w:r w:rsidRPr="000A6777">
        <w:rPr>
          <w:noProof/>
        </w:rPr>
        <w:t xml:space="preserve"> 759-769.</w:t>
      </w:r>
    </w:p>
    <w:p w14:paraId="653CCF0E" w14:textId="77777777" w:rsidR="00B32AAB" w:rsidRPr="000A6777" w:rsidRDefault="00B32AAB" w:rsidP="000A6777">
      <w:pPr>
        <w:pStyle w:val="EndNoteBibliography"/>
        <w:ind w:left="720" w:hanging="720"/>
        <w:jc w:val="both"/>
        <w:rPr>
          <w:noProof/>
        </w:rPr>
      </w:pPr>
      <w:r w:rsidRPr="000A6777">
        <w:rPr>
          <w:noProof/>
        </w:rPr>
        <w:t xml:space="preserve">Xie, D., Ding, K., Hamrick, M., Mulloy, A. L., Insogna, K., Isales, C. M. (2004) Glucose- dependent insulinotropic peptide regulates bone turnover in vivo. </w:t>
      </w:r>
      <w:r w:rsidRPr="000A6777">
        <w:rPr>
          <w:i/>
          <w:noProof/>
        </w:rPr>
        <w:t>Journal of Bone and Mineral Research,</w:t>
      </w:r>
      <w:r w:rsidRPr="000A6777">
        <w:rPr>
          <w:noProof/>
        </w:rPr>
        <w:t xml:space="preserve"> 19</w:t>
      </w:r>
      <w:r w:rsidRPr="000A6777">
        <w:rPr>
          <w:b/>
          <w:noProof/>
        </w:rPr>
        <w:t>:</w:t>
      </w:r>
      <w:r w:rsidRPr="000A6777">
        <w:rPr>
          <w:noProof/>
        </w:rPr>
        <w:t xml:space="preserve"> S462-S462.</w:t>
      </w:r>
    </w:p>
    <w:p w14:paraId="68E029E5" w14:textId="77777777" w:rsidR="00B32AAB" w:rsidRPr="000A6777" w:rsidRDefault="00B32AAB" w:rsidP="000A6777">
      <w:pPr>
        <w:pStyle w:val="EndNoteBibliography"/>
        <w:ind w:left="720" w:hanging="720"/>
        <w:jc w:val="both"/>
        <w:rPr>
          <w:noProof/>
        </w:rPr>
      </w:pPr>
      <w:r w:rsidRPr="000A6777">
        <w:rPr>
          <w:noProof/>
        </w:rPr>
        <w:lastRenderedPageBreak/>
        <w:t xml:space="preserve">Xie, D., Zhong, Q., Ding, K., Cheng, H., Williams, S., Correa, D., Bollag, W., Bollag, R., Insogna, K., Troiano, N., Coady, C., Hamrick, M., Isales, C. M. (2007) Glucose-dependent insulinotropic peptide-overexpressing transgenic mice have increased bone mass. </w:t>
      </w:r>
      <w:r w:rsidRPr="000A6777">
        <w:rPr>
          <w:i/>
          <w:noProof/>
        </w:rPr>
        <w:t>Bone,</w:t>
      </w:r>
      <w:r w:rsidRPr="000A6777">
        <w:rPr>
          <w:noProof/>
        </w:rPr>
        <w:t xml:space="preserve"> 40</w:t>
      </w:r>
      <w:r w:rsidRPr="000A6777">
        <w:rPr>
          <w:b/>
          <w:noProof/>
        </w:rPr>
        <w:t>:</w:t>
      </w:r>
      <w:r w:rsidRPr="000A6777">
        <w:rPr>
          <w:noProof/>
        </w:rPr>
        <w:t xml:space="preserve"> 1352-1360.</w:t>
      </w:r>
    </w:p>
    <w:p w14:paraId="7AB42B60" w14:textId="77777777" w:rsidR="00B32AAB" w:rsidRPr="000A6777" w:rsidRDefault="00B32AAB" w:rsidP="000A6777">
      <w:pPr>
        <w:pStyle w:val="EndNoteBibliography"/>
        <w:ind w:left="720" w:hanging="720"/>
        <w:jc w:val="both"/>
        <w:rPr>
          <w:noProof/>
        </w:rPr>
      </w:pPr>
      <w:r w:rsidRPr="000A6777">
        <w:rPr>
          <w:noProof/>
        </w:rPr>
        <w:t xml:space="preserve">Xie, J., Mehendale, Sr., Li, X., Quigg, R., Wang, X., Wang, C., Wu, J., Aung, H., Rue, P. A., Bell, G. I., Yuan, C. S. (2005b) Anti- diabetic effect of ginsenoside Re in ob/ ob mice. </w:t>
      </w:r>
      <w:r w:rsidRPr="000A6777">
        <w:rPr>
          <w:i/>
          <w:noProof/>
        </w:rPr>
        <w:t>Biochimica et Biophysica Acta - Molecular Basis of Disease,</w:t>
      </w:r>
      <w:r w:rsidRPr="000A6777">
        <w:rPr>
          <w:noProof/>
        </w:rPr>
        <w:t xml:space="preserve"> 1740</w:t>
      </w:r>
      <w:r w:rsidRPr="000A6777">
        <w:rPr>
          <w:b/>
          <w:noProof/>
        </w:rPr>
        <w:t>:</w:t>
      </w:r>
      <w:r w:rsidRPr="000A6777">
        <w:rPr>
          <w:noProof/>
        </w:rPr>
        <w:t xml:space="preserve"> 319-325.</w:t>
      </w:r>
    </w:p>
    <w:p w14:paraId="6CF1055F" w14:textId="77777777" w:rsidR="00B32AAB" w:rsidRPr="000A6777" w:rsidRDefault="00B32AAB" w:rsidP="000A6777">
      <w:pPr>
        <w:pStyle w:val="EndNoteBibliography"/>
        <w:ind w:left="720" w:hanging="720"/>
        <w:jc w:val="both"/>
        <w:rPr>
          <w:noProof/>
        </w:rPr>
      </w:pPr>
      <w:r w:rsidRPr="000A6777">
        <w:rPr>
          <w:noProof/>
        </w:rPr>
        <w:t xml:space="preserve">Xiong, J., Onal, M., Jilka, R. L., Weinstein, R. S., Manolagas, S. C., Brien, C. A. (2011) Matrix- embedded cells control osteoclast formation. </w:t>
      </w:r>
      <w:r w:rsidRPr="000A6777">
        <w:rPr>
          <w:i/>
          <w:noProof/>
        </w:rPr>
        <w:t>Nature Medicine,</w:t>
      </w:r>
      <w:r w:rsidRPr="000A6777">
        <w:rPr>
          <w:noProof/>
        </w:rPr>
        <w:t xml:space="preserve"> 17</w:t>
      </w:r>
      <w:r w:rsidRPr="000A6777">
        <w:rPr>
          <w:b/>
          <w:noProof/>
        </w:rPr>
        <w:t>:</w:t>
      </w:r>
      <w:r w:rsidRPr="000A6777">
        <w:rPr>
          <w:noProof/>
        </w:rPr>
        <w:t xml:space="preserve"> 1235-1241.</w:t>
      </w:r>
    </w:p>
    <w:p w14:paraId="75680552" w14:textId="77777777" w:rsidR="00B32AAB" w:rsidRPr="000A6777" w:rsidRDefault="00B32AAB" w:rsidP="000A6777">
      <w:pPr>
        <w:pStyle w:val="EndNoteBibliography"/>
        <w:ind w:left="720" w:hanging="720"/>
        <w:jc w:val="both"/>
        <w:rPr>
          <w:noProof/>
        </w:rPr>
      </w:pPr>
      <w:r w:rsidRPr="000A6777">
        <w:rPr>
          <w:noProof/>
        </w:rPr>
        <w:t xml:space="preserve">Yadav, V. K., Oury, F., Suda, N., Confavreux, C., Karsenty, G., Liu, Z.-W., Gao, X.-B., Horvath, T. L., Klemenhagen, K. C., Tanaka, K. F., Hen, R., Gingrich, J. A., Guo, X. E., Tecott, L. H., Mann, J. J. (2009) A Serotonin- Dependent Mechanism Explains the Leptin Regulation of Bone Mass, Appetite, and Energy Expenditure. </w:t>
      </w:r>
      <w:r w:rsidRPr="000A6777">
        <w:rPr>
          <w:i/>
          <w:noProof/>
        </w:rPr>
        <w:t>Cell,</w:t>
      </w:r>
      <w:r w:rsidRPr="000A6777">
        <w:rPr>
          <w:noProof/>
        </w:rPr>
        <w:t xml:space="preserve"> 138</w:t>
      </w:r>
      <w:r w:rsidRPr="000A6777">
        <w:rPr>
          <w:b/>
          <w:noProof/>
        </w:rPr>
        <w:t>:</w:t>
      </w:r>
      <w:r w:rsidRPr="000A6777">
        <w:rPr>
          <w:noProof/>
        </w:rPr>
        <w:t xml:space="preserve"> 976-989.</w:t>
      </w:r>
    </w:p>
    <w:p w14:paraId="32A105B6" w14:textId="77777777" w:rsidR="00B32AAB" w:rsidRPr="000A6777" w:rsidRDefault="00B32AAB" w:rsidP="000A6777">
      <w:pPr>
        <w:pStyle w:val="EndNoteBibliography"/>
        <w:ind w:left="720" w:hanging="720"/>
        <w:jc w:val="both"/>
        <w:rPr>
          <w:noProof/>
        </w:rPr>
      </w:pPr>
      <w:r w:rsidRPr="000A6777">
        <w:rPr>
          <w:noProof/>
        </w:rPr>
        <w:t xml:space="preserve">Yamada, C., Yamada, Y., Tsukiyama, K., Yamada, K., Udagawa, N., Takahashi, N., Tanaka, K., Drucker, D. J., Seino, Y., Inagaki, N. (2008) The murine glucagon-like peptide-1 receptor is essential for control of bone resorption. </w:t>
      </w:r>
      <w:r w:rsidRPr="000A6777">
        <w:rPr>
          <w:i/>
          <w:noProof/>
        </w:rPr>
        <w:t>Endocrinology,</w:t>
      </w:r>
      <w:r w:rsidRPr="000A6777">
        <w:rPr>
          <w:noProof/>
        </w:rPr>
        <w:t xml:space="preserve"> 149</w:t>
      </w:r>
      <w:r w:rsidRPr="000A6777">
        <w:rPr>
          <w:b/>
          <w:noProof/>
        </w:rPr>
        <w:t>:</w:t>
      </w:r>
      <w:r w:rsidRPr="000A6777">
        <w:rPr>
          <w:noProof/>
        </w:rPr>
        <w:t xml:space="preserve"> 574-579.</w:t>
      </w:r>
    </w:p>
    <w:p w14:paraId="6664F8BF" w14:textId="77777777" w:rsidR="00B32AAB" w:rsidRPr="000A6777" w:rsidRDefault="00B32AAB" w:rsidP="000A6777">
      <w:pPr>
        <w:pStyle w:val="EndNoteBibliography"/>
        <w:ind w:left="720" w:hanging="720"/>
        <w:jc w:val="both"/>
        <w:rPr>
          <w:noProof/>
        </w:rPr>
      </w:pPr>
      <w:r w:rsidRPr="000A6777">
        <w:rPr>
          <w:noProof/>
        </w:rPr>
        <w:t xml:space="preserve">Yasuda, T., Masaki, T., Kakuma, T., Yoshimatsu, H. (2003) Centrally administered ghrelin suppresses sympathetic nerve activity in brown adipose tissue of rats. </w:t>
      </w:r>
      <w:r w:rsidRPr="000A6777">
        <w:rPr>
          <w:i/>
          <w:noProof/>
        </w:rPr>
        <w:t>Neuroscience Letters,</w:t>
      </w:r>
      <w:r w:rsidRPr="000A6777">
        <w:rPr>
          <w:noProof/>
        </w:rPr>
        <w:t xml:space="preserve"> 349</w:t>
      </w:r>
      <w:r w:rsidRPr="000A6777">
        <w:rPr>
          <w:b/>
          <w:noProof/>
        </w:rPr>
        <w:t>:</w:t>
      </w:r>
      <w:r w:rsidRPr="000A6777">
        <w:rPr>
          <w:noProof/>
        </w:rPr>
        <w:t xml:space="preserve"> 75-78.</w:t>
      </w:r>
    </w:p>
    <w:p w14:paraId="4AA7AB3A" w14:textId="77777777" w:rsidR="00B32AAB" w:rsidRPr="000A6777" w:rsidRDefault="00B32AAB" w:rsidP="000A6777">
      <w:pPr>
        <w:pStyle w:val="EndNoteBibliography"/>
        <w:ind w:left="720" w:hanging="720"/>
        <w:jc w:val="both"/>
        <w:rPr>
          <w:noProof/>
        </w:rPr>
      </w:pPr>
      <w:r w:rsidRPr="000A6777">
        <w:rPr>
          <w:noProof/>
        </w:rPr>
        <w:t xml:space="preserve">Yeh, J., Aloia, J., Chen, M. (1994) Growth hormone administration potentiates the effect of treadmill exercise on long bone formation but not on the vertebrae in middle- aged rats. </w:t>
      </w:r>
      <w:r w:rsidRPr="000A6777">
        <w:rPr>
          <w:i/>
          <w:noProof/>
        </w:rPr>
        <w:t>Calcified Tissue International,</w:t>
      </w:r>
      <w:r w:rsidRPr="000A6777">
        <w:rPr>
          <w:noProof/>
        </w:rPr>
        <w:t xml:space="preserve"> 54</w:t>
      </w:r>
      <w:r w:rsidRPr="000A6777">
        <w:rPr>
          <w:b/>
          <w:noProof/>
        </w:rPr>
        <w:t>:</w:t>
      </w:r>
      <w:r w:rsidRPr="000A6777">
        <w:rPr>
          <w:noProof/>
        </w:rPr>
        <w:t xml:space="preserve"> 38-43.</w:t>
      </w:r>
    </w:p>
    <w:p w14:paraId="1D60A2DE" w14:textId="77777777" w:rsidR="00B32AAB" w:rsidRPr="000A6777" w:rsidRDefault="00B32AAB" w:rsidP="000A6777">
      <w:pPr>
        <w:pStyle w:val="EndNoteBibliography"/>
        <w:ind w:left="720" w:hanging="720"/>
        <w:jc w:val="both"/>
        <w:rPr>
          <w:noProof/>
        </w:rPr>
      </w:pPr>
      <w:r w:rsidRPr="000A6777">
        <w:rPr>
          <w:noProof/>
        </w:rPr>
        <w:t xml:space="preserve">Yeh, J. K., Aloia, J. F., Chen, M. M., Tierney, J. M., Sprintz, S. (1993) Influence of exercise on cancellous bone of the aged female rat. </w:t>
      </w:r>
      <w:r w:rsidRPr="000A6777">
        <w:rPr>
          <w:i/>
          <w:noProof/>
        </w:rPr>
        <w:t>Journal of Bone and Mineral Research,</w:t>
      </w:r>
      <w:r w:rsidRPr="000A6777">
        <w:rPr>
          <w:noProof/>
        </w:rPr>
        <w:t xml:space="preserve"> 8</w:t>
      </w:r>
      <w:r w:rsidRPr="000A6777">
        <w:rPr>
          <w:b/>
          <w:noProof/>
        </w:rPr>
        <w:t>:</w:t>
      </w:r>
      <w:r w:rsidRPr="000A6777">
        <w:rPr>
          <w:noProof/>
        </w:rPr>
        <w:t xml:space="preserve"> 1117-1125.</w:t>
      </w:r>
    </w:p>
    <w:p w14:paraId="1F54ED7A" w14:textId="77777777" w:rsidR="00B32AAB" w:rsidRPr="000A6777" w:rsidRDefault="00B32AAB" w:rsidP="000A6777">
      <w:pPr>
        <w:pStyle w:val="EndNoteBibliography"/>
        <w:ind w:left="720" w:hanging="720"/>
        <w:jc w:val="both"/>
        <w:rPr>
          <w:noProof/>
        </w:rPr>
      </w:pPr>
      <w:r w:rsidRPr="000A6777">
        <w:rPr>
          <w:noProof/>
        </w:rPr>
        <w:t xml:space="preserve">You, L. D., Weinbaum, S., Cowin, S. C., Schaffler, M. B. (2004) Ultrastructure of the osteocyte process and its pericellular matrix. </w:t>
      </w:r>
      <w:r w:rsidRPr="000A6777">
        <w:rPr>
          <w:i/>
          <w:noProof/>
        </w:rPr>
        <w:t>Anatomical Record Part A: Discoveries in Molecular, Cellular, and Evolutionary Biology,</w:t>
      </w:r>
      <w:r w:rsidRPr="000A6777">
        <w:rPr>
          <w:noProof/>
        </w:rPr>
        <w:t xml:space="preserve"> 278</w:t>
      </w:r>
      <w:r w:rsidRPr="000A6777">
        <w:rPr>
          <w:b/>
          <w:noProof/>
        </w:rPr>
        <w:t>:</w:t>
      </w:r>
      <w:r w:rsidRPr="000A6777">
        <w:rPr>
          <w:noProof/>
        </w:rPr>
        <w:t xml:space="preserve"> 505-513.</w:t>
      </w:r>
    </w:p>
    <w:p w14:paraId="18271818" w14:textId="77777777" w:rsidR="00B32AAB" w:rsidRPr="000A6777" w:rsidRDefault="00B32AAB" w:rsidP="000A6777">
      <w:pPr>
        <w:pStyle w:val="EndNoteBibliography"/>
        <w:ind w:left="720" w:hanging="720"/>
        <w:jc w:val="both"/>
        <w:rPr>
          <w:noProof/>
        </w:rPr>
      </w:pPr>
      <w:r w:rsidRPr="000A6777">
        <w:rPr>
          <w:noProof/>
        </w:rPr>
        <w:t xml:space="preserve">Zaman, G., Saxon, L. K., Sunters, A., Hilton, H., Underhill, P., Williams, D., Price, J. S., Lanyon, L. E. (2010) Loading- related regulation of gene expression in bone in the contexts of estrogen deficiency, lack of estrogen receptor alpha and disuse. </w:t>
      </w:r>
      <w:r w:rsidRPr="000A6777">
        <w:rPr>
          <w:i/>
          <w:noProof/>
        </w:rPr>
        <w:t>Bone,</w:t>
      </w:r>
      <w:r w:rsidRPr="000A6777">
        <w:rPr>
          <w:noProof/>
        </w:rPr>
        <w:t xml:space="preserve"> 46</w:t>
      </w:r>
      <w:r w:rsidRPr="000A6777">
        <w:rPr>
          <w:b/>
          <w:noProof/>
        </w:rPr>
        <w:t>:</w:t>
      </w:r>
      <w:r w:rsidRPr="000A6777">
        <w:rPr>
          <w:noProof/>
        </w:rPr>
        <w:t xml:space="preserve"> 628-642.</w:t>
      </w:r>
    </w:p>
    <w:p w14:paraId="2ED42218" w14:textId="77777777" w:rsidR="00B32AAB" w:rsidRPr="000A6777" w:rsidRDefault="00B32AAB" w:rsidP="000A6777">
      <w:pPr>
        <w:pStyle w:val="EndNoteBibliography"/>
        <w:ind w:left="720" w:hanging="720"/>
        <w:jc w:val="both"/>
        <w:rPr>
          <w:noProof/>
        </w:rPr>
      </w:pPr>
      <w:r w:rsidRPr="000A6777">
        <w:rPr>
          <w:noProof/>
        </w:rPr>
        <w:lastRenderedPageBreak/>
        <w:t xml:space="preserve">Zeni, S. N., Di Gregorio, S., Somoza, J. I., Soler, C. R. O., Lazzari, A., López, L., Suarez, M., De Portela, M. L. (2003) Interrelationship between bone turnover markers and dietary calcium intake in pregnant women: A longitudinal study. </w:t>
      </w:r>
      <w:r w:rsidRPr="000A6777">
        <w:rPr>
          <w:i/>
          <w:noProof/>
        </w:rPr>
        <w:t>Bone,</w:t>
      </w:r>
      <w:r w:rsidRPr="000A6777">
        <w:rPr>
          <w:noProof/>
        </w:rPr>
        <w:t xml:space="preserve"> 33</w:t>
      </w:r>
      <w:r w:rsidRPr="000A6777">
        <w:rPr>
          <w:b/>
          <w:noProof/>
        </w:rPr>
        <w:t>:</w:t>
      </w:r>
      <w:r w:rsidRPr="000A6777">
        <w:rPr>
          <w:noProof/>
        </w:rPr>
        <w:t xml:space="preserve"> 606-613.</w:t>
      </w:r>
    </w:p>
    <w:p w14:paraId="1B2CB03D" w14:textId="77777777" w:rsidR="00B32AAB" w:rsidRPr="000A6777" w:rsidRDefault="00B32AAB" w:rsidP="000A6777">
      <w:pPr>
        <w:pStyle w:val="EndNoteBibliography"/>
        <w:ind w:left="720" w:hanging="720"/>
        <w:jc w:val="both"/>
        <w:rPr>
          <w:noProof/>
        </w:rPr>
      </w:pPr>
      <w:r w:rsidRPr="000A6777">
        <w:rPr>
          <w:noProof/>
        </w:rPr>
        <w:t xml:space="preserve">Zhang, Y., Herman, B. (2002) Ageing and apoptosis. </w:t>
      </w:r>
      <w:r w:rsidRPr="000A6777">
        <w:rPr>
          <w:i/>
          <w:noProof/>
        </w:rPr>
        <w:t>Mechanisms of Ageing and Development,</w:t>
      </w:r>
      <w:r w:rsidRPr="000A6777">
        <w:rPr>
          <w:noProof/>
        </w:rPr>
        <w:t xml:space="preserve"> 123</w:t>
      </w:r>
      <w:r w:rsidRPr="000A6777">
        <w:rPr>
          <w:b/>
          <w:noProof/>
        </w:rPr>
        <w:t>:</w:t>
      </w:r>
      <w:r w:rsidRPr="000A6777">
        <w:rPr>
          <w:noProof/>
        </w:rPr>
        <w:t xml:space="preserve"> 245-260.</w:t>
      </w:r>
    </w:p>
    <w:p w14:paraId="1C71CC82" w14:textId="77777777" w:rsidR="00B32AAB" w:rsidRPr="000A6777" w:rsidRDefault="00B32AAB" w:rsidP="000A6777">
      <w:pPr>
        <w:pStyle w:val="EndNoteBibliography"/>
        <w:ind w:left="720" w:hanging="720"/>
        <w:jc w:val="both"/>
        <w:rPr>
          <w:noProof/>
        </w:rPr>
      </w:pPr>
      <w:r w:rsidRPr="000A6777">
        <w:rPr>
          <w:noProof/>
        </w:rPr>
        <w:t xml:space="preserve">Zhang, Y., Proenca, R., Maffei, M., Barone, M., Leopold, L., Friedman, J. M. (1994) Positional cloning of the mouse obese gene and its human homologue. </w:t>
      </w:r>
      <w:r w:rsidRPr="000A6777">
        <w:rPr>
          <w:i/>
          <w:noProof/>
        </w:rPr>
        <w:t>Nature,</w:t>
      </w:r>
      <w:r w:rsidRPr="000A6777">
        <w:rPr>
          <w:noProof/>
        </w:rPr>
        <w:t xml:space="preserve"> 372</w:t>
      </w:r>
      <w:r w:rsidRPr="000A6777">
        <w:rPr>
          <w:b/>
          <w:noProof/>
        </w:rPr>
        <w:t>:</w:t>
      </w:r>
      <w:r w:rsidRPr="000A6777">
        <w:rPr>
          <w:noProof/>
        </w:rPr>
        <w:t xml:space="preserve"> 425-432.</w:t>
      </w:r>
    </w:p>
    <w:p w14:paraId="54BF617B" w14:textId="77777777" w:rsidR="00B32AAB" w:rsidRPr="000A6777" w:rsidRDefault="00B32AAB" w:rsidP="000A6777">
      <w:pPr>
        <w:pStyle w:val="EndNoteBibliography"/>
        <w:ind w:left="720" w:hanging="720"/>
        <w:jc w:val="both"/>
        <w:rPr>
          <w:noProof/>
        </w:rPr>
      </w:pPr>
      <w:r w:rsidRPr="000A6777">
        <w:rPr>
          <w:noProof/>
        </w:rPr>
        <w:t xml:space="preserve">Zhong, Q., Itokawa, T., Sridhar, S., Ding, K., Xie, D., Kang, B., Bollag, W., Bollag, R., Hamrick, M., Insogna, K., Isales, C. M. (2007) Effects of glucose- dependent insulinotropic peptide on osteoclast function. </w:t>
      </w:r>
      <w:r w:rsidRPr="000A6777">
        <w:rPr>
          <w:i/>
          <w:noProof/>
        </w:rPr>
        <w:t>American Journal of Physiology-Endocrinology and Metabolism,</w:t>
      </w:r>
      <w:r w:rsidRPr="000A6777">
        <w:rPr>
          <w:noProof/>
        </w:rPr>
        <w:t xml:space="preserve"> 292</w:t>
      </w:r>
      <w:r w:rsidRPr="000A6777">
        <w:rPr>
          <w:b/>
          <w:noProof/>
        </w:rPr>
        <w:t>:</w:t>
      </w:r>
      <w:r w:rsidRPr="000A6777">
        <w:rPr>
          <w:noProof/>
        </w:rPr>
        <w:t xml:space="preserve"> E543-E548.</w:t>
      </w:r>
    </w:p>
    <w:p w14:paraId="4D0B85BF" w14:textId="77777777" w:rsidR="00922D9A" w:rsidRPr="000A6777" w:rsidRDefault="00580FF9" w:rsidP="000A6777">
      <w:pPr>
        <w:spacing w:before="120" w:after="120" w:line="360" w:lineRule="auto"/>
        <w:jc w:val="both"/>
        <w:rPr>
          <w:rFonts w:ascii="Arial" w:hAnsi="Arial" w:cs="Arial"/>
        </w:rPr>
      </w:pPr>
      <w:r w:rsidRPr="000A6777">
        <w:rPr>
          <w:rFonts w:ascii="Arial" w:hAnsi="Arial" w:cs="Arial"/>
        </w:rPr>
        <w:fldChar w:fldCharType="end"/>
      </w:r>
    </w:p>
    <w:p w14:paraId="4E16D6F7" w14:textId="77777777" w:rsidR="00193796" w:rsidRPr="000A6777" w:rsidRDefault="00193796" w:rsidP="000A6777">
      <w:pPr>
        <w:spacing w:before="120" w:after="120" w:line="360" w:lineRule="auto"/>
        <w:jc w:val="both"/>
        <w:rPr>
          <w:rFonts w:ascii="Arial" w:hAnsi="Arial" w:cs="Arial"/>
        </w:rPr>
      </w:pPr>
    </w:p>
    <w:p w14:paraId="5D418EC1" w14:textId="77777777" w:rsidR="0000415D" w:rsidRDefault="0000415D" w:rsidP="00193796">
      <w:pPr>
        <w:spacing w:before="120" w:after="120" w:line="360" w:lineRule="auto"/>
        <w:rPr>
          <w:rFonts w:ascii="Arial" w:hAnsi="Arial" w:cs="Arial"/>
        </w:rPr>
      </w:pPr>
    </w:p>
    <w:p w14:paraId="370E77D4" w14:textId="77777777" w:rsidR="0000415D" w:rsidRDefault="0000415D" w:rsidP="00193796">
      <w:pPr>
        <w:spacing w:before="120" w:after="120" w:line="360" w:lineRule="auto"/>
        <w:rPr>
          <w:rFonts w:ascii="Arial" w:hAnsi="Arial" w:cs="Arial"/>
        </w:rPr>
      </w:pPr>
    </w:p>
    <w:p w14:paraId="4117C134" w14:textId="77777777" w:rsidR="0000415D" w:rsidRDefault="0000415D" w:rsidP="00193796">
      <w:pPr>
        <w:spacing w:before="120" w:after="120" w:line="360" w:lineRule="auto"/>
        <w:rPr>
          <w:rFonts w:ascii="Arial" w:hAnsi="Arial" w:cs="Arial"/>
        </w:rPr>
      </w:pPr>
    </w:p>
    <w:p w14:paraId="475BC2C7" w14:textId="77777777" w:rsidR="0000415D" w:rsidRDefault="0000415D" w:rsidP="00193796">
      <w:pPr>
        <w:spacing w:before="120" w:after="120" w:line="360" w:lineRule="auto"/>
        <w:rPr>
          <w:rFonts w:ascii="Arial" w:hAnsi="Arial" w:cs="Arial"/>
        </w:rPr>
      </w:pPr>
    </w:p>
    <w:p w14:paraId="264C32CC" w14:textId="77777777" w:rsidR="0000415D" w:rsidRDefault="0000415D" w:rsidP="00193796">
      <w:pPr>
        <w:spacing w:before="120" w:after="120" w:line="360" w:lineRule="auto"/>
        <w:rPr>
          <w:rFonts w:ascii="Arial" w:hAnsi="Arial" w:cs="Arial"/>
        </w:rPr>
      </w:pPr>
    </w:p>
    <w:p w14:paraId="5445822B" w14:textId="77777777" w:rsidR="0000415D" w:rsidRDefault="0000415D" w:rsidP="00193796">
      <w:pPr>
        <w:spacing w:before="120" w:after="120" w:line="360" w:lineRule="auto"/>
        <w:rPr>
          <w:rFonts w:ascii="Arial" w:hAnsi="Arial" w:cs="Arial"/>
        </w:rPr>
      </w:pPr>
    </w:p>
    <w:p w14:paraId="099F7F18" w14:textId="77777777" w:rsidR="00193796" w:rsidRDefault="00193796" w:rsidP="00193796">
      <w:pPr>
        <w:spacing w:before="120" w:after="120" w:line="360" w:lineRule="auto"/>
        <w:rPr>
          <w:rFonts w:ascii="Arial" w:hAnsi="Arial" w:cs="Arial"/>
        </w:rPr>
      </w:pPr>
    </w:p>
    <w:p w14:paraId="46DB7C88" w14:textId="77777777" w:rsidR="00193796" w:rsidRDefault="00193796" w:rsidP="00193796">
      <w:pPr>
        <w:spacing w:before="120" w:after="120" w:line="360" w:lineRule="auto"/>
        <w:rPr>
          <w:rFonts w:ascii="Arial" w:hAnsi="Arial" w:cs="Arial"/>
        </w:rPr>
      </w:pPr>
    </w:p>
    <w:p w14:paraId="6D454BD0" w14:textId="77777777" w:rsidR="00010540" w:rsidRDefault="00010540" w:rsidP="00193796">
      <w:pPr>
        <w:spacing w:before="120" w:after="120" w:line="360" w:lineRule="auto"/>
        <w:rPr>
          <w:rFonts w:ascii="Arial" w:hAnsi="Arial" w:cs="Arial"/>
        </w:rPr>
      </w:pPr>
    </w:p>
    <w:p w14:paraId="167A65AC" w14:textId="77777777" w:rsidR="00010540" w:rsidRDefault="00010540" w:rsidP="00193796">
      <w:pPr>
        <w:spacing w:before="120" w:after="120" w:line="360" w:lineRule="auto"/>
        <w:rPr>
          <w:rFonts w:ascii="Arial" w:hAnsi="Arial" w:cs="Arial"/>
        </w:rPr>
      </w:pPr>
    </w:p>
    <w:p w14:paraId="709B3BBE" w14:textId="77777777" w:rsidR="00010540" w:rsidRDefault="00010540" w:rsidP="00193796">
      <w:pPr>
        <w:spacing w:before="120" w:after="120" w:line="360" w:lineRule="auto"/>
        <w:rPr>
          <w:rFonts w:ascii="Arial" w:hAnsi="Arial" w:cs="Arial"/>
        </w:rPr>
      </w:pPr>
    </w:p>
    <w:p w14:paraId="0E4FD413" w14:textId="77777777" w:rsidR="00010540" w:rsidRDefault="00010540" w:rsidP="00193796">
      <w:pPr>
        <w:spacing w:before="120" w:after="120" w:line="360" w:lineRule="auto"/>
        <w:rPr>
          <w:rFonts w:ascii="Arial" w:hAnsi="Arial" w:cs="Arial"/>
        </w:rPr>
      </w:pPr>
    </w:p>
    <w:p w14:paraId="27878DAF" w14:textId="77777777" w:rsidR="00010540" w:rsidRDefault="00010540" w:rsidP="00193796">
      <w:pPr>
        <w:spacing w:before="120" w:after="120" w:line="360" w:lineRule="auto"/>
        <w:rPr>
          <w:rFonts w:ascii="Arial" w:hAnsi="Arial" w:cs="Arial"/>
        </w:rPr>
      </w:pPr>
    </w:p>
    <w:p w14:paraId="16532F92" w14:textId="77777777" w:rsidR="00010540" w:rsidRPr="00193796" w:rsidRDefault="00010540" w:rsidP="00193796">
      <w:pPr>
        <w:spacing w:before="120" w:after="120" w:line="360" w:lineRule="auto"/>
        <w:rPr>
          <w:rFonts w:ascii="Arial" w:hAnsi="Arial" w:cs="Arial"/>
        </w:rPr>
      </w:pPr>
    </w:p>
    <w:p w14:paraId="1054A1F9" w14:textId="77777777" w:rsidR="00910C7B" w:rsidRPr="00910C7B" w:rsidRDefault="00910C7B" w:rsidP="00910C7B"/>
    <w:p w14:paraId="19D68E33" w14:textId="77777777" w:rsidR="0000415D" w:rsidRDefault="0000415D" w:rsidP="00204988">
      <w:pPr>
        <w:pStyle w:val="Heading1"/>
      </w:pPr>
    </w:p>
    <w:p w14:paraId="5719EB9B" w14:textId="77777777" w:rsidR="0000415D" w:rsidRDefault="0000415D" w:rsidP="00204988">
      <w:pPr>
        <w:pStyle w:val="Heading1"/>
      </w:pPr>
    </w:p>
    <w:p w14:paraId="1870722D" w14:textId="77777777" w:rsidR="00B95DFA" w:rsidRPr="00BF2597" w:rsidRDefault="00B95DFA" w:rsidP="00204988">
      <w:pPr>
        <w:pStyle w:val="Heading1"/>
      </w:pPr>
      <w:bookmarkStart w:id="189" w:name="_Toc383723944"/>
      <w:r w:rsidRPr="00BF2597">
        <w:t>Appendices</w:t>
      </w:r>
      <w:bookmarkEnd w:id="189"/>
      <w:r w:rsidRPr="00BF2597">
        <w:t xml:space="preserve"> </w:t>
      </w:r>
    </w:p>
    <w:p w14:paraId="2CD8EC29" w14:textId="77777777" w:rsidR="00B95DFA" w:rsidRDefault="00B95DFA" w:rsidP="00B95DFA"/>
    <w:p w14:paraId="18E8A322" w14:textId="77777777" w:rsidR="00B95DFA" w:rsidRDefault="00B95DFA" w:rsidP="00B95DFA"/>
    <w:p w14:paraId="2FC718B5" w14:textId="77777777" w:rsidR="00B95DFA" w:rsidRDefault="00B95DFA" w:rsidP="00B95DFA"/>
    <w:p w14:paraId="040BAAEE" w14:textId="77777777" w:rsidR="00B95DFA" w:rsidRDefault="00B95DFA" w:rsidP="00B95DFA"/>
    <w:p w14:paraId="4EA91166" w14:textId="77777777" w:rsidR="00B95DFA" w:rsidRDefault="00B95DFA" w:rsidP="00B95DFA"/>
    <w:p w14:paraId="470D64F3" w14:textId="77777777" w:rsidR="00B95DFA" w:rsidRDefault="00B95DFA" w:rsidP="00B95DFA"/>
    <w:p w14:paraId="67E69185" w14:textId="77777777" w:rsidR="00B95DFA" w:rsidRDefault="00B95DFA" w:rsidP="00B95DFA"/>
    <w:p w14:paraId="136993F4" w14:textId="77777777" w:rsidR="00B95DFA" w:rsidRDefault="00B95DFA" w:rsidP="00B95DFA"/>
    <w:p w14:paraId="545DBC0D" w14:textId="77777777" w:rsidR="00B95DFA" w:rsidRDefault="00B95DFA" w:rsidP="00B95DFA"/>
    <w:p w14:paraId="2B041258" w14:textId="77777777" w:rsidR="00B95DFA" w:rsidRDefault="00B95DFA" w:rsidP="00B95DFA"/>
    <w:p w14:paraId="564088B8" w14:textId="77777777" w:rsidR="00B95DFA" w:rsidRDefault="00B95DFA" w:rsidP="00B95DFA"/>
    <w:p w14:paraId="04C9D104" w14:textId="77777777" w:rsidR="00B95DFA" w:rsidRDefault="00B95DFA" w:rsidP="00B95DFA"/>
    <w:p w14:paraId="4D643595" w14:textId="77777777" w:rsidR="00B95DFA" w:rsidRDefault="00B95DFA" w:rsidP="00B95DFA"/>
    <w:p w14:paraId="186878A3" w14:textId="77777777" w:rsidR="00B95DFA" w:rsidRDefault="00B95DFA" w:rsidP="00B95DFA"/>
    <w:p w14:paraId="7AE8C114" w14:textId="77777777" w:rsidR="00B95DFA" w:rsidRDefault="00B95DFA" w:rsidP="00B95DFA"/>
    <w:p w14:paraId="4E44217D" w14:textId="77777777" w:rsidR="00B95DFA" w:rsidRDefault="00B95DFA" w:rsidP="00B95DFA"/>
    <w:p w14:paraId="26C590C1" w14:textId="77777777" w:rsidR="00B95DFA" w:rsidRDefault="00B95DFA" w:rsidP="00B95DFA"/>
    <w:p w14:paraId="044EF583" w14:textId="77777777" w:rsidR="00B95DFA" w:rsidRDefault="00B95DFA" w:rsidP="00B95DFA"/>
    <w:p w14:paraId="642D5B4F" w14:textId="77777777" w:rsidR="00B95DFA" w:rsidRDefault="00B95DFA" w:rsidP="00B95DFA"/>
    <w:p w14:paraId="3B14D2CC" w14:textId="77777777" w:rsidR="00B95DFA" w:rsidRDefault="00B95DFA" w:rsidP="00B95DFA"/>
    <w:p w14:paraId="28E7A192" w14:textId="77777777" w:rsidR="00B95DFA" w:rsidRDefault="00B95DFA" w:rsidP="00B95DFA"/>
    <w:p w14:paraId="592E2020" w14:textId="77777777" w:rsidR="00B95DFA" w:rsidRDefault="00B95DFA" w:rsidP="00B95DFA"/>
    <w:p w14:paraId="59934D68" w14:textId="77777777" w:rsidR="00B95DFA" w:rsidRDefault="00B95DFA" w:rsidP="00B95DFA"/>
    <w:p w14:paraId="030D6A33" w14:textId="77777777" w:rsidR="00B95DFA" w:rsidRDefault="00B95DFA" w:rsidP="00B95DFA"/>
    <w:p w14:paraId="34AFCAB8" w14:textId="77777777" w:rsidR="00B95DFA" w:rsidRDefault="00B95DFA" w:rsidP="00B95DFA"/>
    <w:p w14:paraId="5700C46B" w14:textId="77777777" w:rsidR="00B95DFA" w:rsidRDefault="00B95DFA" w:rsidP="00B95DFA"/>
    <w:p w14:paraId="537C29F7" w14:textId="77777777" w:rsidR="00B95DFA" w:rsidRDefault="00B95DFA" w:rsidP="00B95DFA"/>
    <w:p w14:paraId="5D62D48D" w14:textId="77777777" w:rsidR="00B95DFA" w:rsidRDefault="00B95DFA" w:rsidP="00B95DFA"/>
    <w:p w14:paraId="33810DAC" w14:textId="77777777" w:rsidR="00B95DFA" w:rsidRDefault="00B95DFA" w:rsidP="00B95DFA"/>
    <w:p w14:paraId="78F66143" w14:textId="77777777" w:rsidR="00B95DFA" w:rsidRDefault="00B95DFA" w:rsidP="00B95DFA"/>
    <w:p w14:paraId="1EFE491E" w14:textId="77777777" w:rsidR="00B95DFA" w:rsidRDefault="00B95DFA" w:rsidP="00B95DFA"/>
    <w:p w14:paraId="1C47CE74" w14:textId="77777777" w:rsidR="00B95DFA" w:rsidRDefault="00B95DFA" w:rsidP="00B95DFA"/>
    <w:p w14:paraId="09C807B8" w14:textId="77777777" w:rsidR="00B95DFA" w:rsidRDefault="00B95DFA" w:rsidP="00B95DFA"/>
    <w:p w14:paraId="59DCCD92" w14:textId="77777777" w:rsidR="00B95DFA" w:rsidRDefault="00B95DFA" w:rsidP="00B95DFA"/>
    <w:p w14:paraId="06C74EEE" w14:textId="77777777" w:rsidR="00B95DFA" w:rsidRDefault="00B95DFA" w:rsidP="00B95DFA"/>
    <w:p w14:paraId="272BC1BA" w14:textId="77777777" w:rsidR="00B95DFA" w:rsidRDefault="00B95DFA" w:rsidP="00B95DFA"/>
    <w:p w14:paraId="54B3B810" w14:textId="77777777" w:rsidR="00B95DFA" w:rsidRDefault="00B95DFA" w:rsidP="00B95DFA"/>
    <w:p w14:paraId="0DA92032" w14:textId="77777777" w:rsidR="00B95DFA" w:rsidRDefault="00B95DFA" w:rsidP="00B95DFA"/>
    <w:p w14:paraId="2C44E499" w14:textId="77777777" w:rsidR="00B95DFA" w:rsidRDefault="00B95DFA" w:rsidP="00B95DFA"/>
    <w:p w14:paraId="6A029187" w14:textId="77777777" w:rsidR="00B95DFA" w:rsidRDefault="00B95DFA" w:rsidP="00B95DFA"/>
    <w:p w14:paraId="7F95E0F9" w14:textId="77777777" w:rsidR="00700C7E" w:rsidRDefault="00700C7E" w:rsidP="00D40E59">
      <w:pPr>
        <w:pStyle w:val="Heading2"/>
      </w:pPr>
      <w:bookmarkStart w:id="190" w:name="_Toc383723945"/>
      <w:r>
        <w:lastRenderedPageBreak/>
        <w:t>Appendix 1</w:t>
      </w:r>
      <w:r w:rsidRPr="00BF2597">
        <w:t xml:space="preserve"> </w:t>
      </w:r>
      <w:r w:rsidR="005C6AC1">
        <w:t>- Teklad Global 18% Protein rodent d</w:t>
      </w:r>
      <w:r>
        <w:t>iet</w:t>
      </w:r>
      <w:r w:rsidR="005C6AC1">
        <w:t xml:space="preserve"> n</w:t>
      </w:r>
      <w:r w:rsidR="00DB37AF">
        <w:t>utrient data</w:t>
      </w:r>
    </w:p>
    <w:p w14:paraId="33E4B71B" w14:textId="77777777" w:rsidR="004D0A3E" w:rsidRPr="004D0A3E" w:rsidRDefault="004D0A3E" w:rsidP="004D0A3E">
      <w:pPr>
        <w:rPr>
          <w:rFonts w:ascii="Arial" w:hAnsi="Arial" w:cs="Arial"/>
        </w:rPr>
      </w:pPr>
      <w:r>
        <w:rPr>
          <w:rFonts w:ascii="Arial" w:hAnsi="Arial" w:cs="Arial"/>
        </w:rPr>
        <w:t>Standard product form:</w:t>
      </w:r>
      <w:r w:rsidRPr="004D0A3E">
        <w:rPr>
          <w:rFonts w:ascii="Arial" w:hAnsi="Arial" w:cs="Arial"/>
        </w:rPr>
        <w:t xml:space="preserve"> Pellet </w:t>
      </w:r>
    </w:p>
    <w:tbl>
      <w:tblPr>
        <w:tblStyle w:val="TableGrid"/>
        <w:tblW w:w="0" w:type="auto"/>
        <w:tblBorders>
          <w:top w:val="single" w:sz="18" w:space="0" w:color="auto"/>
          <w:left w:val="single" w:sz="18" w:space="0" w:color="auto"/>
          <w:bottom w:val="single" w:sz="18" w:space="0" w:color="auto"/>
          <w:right w:val="single" w:sz="18" w:space="0" w:color="auto"/>
          <w:insideH w:val="single" w:sz="6" w:space="0" w:color="auto"/>
          <w:insideV w:val="none" w:sz="0" w:space="0" w:color="auto"/>
        </w:tblBorders>
        <w:tblLook w:val="04A0" w:firstRow="1" w:lastRow="0" w:firstColumn="1" w:lastColumn="0" w:noHBand="0" w:noVBand="1"/>
      </w:tblPr>
      <w:tblGrid>
        <w:gridCol w:w="4644"/>
        <w:gridCol w:w="2033"/>
      </w:tblGrid>
      <w:tr w:rsidR="00DA54C9" w14:paraId="14DD123C" w14:textId="77777777" w:rsidTr="00837216">
        <w:trPr>
          <w:trHeight w:val="503"/>
        </w:trPr>
        <w:tc>
          <w:tcPr>
            <w:tcW w:w="4644" w:type="dxa"/>
            <w:shd w:val="clear" w:color="auto" w:fill="DBE5F1" w:themeFill="accent1" w:themeFillTint="33"/>
            <w:vAlign w:val="bottom"/>
          </w:tcPr>
          <w:p w14:paraId="68514A04" w14:textId="77777777" w:rsidR="00695812" w:rsidRPr="000547B7" w:rsidRDefault="000547B7" w:rsidP="00C451E4">
            <w:pPr>
              <w:spacing w:line="480" w:lineRule="auto"/>
              <w:rPr>
                <w:rFonts w:ascii="Arial" w:hAnsi="Arial" w:cs="Arial"/>
                <w:b/>
              </w:rPr>
            </w:pPr>
            <w:r w:rsidRPr="000547B7">
              <w:rPr>
                <w:rFonts w:ascii="Arial" w:hAnsi="Arial" w:cs="Arial"/>
                <w:b/>
              </w:rPr>
              <w:t>Macronutrients</w:t>
            </w:r>
          </w:p>
        </w:tc>
        <w:tc>
          <w:tcPr>
            <w:tcW w:w="2033" w:type="dxa"/>
            <w:shd w:val="clear" w:color="auto" w:fill="DBE5F1" w:themeFill="accent1" w:themeFillTint="33"/>
            <w:vAlign w:val="bottom"/>
          </w:tcPr>
          <w:p w14:paraId="11917909" w14:textId="77777777" w:rsidR="00695812" w:rsidRDefault="00695812" w:rsidP="00C451E4">
            <w:pPr>
              <w:spacing w:line="480" w:lineRule="auto"/>
              <w:jc w:val="center"/>
              <w:rPr>
                <w:rFonts w:ascii="Arial" w:hAnsi="Arial" w:cs="Arial"/>
              </w:rPr>
            </w:pPr>
          </w:p>
        </w:tc>
      </w:tr>
      <w:tr w:rsidR="00EB6D88" w14:paraId="21DD68F1" w14:textId="77777777" w:rsidTr="00837216">
        <w:trPr>
          <w:trHeight w:val="566"/>
        </w:trPr>
        <w:tc>
          <w:tcPr>
            <w:tcW w:w="4644" w:type="dxa"/>
            <w:vAlign w:val="bottom"/>
          </w:tcPr>
          <w:p w14:paraId="0011319C" w14:textId="77777777" w:rsidR="00695812" w:rsidRPr="00B7585B" w:rsidRDefault="000547B7" w:rsidP="00DA54C9">
            <w:pPr>
              <w:tabs>
                <w:tab w:val="decimal" w:pos="3600"/>
                <w:tab w:val="decimal" w:pos="3960"/>
              </w:tabs>
              <w:spacing w:line="480" w:lineRule="auto"/>
              <w:rPr>
                <w:rFonts w:ascii="Arial" w:hAnsi="Arial" w:cs="Arial"/>
                <w:sz w:val="22"/>
                <w:szCs w:val="22"/>
              </w:rPr>
            </w:pPr>
            <w:r w:rsidRPr="00B7585B">
              <w:rPr>
                <w:rFonts w:ascii="Arial" w:hAnsi="Arial" w:cs="Arial"/>
                <w:sz w:val="22"/>
                <w:szCs w:val="22"/>
              </w:rPr>
              <w:t xml:space="preserve">Crude Protein                                </w:t>
            </w:r>
            <w:r w:rsidR="00DA54C9" w:rsidRPr="00B7585B">
              <w:rPr>
                <w:rFonts w:ascii="Arial" w:hAnsi="Arial" w:cs="Arial"/>
                <w:sz w:val="22"/>
                <w:szCs w:val="22"/>
              </w:rPr>
              <w:t xml:space="preserve">               </w:t>
            </w:r>
            <w:r w:rsidRPr="00B7585B">
              <w:rPr>
                <w:rFonts w:ascii="Arial" w:hAnsi="Arial" w:cs="Arial"/>
                <w:sz w:val="22"/>
                <w:szCs w:val="22"/>
              </w:rPr>
              <w:t xml:space="preserve">% </w:t>
            </w:r>
          </w:p>
        </w:tc>
        <w:tc>
          <w:tcPr>
            <w:tcW w:w="2033" w:type="dxa"/>
            <w:vAlign w:val="bottom"/>
          </w:tcPr>
          <w:p w14:paraId="2EA8EEC9" w14:textId="77777777" w:rsidR="00695812" w:rsidRPr="00B7585B" w:rsidRDefault="00DA54C9" w:rsidP="00DA54C9">
            <w:pPr>
              <w:spacing w:line="480" w:lineRule="auto"/>
              <w:jc w:val="right"/>
              <w:rPr>
                <w:rFonts w:ascii="Arial" w:hAnsi="Arial" w:cs="Arial"/>
                <w:sz w:val="22"/>
                <w:szCs w:val="22"/>
              </w:rPr>
            </w:pPr>
            <w:r w:rsidRPr="00B7585B">
              <w:rPr>
                <w:rFonts w:ascii="Arial" w:hAnsi="Arial" w:cs="Arial"/>
                <w:sz w:val="22"/>
                <w:szCs w:val="22"/>
              </w:rPr>
              <w:t>18.6</w:t>
            </w:r>
          </w:p>
        </w:tc>
      </w:tr>
      <w:tr w:rsidR="00EB6D88" w14:paraId="0EF2CDFC" w14:textId="77777777" w:rsidTr="00837216">
        <w:trPr>
          <w:trHeight w:val="503"/>
        </w:trPr>
        <w:tc>
          <w:tcPr>
            <w:tcW w:w="4644" w:type="dxa"/>
            <w:vAlign w:val="bottom"/>
          </w:tcPr>
          <w:p w14:paraId="460FB773" w14:textId="77777777" w:rsidR="00695812" w:rsidRPr="00B7585B" w:rsidRDefault="000547B7" w:rsidP="00DA54C9">
            <w:pPr>
              <w:spacing w:line="480" w:lineRule="auto"/>
              <w:rPr>
                <w:rFonts w:ascii="Arial" w:hAnsi="Arial" w:cs="Arial"/>
                <w:sz w:val="22"/>
                <w:szCs w:val="22"/>
              </w:rPr>
            </w:pPr>
            <w:r w:rsidRPr="00B7585B">
              <w:rPr>
                <w:rFonts w:ascii="Arial" w:hAnsi="Arial" w:cs="Arial"/>
                <w:sz w:val="22"/>
                <w:szCs w:val="22"/>
              </w:rPr>
              <w:t xml:space="preserve">Fat (ether extract)                          </w:t>
            </w:r>
            <w:r w:rsidR="00DA54C9" w:rsidRPr="00B7585B">
              <w:rPr>
                <w:rFonts w:ascii="Arial" w:hAnsi="Arial" w:cs="Arial"/>
                <w:sz w:val="22"/>
                <w:szCs w:val="22"/>
              </w:rPr>
              <w:t xml:space="preserve">              </w:t>
            </w:r>
            <w:proofErr w:type="gramStart"/>
            <w:r w:rsidRPr="00B7585B">
              <w:rPr>
                <w:rFonts w:ascii="Arial" w:hAnsi="Arial" w:cs="Arial"/>
                <w:sz w:val="22"/>
                <w:szCs w:val="22"/>
              </w:rPr>
              <w:t xml:space="preserve">%  </w:t>
            </w:r>
            <w:proofErr w:type="gramEnd"/>
          </w:p>
        </w:tc>
        <w:tc>
          <w:tcPr>
            <w:tcW w:w="2033" w:type="dxa"/>
            <w:vAlign w:val="bottom"/>
          </w:tcPr>
          <w:p w14:paraId="63FD7EB5" w14:textId="77777777" w:rsidR="00695812" w:rsidRPr="00B7585B" w:rsidRDefault="00DA54C9" w:rsidP="00DA54C9">
            <w:pPr>
              <w:spacing w:line="480" w:lineRule="auto"/>
              <w:jc w:val="right"/>
              <w:rPr>
                <w:rFonts w:ascii="Arial" w:hAnsi="Arial" w:cs="Arial"/>
                <w:sz w:val="22"/>
                <w:szCs w:val="22"/>
              </w:rPr>
            </w:pPr>
            <w:r w:rsidRPr="00B7585B">
              <w:rPr>
                <w:rFonts w:ascii="Arial" w:hAnsi="Arial" w:cs="Arial"/>
                <w:sz w:val="22"/>
                <w:szCs w:val="22"/>
              </w:rPr>
              <w:t>6.2</w:t>
            </w:r>
          </w:p>
        </w:tc>
      </w:tr>
      <w:tr w:rsidR="00EB6D88" w14:paraId="4A1DE080" w14:textId="77777777" w:rsidTr="00837216">
        <w:trPr>
          <w:trHeight w:val="539"/>
        </w:trPr>
        <w:tc>
          <w:tcPr>
            <w:tcW w:w="4644" w:type="dxa"/>
            <w:vAlign w:val="bottom"/>
          </w:tcPr>
          <w:p w14:paraId="13D4E310" w14:textId="77777777" w:rsidR="000547B7" w:rsidRPr="00B7585B" w:rsidRDefault="000547B7" w:rsidP="00DA54C9">
            <w:pPr>
              <w:spacing w:line="480" w:lineRule="auto"/>
              <w:rPr>
                <w:rFonts w:ascii="Arial" w:hAnsi="Arial" w:cs="Arial"/>
                <w:sz w:val="22"/>
                <w:szCs w:val="22"/>
              </w:rPr>
            </w:pPr>
            <w:r w:rsidRPr="00B7585B">
              <w:rPr>
                <w:rFonts w:ascii="Arial" w:hAnsi="Arial" w:cs="Arial"/>
                <w:sz w:val="22"/>
                <w:szCs w:val="22"/>
              </w:rPr>
              <w:t>Carbohydrate (available)</w:t>
            </w:r>
            <w:r w:rsidR="00A910FD">
              <w:rPr>
                <w:rFonts w:ascii="Arial" w:hAnsi="Arial" w:cs="Arial"/>
                <w:sz w:val="22"/>
                <w:szCs w:val="22"/>
              </w:rPr>
              <w:t xml:space="preserve"> </w:t>
            </w:r>
            <w:r w:rsidRPr="00B7585B">
              <w:rPr>
                <w:rFonts w:ascii="Arial" w:hAnsi="Arial" w:cs="Arial"/>
                <w:sz w:val="22"/>
                <w:szCs w:val="22"/>
                <w:vertAlign w:val="superscript"/>
              </w:rPr>
              <w:t>a</w:t>
            </w:r>
            <w:r w:rsidRPr="00B7585B">
              <w:rPr>
                <w:rFonts w:ascii="Arial" w:hAnsi="Arial" w:cs="Arial"/>
                <w:sz w:val="22"/>
                <w:szCs w:val="22"/>
              </w:rPr>
              <w:t xml:space="preserve">             </w:t>
            </w:r>
            <w:r w:rsidR="00DA54C9" w:rsidRPr="00B7585B">
              <w:rPr>
                <w:rFonts w:ascii="Arial" w:hAnsi="Arial" w:cs="Arial"/>
                <w:sz w:val="22"/>
                <w:szCs w:val="22"/>
              </w:rPr>
              <w:t xml:space="preserve">        </w:t>
            </w:r>
            <w:r w:rsidRPr="00B7585B">
              <w:rPr>
                <w:rFonts w:ascii="Arial" w:hAnsi="Arial" w:cs="Arial"/>
                <w:sz w:val="22"/>
                <w:szCs w:val="22"/>
              </w:rPr>
              <w:t xml:space="preserve"> </w:t>
            </w:r>
            <w:r w:rsidR="00DA54C9" w:rsidRPr="00B7585B">
              <w:rPr>
                <w:rFonts w:ascii="Arial" w:hAnsi="Arial" w:cs="Arial"/>
                <w:sz w:val="22"/>
                <w:szCs w:val="22"/>
              </w:rPr>
              <w:t xml:space="preserve">     </w:t>
            </w:r>
            <w:r w:rsidRPr="00B7585B">
              <w:rPr>
                <w:rFonts w:ascii="Arial" w:hAnsi="Arial" w:cs="Arial"/>
                <w:sz w:val="22"/>
                <w:szCs w:val="22"/>
              </w:rPr>
              <w:t xml:space="preserve">% </w:t>
            </w:r>
          </w:p>
        </w:tc>
        <w:tc>
          <w:tcPr>
            <w:tcW w:w="2033" w:type="dxa"/>
            <w:vAlign w:val="bottom"/>
          </w:tcPr>
          <w:p w14:paraId="69179E39" w14:textId="77777777" w:rsidR="00695812" w:rsidRPr="00B7585B" w:rsidRDefault="00DA54C9" w:rsidP="00DA54C9">
            <w:pPr>
              <w:spacing w:line="480" w:lineRule="auto"/>
              <w:jc w:val="right"/>
              <w:rPr>
                <w:rFonts w:ascii="Arial" w:hAnsi="Arial" w:cs="Arial"/>
                <w:sz w:val="22"/>
                <w:szCs w:val="22"/>
              </w:rPr>
            </w:pPr>
            <w:r w:rsidRPr="00B7585B">
              <w:rPr>
                <w:rFonts w:ascii="Arial" w:hAnsi="Arial" w:cs="Arial"/>
                <w:sz w:val="22"/>
                <w:szCs w:val="22"/>
              </w:rPr>
              <w:t>44.2</w:t>
            </w:r>
          </w:p>
        </w:tc>
      </w:tr>
      <w:tr w:rsidR="00EB6D88" w14:paraId="56BB5BE5" w14:textId="77777777" w:rsidTr="00837216">
        <w:trPr>
          <w:trHeight w:val="503"/>
        </w:trPr>
        <w:tc>
          <w:tcPr>
            <w:tcW w:w="4644" w:type="dxa"/>
            <w:vAlign w:val="bottom"/>
          </w:tcPr>
          <w:p w14:paraId="773A68A3" w14:textId="77777777" w:rsidR="00695812" w:rsidRPr="00B7585B" w:rsidRDefault="000547B7" w:rsidP="00DA54C9">
            <w:pPr>
              <w:spacing w:line="480" w:lineRule="auto"/>
              <w:rPr>
                <w:rFonts w:ascii="Arial" w:hAnsi="Arial" w:cs="Arial"/>
                <w:sz w:val="22"/>
                <w:szCs w:val="22"/>
              </w:rPr>
            </w:pPr>
            <w:r w:rsidRPr="00B7585B">
              <w:rPr>
                <w:rFonts w:ascii="Arial" w:hAnsi="Arial" w:cs="Arial"/>
                <w:sz w:val="22"/>
                <w:szCs w:val="22"/>
              </w:rPr>
              <w:t xml:space="preserve">Crude Fiber      </w:t>
            </w:r>
            <w:r w:rsidR="00DA54C9" w:rsidRPr="00B7585B">
              <w:rPr>
                <w:rFonts w:ascii="Arial" w:hAnsi="Arial" w:cs="Arial"/>
                <w:sz w:val="22"/>
                <w:szCs w:val="22"/>
              </w:rPr>
              <w:t xml:space="preserve">                                            </w:t>
            </w:r>
            <w:proofErr w:type="gramStart"/>
            <w:r w:rsidR="00DA54C9" w:rsidRPr="00B7585B">
              <w:rPr>
                <w:rFonts w:ascii="Arial" w:hAnsi="Arial" w:cs="Arial"/>
                <w:sz w:val="22"/>
                <w:szCs w:val="22"/>
              </w:rPr>
              <w:t xml:space="preserve">%   </w:t>
            </w:r>
            <w:proofErr w:type="gramEnd"/>
          </w:p>
        </w:tc>
        <w:tc>
          <w:tcPr>
            <w:tcW w:w="2033" w:type="dxa"/>
            <w:vAlign w:val="bottom"/>
          </w:tcPr>
          <w:p w14:paraId="16CD22C3" w14:textId="77777777" w:rsidR="00695812" w:rsidRPr="00B7585B" w:rsidRDefault="00DA54C9" w:rsidP="00DA54C9">
            <w:pPr>
              <w:spacing w:line="480" w:lineRule="auto"/>
              <w:jc w:val="right"/>
              <w:rPr>
                <w:rFonts w:ascii="Arial" w:hAnsi="Arial" w:cs="Arial"/>
                <w:sz w:val="22"/>
                <w:szCs w:val="22"/>
              </w:rPr>
            </w:pPr>
            <w:r w:rsidRPr="00B7585B">
              <w:rPr>
                <w:rFonts w:ascii="Arial" w:hAnsi="Arial" w:cs="Arial"/>
                <w:sz w:val="22"/>
                <w:szCs w:val="22"/>
              </w:rPr>
              <w:t>3.5</w:t>
            </w:r>
          </w:p>
        </w:tc>
      </w:tr>
      <w:tr w:rsidR="00B7585B" w:rsidRPr="00B7585B" w14:paraId="4D621DA7" w14:textId="77777777" w:rsidTr="00837216">
        <w:trPr>
          <w:trHeight w:val="503"/>
        </w:trPr>
        <w:tc>
          <w:tcPr>
            <w:tcW w:w="4644" w:type="dxa"/>
            <w:vAlign w:val="bottom"/>
          </w:tcPr>
          <w:p w14:paraId="6CC13DD9" w14:textId="77777777" w:rsidR="00695812" w:rsidRPr="00B7585B" w:rsidRDefault="00DA54C9" w:rsidP="00C451E4">
            <w:pPr>
              <w:spacing w:line="480" w:lineRule="auto"/>
              <w:rPr>
                <w:rFonts w:ascii="Arial" w:hAnsi="Arial" w:cs="Arial"/>
                <w:sz w:val="22"/>
                <w:szCs w:val="22"/>
              </w:rPr>
            </w:pPr>
            <w:r w:rsidRPr="00B7585B">
              <w:rPr>
                <w:rFonts w:ascii="Arial" w:hAnsi="Arial" w:cs="Arial"/>
                <w:sz w:val="22"/>
                <w:szCs w:val="22"/>
              </w:rPr>
              <w:t>Neutral Detergent Fiber</w:t>
            </w:r>
            <w:r w:rsidR="00A910FD">
              <w:rPr>
                <w:rFonts w:ascii="Arial" w:hAnsi="Arial" w:cs="Arial"/>
                <w:sz w:val="22"/>
                <w:szCs w:val="22"/>
              </w:rPr>
              <w:t xml:space="preserve"> </w:t>
            </w:r>
            <w:r w:rsidR="00A910FD">
              <w:rPr>
                <w:rFonts w:ascii="Arial" w:hAnsi="Arial" w:cs="Arial"/>
                <w:sz w:val="22"/>
                <w:szCs w:val="22"/>
                <w:vertAlign w:val="superscript"/>
              </w:rPr>
              <w:t>b</w:t>
            </w:r>
            <w:r w:rsidR="00A910FD">
              <w:rPr>
                <w:rFonts w:ascii="Arial" w:hAnsi="Arial" w:cs="Arial"/>
                <w:sz w:val="22"/>
                <w:szCs w:val="22"/>
              </w:rPr>
              <w:t xml:space="preserve">                    </w:t>
            </w:r>
            <w:r w:rsidRPr="00B7585B">
              <w:rPr>
                <w:rFonts w:ascii="Arial" w:hAnsi="Arial" w:cs="Arial"/>
                <w:sz w:val="22"/>
                <w:szCs w:val="22"/>
              </w:rPr>
              <w:t xml:space="preserve">   </w:t>
            </w:r>
            <w:r w:rsidR="00B7585B" w:rsidRPr="00B7585B">
              <w:rPr>
                <w:rFonts w:ascii="Arial" w:hAnsi="Arial" w:cs="Arial"/>
                <w:sz w:val="22"/>
                <w:szCs w:val="22"/>
              </w:rPr>
              <w:t xml:space="preserve">      </w:t>
            </w:r>
            <w:proofErr w:type="gramStart"/>
            <w:r w:rsidRPr="00B7585B">
              <w:rPr>
                <w:rFonts w:ascii="Arial" w:hAnsi="Arial" w:cs="Arial"/>
                <w:sz w:val="22"/>
                <w:szCs w:val="22"/>
              </w:rPr>
              <w:t xml:space="preserve">%  </w:t>
            </w:r>
            <w:proofErr w:type="gramEnd"/>
          </w:p>
        </w:tc>
        <w:tc>
          <w:tcPr>
            <w:tcW w:w="2033" w:type="dxa"/>
            <w:vAlign w:val="bottom"/>
          </w:tcPr>
          <w:p w14:paraId="4C6EAFFB" w14:textId="77777777" w:rsidR="00695812" w:rsidRPr="00B7585B" w:rsidRDefault="00B7585B" w:rsidP="00B7585B">
            <w:pPr>
              <w:spacing w:line="480" w:lineRule="auto"/>
              <w:jc w:val="right"/>
              <w:rPr>
                <w:rFonts w:ascii="Arial" w:hAnsi="Arial" w:cs="Arial"/>
                <w:sz w:val="22"/>
                <w:szCs w:val="22"/>
              </w:rPr>
            </w:pPr>
            <w:r w:rsidRPr="00B7585B">
              <w:rPr>
                <w:rFonts w:ascii="Arial" w:hAnsi="Arial" w:cs="Arial"/>
                <w:sz w:val="22"/>
                <w:szCs w:val="22"/>
              </w:rPr>
              <w:t>14.7</w:t>
            </w:r>
          </w:p>
        </w:tc>
      </w:tr>
      <w:tr w:rsidR="00EB6D88" w14:paraId="5BF832D7" w14:textId="77777777" w:rsidTr="00837216">
        <w:trPr>
          <w:trHeight w:val="503"/>
        </w:trPr>
        <w:tc>
          <w:tcPr>
            <w:tcW w:w="4644" w:type="dxa"/>
            <w:vAlign w:val="bottom"/>
          </w:tcPr>
          <w:p w14:paraId="481877F8" w14:textId="77777777" w:rsidR="00695812" w:rsidRPr="00B7585B" w:rsidRDefault="00B7585B" w:rsidP="00B7585B">
            <w:pPr>
              <w:tabs>
                <w:tab w:val="left" w:pos="3510"/>
                <w:tab w:val="right" w:pos="3870"/>
              </w:tabs>
              <w:spacing w:line="480" w:lineRule="auto"/>
              <w:rPr>
                <w:rFonts w:ascii="Arial" w:hAnsi="Arial" w:cs="Arial"/>
                <w:sz w:val="22"/>
                <w:szCs w:val="22"/>
              </w:rPr>
            </w:pPr>
            <w:r w:rsidRPr="00B7585B">
              <w:rPr>
                <w:rFonts w:ascii="Arial" w:hAnsi="Arial" w:cs="Arial"/>
                <w:sz w:val="22"/>
                <w:szCs w:val="22"/>
              </w:rPr>
              <w:t>Ash</w:t>
            </w:r>
            <w:r>
              <w:rPr>
                <w:rFonts w:ascii="Arial" w:hAnsi="Arial" w:cs="Arial"/>
                <w:sz w:val="22"/>
                <w:szCs w:val="22"/>
              </w:rPr>
              <w:t xml:space="preserve">                                                               </w:t>
            </w:r>
            <w:r w:rsidRPr="00B7585B">
              <w:rPr>
                <w:rFonts w:ascii="Arial" w:hAnsi="Arial" w:cs="Arial"/>
                <w:sz w:val="22"/>
                <w:szCs w:val="22"/>
              </w:rPr>
              <w:t>%</w:t>
            </w:r>
          </w:p>
        </w:tc>
        <w:tc>
          <w:tcPr>
            <w:tcW w:w="2033" w:type="dxa"/>
            <w:vAlign w:val="bottom"/>
          </w:tcPr>
          <w:p w14:paraId="6DBF38F0" w14:textId="77777777" w:rsidR="00695812" w:rsidRPr="00B7585B" w:rsidRDefault="00B7585B" w:rsidP="00B7585B">
            <w:pPr>
              <w:spacing w:line="480" w:lineRule="auto"/>
              <w:jc w:val="right"/>
              <w:rPr>
                <w:rFonts w:ascii="Arial" w:hAnsi="Arial" w:cs="Arial"/>
                <w:sz w:val="22"/>
                <w:szCs w:val="22"/>
              </w:rPr>
            </w:pPr>
            <w:r>
              <w:rPr>
                <w:rFonts w:ascii="Arial" w:hAnsi="Arial" w:cs="Arial"/>
                <w:sz w:val="22"/>
                <w:szCs w:val="22"/>
              </w:rPr>
              <w:t>5.3</w:t>
            </w:r>
          </w:p>
        </w:tc>
      </w:tr>
      <w:tr w:rsidR="00EB6D88" w14:paraId="33725F15" w14:textId="77777777" w:rsidTr="00837216">
        <w:trPr>
          <w:trHeight w:val="566"/>
        </w:trPr>
        <w:tc>
          <w:tcPr>
            <w:tcW w:w="4644" w:type="dxa"/>
            <w:vAlign w:val="bottom"/>
          </w:tcPr>
          <w:p w14:paraId="5BC3526C" w14:textId="77777777" w:rsidR="00695812" w:rsidRPr="00B7585B" w:rsidRDefault="00B7585B" w:rsidP="00C451E4">
            <w:pPr>
              <w:spacing w:line="480" w:lineRule="auto"/>
              <w:rPr>
                <w:rFonts w:ascii="Arial" w:hAnsi="Arial" w:cs="Arial"/>
                <w:sz w:val="22"/>
                <w:szCs w:val="22"/>
              </w:rPr>
            </w:pPr>
            <w:r>
              <w:rPr>
                <w:rFonts w:ascii="Arial" w:hAnsi="Arial" w:cs="Arial"/>
                <w:sz w:val="22"/>
                <w:szCs w:val="22"/>
              </w:rPr>
              <w:t>Energy Density</w:t>
            </w:r>
            <w:r w:rsidR="00A910FD">
              <w:rPr>
                <w:rFonts w:ascii="Arial" w:hAnsi="Arial" w:cs="Arial"/>
                <w:sz w:val="22"/>
                <w:szCs w:val="22"/>
              </w:rPr>
              <w:t xml:space="preserve"> </w:t>
            </w:r>
            <w:r w:rsidR="00A910FD">
              <w:rPr>
                <w:rFonts w:ascii="Arial" w:hAnsi="Arial" w:cs="Arial"/>
                <w:sz w:val="22"/>
                <w:szCs w:val="22"/>
                <w:vertAlign w:val="superscript"/>
              </w:rPr>
              <w:t>c</w:t>
            </w:r>
            <w:r>
              <w:rPr>
                <w:rFonts w:ascii="Arial" w:hAnsi="Arial" w:cs="Arial"/>
                <w:sz w:val="22"/>
                <w:szCs w:val="22"/>
              </w:rPr>
              <w:t xml:space="preserve"> </w:t>
            </w:r>
            <w:r w:rsidR="00A910FD">
              <w:rPr>
                <w:rFonts w:ascii="Arial" w:hAnsi="Arial" w:cs="Arial"/>
                <w:sz w:val="22"/>
                <w:szCs w:val="22"/>
              </w:rPr>
              <w:t xml:space="preserve">                        </w:t>
            </w:r>
            <w:r>
              <w:rPr>
                <w:rFonts w:ascii="Arial" w:hAnsi="Arial" w:cs="Arial"/>
                <w:sz w:val="22"/>
                <w:szCs w:val="22"/>
              </w:rPr>
              <w:t xml:space="preserve"> kcal/g (kJ/g)</w:t>
            </w:r>
          </w:p>
        </w:tc>
        <w:tc>
          <w:tcPr>
            <w:tcW w:w="2033" w:type="dxa"/>
            <w:vAlign w:val="bottom"/>
          </w:tcPr>
          <w:p w14:paraId="6F3DDDC9" w14:textId="77777777" w:rsidR="00695812" w:rsidRPr="00B7585B" w:rsidRDefault="00A910FD" w:rsidP="00B7585B">
            <w:pPr>
              <w:spacing w:line="480" w:lineRule="auto"/>
              <w:jc w:val="right"/>
              <w:rPr>
                <w:rFonts w:ascii="Arial" w:hAnsi="Arial" w:cs="Arial"/>
                <w:sz w:val="22"/>
                <w:szCs w:val="22"/>
              </w:rPr>
            </w:pPr>
            <w:r>
              <w:rPr>
                <w:rFonts w:ascii="Arial" w:hAnsi="Arial" w:cs="Arial"/>
                <w:sz w:val="22"/>
                <w:szCs w:val="22"/>
              </w:rPr>
              <w:t xml:space="preserve">   </w:t>
            </w:r>
            <w:r w:rsidR="00B7585B">
              <w:rPr>
                <w:rFonts w:ascii="Arial" w:hAnsi="Arial" w:cs="Arial"/>
                <w:sz w:val="22"/>
                <w:szCs w:val="22"/>
              </w:rPr>
              <w:t>3.1 (13.0)</w:t>
            </w:r>
          </w:p>
        </w:tc>
      </w:tr>
      <w:tr w:rsidR="00EB6D88" w14:paraId="27B8FDDE" w14:textId="77777777" w:rsidTr="00837216">
        <w:trPr>
          <w:trHeight w:val="503"/>
        </w:trPr>
        <w:tc>
          <w:tcPr>
            <w:tcW w:w="4644" w:type="dxa"/>
            <w:vAlign w:val="bottom"/>
          </w:tcPr>
          <w:p w14:paraId="45B6743B" w14:textId="77777777" w:rsidR="00695812" w:rsidRPr="00B7585B" w:rsidRDefault="00DE444D" w:rsidP="00C451E4">
            <w:pPr>
              <w:spacing w:line="480" w:lineRule="auto"/>
              <w:rPr>
                <w:rFonts w:ascii="Arial" w:hAnsi="Arial" w:cs="Arial"/>
                <w:sz w:val="22"/>
                <w:szCs w:val="22"/>
              </w:rPr>
            </w:pPr>
            <w:r>
              <w:rPr>
                <w:rFonts w:ascii="Arial" w:hAnsi="Arial" w:cs="Arial"/>
                <w:sz w:val="22"/>
                <w:szCs w:val="22"/>
              </w:rPr>
              <w:t>Calories from P</w:t>
            </w:r>
            <w:r w:rsidR="00AC7570">
              <w:rPr>
                <w:rFonts w:ascii="Arial" w:hAnsi="Arial" w:cs="Arial"/>
                <w:sz w:val="22"/>
                <w:szCs w:val="22"/>
              </w:rPr>
              <w:t>rotein</w:t>
            </w:r>
            <w:r>
              <w:rPr>
                <w:rFonts w:ascii="Arial" w:hAnsi="Arial" w:cs="Arial"/>
                <w:sz w:val="22"/>
                <w:szCs w:val="22"/>
              </w:rPr>
              <w:t xml:space="preserve">                                   %</w:t>
            </w:r>
          </w:p>
        </w:tc>
        <w:tc>
          <w:tcPr>
            <w:tcW w:w="2033" w:type="dxa"/>
            <w:vAlign w:val="bottom"/>
          </w:tcPr>
          <w:p w14:paraId="0395DFD7" w14:textId="77777777" w:rsidR="00695812" w:rsidRPr="00B7585B" w:rsidRDefault="00DE444D" w:rsidP="00DE444D">
            <w:pPr>
              <w:spacing w:line="480" w:lineRule="auto"/>
              <w:jc w:val="right"/>
              <w:rPr>
                <w:rFonts w:ascii="Arial" w:hAnsi="Arial" w:cs="Arial"/>
                <w:sz w:val="22"/>
                <w:szCs w:val="22"/>
              </w:rPr>
            </w:pPr>
            <w:r>
              <w:rPr>
                <w:rFonts w:ascii="Arial" w:hAnsi="Arial" w:cs="Arial"/>
                <w:sz w:val="22"/>
                <w:szCs w:val="22"/>
              </w:rPr>
              <w:t>24</w:t>
            </w:r>
          </w:p>
        </w:tc>
      </w:tr>
      <w:tr w:rsidR="00EB6D88" w14:paraId="58CD35F3" w14:textId="77777777" w:rsidTr="00837216">
        <w:trPr>
          <w:trHeight w:val="517"/>
        </w:trPr>
        <w:tc>
          <w:tcPr>
            <w:tcW w:w="4644" w:type="dxa"/>
            <w:vAlign w:val="bottom"/>
          </w:tcPr>
          <w:p w14:paraId="7EF0016A" w14:textId="77777777" w:rsidR="00695812" w:rsidRPr="00B7585B" w:rsidRDefault="006D6373" w:rsidP="006D6373">
            <w:pPr>
              <w:spacing w:line="480" w:lineRule="auto"/>
              <w:rPr>
                <w:rFonts w:ascii="Arial" w:hAnsi="Arial" w:cs="Arial"/>
                <w:sz w:val="22"/>
                <w:szCs w:val="22"/>
              </w:rPr>
            </w:pPr>
            <w:r>
              <w:rPr>
                <w:rFonts w:ascii="Arial" w:hAnsi="Arial" w:cs="Arial"/>
                <w:sz w:val="22"/>
                <w:szCs w:val="22"/>
              </w:rPr>
              <w:t>Calories from Fat                                         %</w:t>
            </w:r>
          </w:p>
        </w:tc>
        <w:tc>
          <w:tcPr>
            <w:tcW w:w="2033" w:type="dxa"/>
            <w:vAlign w:val="bottom"/>
          </w:tcPr>
          <w:p w14:paraId="5873428E" w14:textId="77777777" w:rsidR="00695812" w:rsidRPr="00B7585B" w:rsidRDefault="006D6373" w:rsidP="006D6373">
            <w:pPr>
              <w:spacing w:line="480" w:lineRule="auto"/>
              <w:jc w:val="right"/>
              <w:rPr>
                <w:rFonts w:ascii="Arial" w:hAnsi="Arial" w:cs="Arial"/>
                <w:sz w:val="22"/>
                <w:szCs w:val="22"/>
              </w:rPr>
            </w:pPr>
            <w:r>
              <w:rPr>
                <w:rFonts w:ascii="Arial" w:hAnsi="Arial" w:cs="Arial"/>
                <w:sz w:val="22"/>
                <w:szCs w:val="22"/>
              </w:rPr>
              <w:t>18</w:t>
            </w:r>
          </w:p>
        </w:tc>
      </w:tr>
      <w:tr w:rsidR="00EB6D88" w14:paraId="15F9D483" w14:textId="77777777" w:rsidTr="00837216">
        <w:trPr>
          <w:trHeight w:val="530"/>
        </w:trPr>
        <w:tc>
          <w:tcPr>
            <w:tcW w:w="4644" w:type="dxa"/>
            <w:vAlign w:val="bottom"/>
          </w:tcPr>
          <w:p w14:paraId="539B887D" w14:textId="77777777" w:rsidR="00695812" w:rsidRPr="00B7585B" w:rsidRDefault="006D6373" w:rsidP="006D6373">
            <w:pPr>
              <w:spacing w:line="480" w:lineRule="auto"/>
              <w:rPr>
                <w:rFonts w:ascii="Arial" w:hAnsi="Arial" w:cs="Arial"/>
                <w:sz w:val="22"/>
                <w:szCs w:val="22"/>
              </w:rPr>
            </w:pPr>
            <w:r>
              <w:rPr>
                <w:rFonts w:ascii="Arial" w:hAnsi="Arial" w:cs="Arial"/>
                <w:sz w:val="22"/>
                <w:szCs w:val="22"/>
              </w:rPr>
              <w:t xml:space="preserve">Calories from Carbohydrate                         </w:t>
            </w:r>
            <w:proofErr w:type="gramStart"/>
            <w:r>
              <w:rPr>
                <w:rFonts w:ascii="Arial" w:hAnsi="Arial" w:cs="Arial"/>
                <w:sz w:val="22"/>
                <w:szCs w:val="22"/>
              </w:rPr>
              <w:t xml:space="preserve">%               </w:t>
            </w:r>
            <w:proofErr w:type="gramEnd"/>
          </w:p>
        </w:tc>
        <w:tc>
          <w:tcPr>
            <w:tcW w:w="2033" w:type="dxa"/>
            <w:vAlign w:val="bottom"/>
          </w:tcPr>
          <w:p w14:paraId="10CFFBC1" w14:textId="77777777" w:rsidR="00695812" w:rsidRPr="00B7585B" w:rsidRDefault="006D6373" w:rsidP="006D6373">
            <w:pPr>
              <w:spacing w:line="480" w:lineRule="auto"/>
              <w:jc w:val="right"/>
              <w:rPr>
                <w:rFonts w:ascii="Arial" w:hAnsi="Arial" w:cs="Arial"/>
                <w:sz w:val="22"/>
                <w:szCs w:val="22"/>
              </w:rPr>
            </w:pPr>
            <w:r>
              <w:rPr>
                <w:rFonts w:ascii="Arial" w:hAnsi="Arial" w:cs="Arial"/>
                <w:sz w:val="22"/>
                <w:szCs w:val="22"/>
              </w:rPr>
              <w:t>58</w:t>
            </w:r>
          </w:p>
        </w:tc>
      </w:tr>
      <w:tr w:rsidR="00EB6D88" w14:paraId="4C75FC91" w14:textId="77777777" w:rsidTr="00837216">
        <w:trPr>
          <w:trHeight w:val="530"/>
        </w:trPr>
        <w:tc>
          <w:tcPr>
            <w:tcW w:w="4644" w:type="dxa"/>
            <w:shd w:val="clear" w:color="auto" w:fill="DBE5F1" w:themeFill="accent1" w:themeFillTint="33"/>
            <w:vAlign w:val="bottom"/>
          </w:tcPr>
          <w:p w14:paraId="2C5A5E50" w14:textId="77777777" w:rsidR="00EB6D88" w:rsidRPr="00F452D1" w:rsidRDefault="00F452D1" w:rsidP="00C451E4">
            <w:pPr>
              <w:spacing w:line="480" w:lineRule="auto"/>
              <w:rPr>
                <w:rFonts w:ascii="Arial" w:hAnsi="Arial" w:cs="Arial"/>
                <w:b/>
              </w:rPr>
            </w:pPr>
            <w:r w:rsidRPr="00F452D1">
              <w:rPr>
                <w:rFonts w:ascii="Arial" w:hAnsi="Arial" w:cs="Arial"/>
                <w:b/>
              </w:rPr>
              <w:t>Minerals</w:t>
            </w:r>
          </w:p>
        </w:tc>
        <w:tc>
          <w:tcPr>
            <w:tcW w:w="2033" w:type="dxa"/>
            <w:shd w:val="clear" w:color="auto" w:fill="DBE5F1" w:themeFill="accent1" w:themeFillTint="33"/>
            <w:vAlign w:val="bottom"/>
          </w:tcPr>
          <w:p w14:paraId="21E0E9CC" w14:textId="77777777" w:rsidR="00EB6D88" w:rsidRPr="00B7585B" w:rsidRDefault="00EB6D88" w:rsidP="00C451E4">
            <w:pPr>
              <w:spacing w:line="480" w:lineRule="auto"/>
              <w:jc w:val="center"/>
              <w:rPr>
                <w:rFonts w:ascii="Arial" w:hAnsi="Arial" w:cs="Arial"/>
                <w:sz w:val="22"/>
                <w:szCs w:val="22"/>
              </w:rPr>
            </w:pPr>
          </w:p>
        </w:tc>
      </w:tr>
      <w:tr w:rsidR="00EB6D88" w14:paraId="6CED3131" w14:textId="77777777" w:rsidTr="00837216">
        <w:trPr>
          <w:trHeight w:val="530"/>
        </w:trPr>
        <w:tc>
          <w:tcPr>
            <w:tcW w:w="4644" w:type="dxa"/>
            <w:vAlign w:val="bottom"/>
          </w:tcPr>
          <w:p w14:paraId="65672F20" w14:textId="77777777" w:rsidR="00EB6D88" w:rsidRPr="00B7585B" w:rsidRDefault="00F452D1" w:rsidP="00837216">
            <w:pPr>
              <w:spacing w:line="480" w:lineRule="auto"/>
              <w:jc w:val="both"/>
              <w:rPr>
                <w:rFonts w:ascii="Arial" w:hAnsi="Arial" w:cs="Arial"/>
                <w:sz w:val="22"/>
                <w:szCs w:val="22"/>
              </w:rPr>
            </w:pPr>
            <w:r>
              <w:rPr>
                <w:rFonts w:ascii="Arial" w:hAnsi="Arial" w:cs="Arial"/>
                <w:sz w:val="22"/>
                <w:szCs w:val="22"/>
              </w:rPr>
              <w:t>Calcium                                                        %</w:t>
            </w:r>
          </w:p>
        </w:tc>
        <w:tc>
          <w:tcPr>
            <w:tcW w:w="2033" w:type="dxa"/>
            <w:vAlign w:val="bottom"/>
          </w:tcPr>
          <w:p w14:paraId="4287C068"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1.0</w:t>
            </w:r>
          </w:p>
        </w:tc>
      </w:tr>
      <w:tr w:rsidR="00EB6D88" w14:paraId="3D55D5D6" w14:textId="77777777" w:rsidTr="00837216">
        <w:trPr>
          <w:trHeight w:val="530"/>
        </w:trPr>
        <w:tc>
          <w:tcPr>
            <w:tcW w:w="4644" w:type="dxa"/>
            <w:vAlign w:val="bottom"/>
          </w:tcPr>
          <w:p w14:paraId="628515B7" w14:textId="77777777" w:rsidR="00EB6D88" w:rsidRPr="00B7585B" w:rsidRDefault="00210A18" w:rsidP="00837216">
            <w:pPr>
              <w:spacing w:line="480" w:lineRule="auto"/>
              <w:rPr>
                <w:rFonts w:ascii="Arial" w:hAnsi="Arial" w:cs="Arial"/>
                <w:sz w:val="22"/>
                <w:szCs w:val="22"/>
              </w:rPr>
            </w:pPr>
            <w:r>
              <w:rPr>
                <w:rFonts w:ascii="Arial" w:hAnsi="Arial" w:cs="Arial"/>
                <w:sz w:val="22"/>
                <w:szCs w:val="22"/>
              </w:rPr>
              <w:t xml:space="preserve">Phosphorus                                                  </w:t>
            </w:r>
            <w:r w:rsidR="00F452D1">
              <w:rPr>
                <w:rFonts w:ascii="Arial" w:hAnsi="Arial" w:cs="Arial"/>
                <w:sz w:val="22"/>
                <w:szCs w:val="22"/>
              </w:rPr>
              <w:t>%</w:t>
            </w:r>
          </w:p>
        </w:tc>
        <w:tc>
          <w:tcPr>
            <w:tcW w:w="2033" w:type="dxa"/>
            <w:vAlign w:val="bottom"/>
          </w:tcPr>
          <w:p w14:paraId="269F037F"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0.7</w:t>
            </w:r>
          </w:p>
        </w:tc>
      </w:tr>
      <w:tr w:rsidR="00EB6D88" w14:paraId="169D7963" w14:textId="77777777" w:rsidTr="00837216">
        <w:trPr>
          <w:trHeight w:val="530"/>
        </w:trPr>
        <w:tc>
          <w:tcPr>
            <w:tcW w:w="4644" w:type="dxa"/>
            <w:vAlign w:val="bottom"/>
          </w:tcPr>
          <w:p w14:paraId="20F93D26" w14:textId="77777777" w:rsidR="00EB6D88" w:rsidRPr="00B7585B" w:rsidRDefault="00210A18" w:rsidP="00837216">
            <w:pPr>
              <w:spacing w:line="480" w:lineRule="auto"/>
              <w:rPr>
                <w:rFonts w:ascii="Arial" w:hAnsi="Arial" w:cs="Arial"/>
                <w:sz w:val="22"/>
                <w:szCs w:val="22"/>
              </w:rPr>
            </w:pPr>
            <w:r>
              <w:rPr>
                <w:rFonts w:ascii="Arial" w:hAnsi="Arial" w:cs="Arial"/>
                <w:sz w:val="22"/>
                <w:szCs w:val="22"/>
              </w:rPr>
              <w:t xml:space="preserve">Non-Phytale Phosphorus                             </w:t>
            </w:r>
            <w:r w:rsidR="00F452D1">
              <w:rPr>
                <w:rFonts w:ascii="Arial" w:hAnsi="Arial" w:cs="Arial"/>
                <w:sz w:val="22"/>
                <w:szCs w:val="22"/>
              </w:rPr>
              <w:t>%</w:t>
            </w:r>
          </w:p>
        </w:tc>
        <w:tc>
          <w:tcPr>
            <w:tcW w:w="2033" w:type="dxa"/>
            <w:vAlign w:val="bottom"/>
          </w:tcPr>
          <w:p w14:paraId="14AB9C72"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0.4</w:t>
            </w:r>
          </w:p>
        </w:tc>
      </w:tr>
      <w:tr w:rsidR="00EB6D88" w14:paraId="18617039" w14:textId="77777777" w:rsidTr="00837216">
        <w:trPr>
          <w:trHeight w:val="530"/>
        </w:trPr>
        <w:tc>
          <w:tcPr>
            <w:tcW w:w="4644" w:type="dxa"/>
            <w:vAlign w:val="bottom"/>
          </w:tcPr>
          <w:p w14:paraId="324698BE" w14:textId="77777777" w:rsidR="00EB6D88" w:rsidRPr="00B7585B" w:rsidRDefault="00210A18" w:rsidP="00837216">
            <w:pPr>
              <w:spacing w:line="480" w:lineRule="auto"/>
              <w:jc w:val="both"/>
              <w:rPr>
                <w:rFonts w:ascii="Arial" w:hAnsi="Arial" w:cs="Arial"/>
                <w:sz w:val="22"/>
                <w:szCs w:val="22"/>
              </w:rPr>
            </w:pPr>
            <w:r>
              <w:rPr>
                <w:rFonts w:ascii="Arial" w:hAnsi="Arial" w:cs="Arial"/>
                <w:sz w:val="22"/>
                <w:szCs w:val="22"/>
              </w:rPr>
              <w:t xml:space="preserve">Sodium                                                         </w:t>
            </w:r>
            <w:r w:rsidR="00F452D1">
              <w:rPr>
                <w:rFonts w:ascii="Arial" w:hAnsi="Arial" w:cs="Arial"/>
                <w:sz w:val="22"/>
                <w:szCs w:val="22"/>
              </w:rPr>
              <w:t>%</w:t>
            </w:r>
          </w:p>
        </w:tc>
        <w:tc>
          <w:tcPr>
            <w:tcW w:w="2033" w:type="dxa"/>
            <w:vAlign w:val="bottom"/>
          </w:tcPr>
          <w:p w14:paraId="595E7954"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0.2</w:t>
            </w:r>
          </w:p>
        </w:tc>
      </w:tr>
      <w:tr w:rsidR="00EB6D88" w14:paraId="137DBBEE" w14:textId="77777777" w:rsidTr="00837216">
        <w:trPr>
          <w:trHeight w:val="530"/>
        </w:trPr>
        <w:tc>
          <w:tcPr>
            <w:tcW w:w="4644" w:type="dxa"/>
            <w:vAlign w:val="bottom"/>
          </w:tcPr>
          <w:p w14:paraId="6D1AF2FA" w14:textId="77777777" w:rsidR="00EB6D88" w:rsidRPr="00B7585B" w:rsidRDefault="00210A18" w:rsidP="00837216">
            <w:pPr>
              <w:spacing w:line="480" w:lineRule="auto"/>
              <w:jc w:val="both"/>
              <w:rPr>
                <w:rFonts w:ascii="Arial" w:hAnsi="Arial" w:cs="Arial"/>
                <w:sz w:val="22"/>
                <w:szCs w:val="22"/>
              </w:rPr>
            </w:pPr>
            <w:r>
              <w:rPr>
                <w:rFonts w:ascii="Arial" w:hAnsi="Arial" w:cs="Arial"/>
                <w:sz w:val="22"/>
                <w:szCs w:val="22"/>
              </w:rPr>
              <w:t xml:space="preserve">Potassium                                                    </w:t>
            </w:r>
            <w:r w:rsidR="00F452D1">
              <w:rPr>
                <w:rFonts w:ascii="Arial" w:hAnsi="Arial" w:cs="Arial"/>
                <w:sz w:val="22"/>
                <w:szCs w:val="22"/>
              </w:rPr>
              <w:t>%</w:t>
            </w:r>
          </w:p>
        </w:tc>
        <w:tc>
          <w:tcPr>
            <w:tcW w:w="2033" w:type="dxa"/>
            <w:vAlign w:val="bottom"/>
          </w:tcPr>
          <w:p w14:paraId="3DE84A78"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0.6</w:t>
            </w:r>
          </w:p>
        </w:tc>
      </w:tr>
      <w:tr w:rsidR="00EB6D88" w14:paraId="195054F0" w14:textId="77777777" w:rsidTr="00837216">
        <w:trPr>
          <w:trHeight w:val="530"/>
        </w:trPr>
        <w:tc>
          <w:tcPr>
            <w:tcW w:w="4644" w:type="dxa"/>
            <w:vAlign w:val="bottom"/>
          </w:tcPr>
          <w:p w14:paraId="599F673C" w14:textId="77777777" w:rsidR="00EB6D88" w:rsidRPr="00B7585B" w:rsidRDefault="00210A18" w:rsidP="00837216">
            <w:pPr>
              <w:spacing w:line="480" w:lineRule="auto"/>
              <w:jc w:val="both"/>
              <w:rPr>
                <w:rFonts w:ascii="Arial" w:hAnsi="Arial" w:cs="Arial"/>
                <w:sz w:val="22"/>
                <w:szCs w:val="22"/>
              </w:rPr>
            </w:pPr>
            <w:r>
              <w:rPr>
                <w:rFonts w:ascii="Arial" w:hAnsi="Arial" w:cs="Arial"/>
                <w:sz w:val="22"/>
                <w:szCs w:val="22"/>
              </w:rPr>
              <w:t xml:space="preserve">Chloride                                                       </w:t>
            </w:r>
            <w:r w:rsidR="00F452D1">
              <w:rPr>
                <w:rFonts w:ascii="Arial" w:hAnsi="Arial" w:cs="Arial"/>
                <w:sz w:val="22"/>
                <w:szCs w:val="22"/>
              </w:rPr>
              <w:t>%</w:t>
            </w:r>
          </w:p>
        </w:tc>
        <w:tc>
          <w:tcPr>
            <w:tcW w:w="2033" w:type="dxa"/>
            <w:vAlign w:val="bottom"/>
          </w:tcPr>
          <w:p w14:paraId="53485777"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0.4</w:t>
            </w:r>
          </w:p>
        </w:tc>
      </w:tr>
      <w:tr w:rsidR="00EB6D88" w14:paraId="51AC2B5A" w14:textId="77777777" w:rsidTr="00837216">
        <w:trPr>
          <w:trHeight w:val="530"/>
        </w:trPr>
        <w:tc>
          <w:tcPr>
            <w:tcW w:w="4644" w:type="dxa"/>
            <w:vAlign w:val="bottom"/>
          </w:tcPr>
          <w:p w14:paraId="39D73376" w14:textId="77777777" w:rsidR="00EB6D88" w:rsidRPr="00B7585B" w:rsidRDefault="00837216" w:rsidP="00837216">
            <w:pPr>
              <w:spacing w:line="480" w:lineRule="auto"/>
              <w:rPr>
                <w:rFonts w:ascii="Arial" w:hAnsi="Arial" w:cs="Arial"/>
                <w:sz w:val="22"/>
                <w:szCs w:val="22"/>
              </w:rPr>
            </w:pPr>
            <w:r>
              <w:rPr>
                <w:rFonts w:ascii="Arial" w:hAnsi="Arial" w:cs="Arial"/>
                <w:sz w:val="22"/>
                <w:szCs w:val="22"/>
              </w:rPr>
              <w:t xml:space="preserve">Magnesium                                                  </w:t>
            </w:r>
            <w:r w:rsidR="00F452D1">
              <w:rPr>
                <w:rFonts w:ascii="Arial" w:hAnsi="Arial" w:cs="Arial"/>
                <w:sz w:val="22"/>
                <w:szCs w:val="22"/>
              </w:rPr>
              <w:t>%</w:t>
            </w:r>
          </w:p>
        </w:tc>
        <w:tc>
          <w:tcPr>
            <w:tcW w:w="2033" w:type="dxa"/>
            <w:vAlign w:val="bottom"/>
          </w:tcPr>
          <w:p w14:paraId="0FDDF928"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0.2</w:t>
            </w:r>
          </w:p>
        </w:tc>
      </w:tr>
      <w:tr w:rsidR="00EB6D88" w14:paraId="6AF3BA66" w14:textId="77777777" w:rsidTr="00837216">
        <w:trPr>
          <w:trHeight w:val="530"/>
        </w:trPr>
        <w:tc>
          <w:tcPr>
            <w:tcW w:w="4644" w:type="dxa"/>
            <w:vAlign w:val="bottom"/>
          </w:tcPr>
          <w:p w14:paraId="550801E6" w14:textId="77777777" w:rsidR="00EB6D88" w:rsidRPr="00B7585B" w:rsidRDefault="00837216" w:rsidP="00837216">
            <w:pPr>
              <w:spacing w:line="480" w:lineRule="auto"/>
              <w:jc w:val="both"/>
              <w:rPr>
                <w:rFonts w:ascii="Arial" w:hAnsi="Arial" w:cs="Arial"/>
                <w:sz w:val="22"/>
                <w:szCs w:val="22"/>
              </w:rPr>
            </w:pPr>
            <w:r>
              <w:rPr>
                <w:rFonts w:ascii="Arial" w:hAnsi="Arial" w:cs="Arial"/>
                <w:sz w:val="22"/>
                <w:szCs w:val="22"/>
              </w:rPr>
              <w:t xml:space="preserve">Zinc                                                       </w:t>
            </w:r>
            <w:r w:rsidR="00F452D1">
              <w:rPr>
                <w:rFonts w:ascii="Arial" w:hAnsi="Arial" w:cs="Arial"/>
                <w:sz w:val="22"/>
                <w:szCs w:val="22"/>
              </w:rPr>
              <w:t>mg/kg</w:t>
            </w:r>
          </w:p>
        </w:tc>
        <w:tc>
          <w:tcPr>
            <w:tcW w:w="2033" w:type="dxa"/>
            <w:vAlign w:val="bottom"/>
          </w:tcPr>
          <w:p w14:paraId="2F3DA51B"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70</w:t>
            </w:r>
          </w:p>
        </w:tc>
      </w:tr>
      <w:tr w:rsidR="00EB6D88" w14:paraId="4414E045" w14:textId="77777777" w:rsidTr="00837216">
        <w:trPr>
          <w:trHeight w:val="530"/>
        </w:trPr>
        <w:tc>
          <w:tcPr>
            <w:tcW w:w="4644" w:type="dxa"/>
            <w:vAlign w:val="bottom"/>
          </w:tcPr>
          <w:p w14:paraId="2342C0BC" w14:textId="77777777" w:rsidR="00EB6D88" w:rsidRPr="00B7585B" w:rsidRDefault="00837216" w:rsidP="00837216">
            <w:pPr>
              <w:spacing w:line="480" w:lineRule="auto"/>
              <w:rPr>
                <w:rFonts w:ascii="Arial" w:hAnsi="Arial" w:cs="Arial"/>
                <w:sz w:val="22"/>
                <w:szCs w:val="22"/>
              </w:rPr>
            </w:pPr>
            <w:r>
              <w:rPr>
                <w:rFonts w:ascii="Arial" w:hAnsi="Arial" w:cs="Arial"/>
                <w:sz w:val="22"/>
                <w:szCs w:val="22"/>
              </w:rPr>
              <w:t xml:space="preserve">Manganese                                           </w:t>
            </w:r>
            <w:r w:rsidR="00F452D1">
              <w:rPr>
                <w:rFonts w:ascii="Arial" w:hAnsi="Arial" w:cs="Arial"/>
                <w:sz w:val="22"/>
                <w:szCs w:val="22"/>
              </w:rPr>
              <w:t>mg/kg</w:t>
            </w:r>
          </w:p>
        </w:tc>
        <w:tc>
          <w:tcPr>
            <w:tcW w:w="2033" w:type="dxa"/>
            <w:vAlign w:val="bottom"/>
          </w:tcPr>
          <w:p w14:paraId="52E8B281"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100</w:t>
            </w:r>
          </w:p>
        </w:tc>
      </w:tr>
      <w:tr w:rsidR="00EB6D88" w14:paraId="4D59BBBF" w14:textId="77777777" w:rsidTr="00837216">
        <w:trPr>
          <w:trHeight w:val="530"/>
        </w:trPr>
        <w:tc>
          <w:tcPr>
            <w:tcW w:w="4644" w:type="dxa"/>
            <w:vAlign w:val="bottom"/>
          </w:tcPr>
          <w:p w14:paraId="6FEC95FF" w14:textId="77777777" w:rsidR="00EB6D88" w:rsidRPr="00B7585B" w:rsidRDefault="00837216" w:rsidP="00837216">
            <w:pPr>
              <w:spacing w:line="480" w:lineRule="auto"/>
              <w:rPr>
                <w:rFonts w:ascii="Arial" w:hAnsi="Arial" w:cs="Arial"/>
                <w:sz w:val="22"/>
                <w:szCs w:val="22"/>
              </w:rPr>
            </w:pPr>
            <w:r>
              <w:rPr>
                <w:rFonts w:ascii="Arial" w:hAnsi="Arial" w:cs="Arial"/>
                <w:sz w:val="22"/>
                <w:szCs w:val="22"/>
              </w:rPr>
              <w:t xml:space="preserve">Copper                                                  </w:t>
            </w:r>
            <w:r w:rsidR="00F452D1">
              <w:rPr>
                <w:rFonts w:ascii="Arial" w:hAnsi="Arial" w:cs="Arial"/>
                <w:sz w:val="22"/>
                <w:szCs w:val="22"/>
              </w:rPr>
              <w:t>mg/kg</w:t>
            </w:r>
          </w:p>
        </w:tc>
        <w:tc>
          <w:tcPr>
            <w:tcW w:w="2033" w:type="dxa"/>
            <w:vAlign w:val="bottom"/>
          </w:tcPr>
          <w:p w14:paraId="62435D28"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15</w:t>
            </w:r>
          </w:p>
        </w:tc>
      </w:tr>
      <w:tr w:rsidR="00EB6D88" w14:paraId="5D3AE1D4" w14:textId="77777777" w:rsidTr="00837216">
        <w:trPr>
          <w:trHeight w:val="530"/>
        </w:trPr>
        <w:tc>
          <w:tcPr>
            <w:tcW w:w="4644" w:type="dxa"/>
            <w:vAlign w:val="bottom"/>
          </w:tcPr>
          <w:p w14:paraId="06845DAA" w14:textId="77777777" w:rsidR="00EB6D88" w:rsidRPr="00B7585B" w:rsidRDefault="00837216" w:rsidP="00837216">
            <w:pPr>
              <w:spacing w:line="480" w:lineRule="auto"/>
              <w:rPr>
                <w:rFonts w:ascii="Arial" w:hAnsi="Arial" w:cs="Arial"/>
                <w:sz w:val="22"/>
                <w:szCs w:val="22"/>
              </w:rPr>
            </w:pPr>
            <w:r>
              <w:rPr>
                <w:rFonts w:ascii="Arial" w:hAnsi="Arial" w:cs="Arial"/>
                <w:sz w:val="22"/>
                <w:szCs w:val="22"/>
              </w:rPr>
              <w:t xml:space="preserve">Iodine                                                    </w:t>
            </w:r>
            <w:r w:rsidR="00F452D1">
              <w:rPr>
                <w:rFonts w:ascii="Arial" w:hAnsi="Arial" w:cs="Arial"/>
                <w:sz w:val="22"/>
                <w:szCs w:val="22"/>
              </w:rPr>
              <w:t>mg/kg</w:t>
            </w:r>
          </w:p>
        </w:tc>
        <w:tc>
          <w:tcPr>
            <w:tcW w:w="2033" w:type="dxa"/>
            <w:vAlign w:val="bottom"/>
          </w:tcPr>
          <w:p w14:paraId="1F09FCFB" w14:textId="77777777" w:rsidR="00EB6D88" w:rsidRPr="00B7585B" w:rsidRDefault="00F452D1" w:rsidP="00F452D1">
            <w:pPr>
              <w:spacing w:line="480" w:lineRule="auto"/>
              <w:jc w:val="right"/>
              <w:rPr>
                <w:rFonts w:ascii="Arial" w:hAnsi="Arial" w:cs="Arial"/>
                <w:sz w:val="22"/>
                <w:szCs w:val="22"/>
              </w:rPr>
            </w:pPr>
            <w:r>
              <w:rPr>
                <w:rFonts w:ascii="Arial" w:hAnsi="Arial" w:cs="Arial"/>
                <w:sz w:val="22"/>
                <w:szCs w:val="22"/>
              </w:rPr>
              <w:t>6</w:t>
            </w:r>
          </w:p>
        </w:tc>
      </w:tr>
      <w:tr w:rsidR="00F452D1" w14:paraId="539430E4" w14:textId="77777777" w:rsidTr="00837216">
        <w:trPr>
          <w:trHeight w:val="530"/>
        </w:trPr>
        <w:tc>
          <w:tcPr>
            <w:tcW w:w="4644" w:type="dxa"/>
            <w:vAlign w:val="bottom"/>
          </w:tcPr>
          <w:p w14:paraId="36F66825" w14:textId="77777777" w:rsidR="00F452D1" w:rsidRPr="00B7585B" w:rsidRDefault="00837216" w:rsidP="00837216">
            <w:pPr>
              <w:spacing w:line="480" w:lineRule="auto"/>
              <w:jc w:val="both"/>
              <w:rPr>
                <w:rFonts w:ascii="Arial" w:hAnsi="Arial" w:cs="Arial"/>
                <w:sz w:val="22"/>
                <w:szCs w:val="22"/>
              </w:rPr>
            </w:pPr>
            <w:r>
              <w:rPr>
                <w:rFonts w:ascii="Arial" w:hAnsi="Arial" w:cs="Arial"/>
                <w:sz w:val="22"/>
                <w:szCs w:val="22"/>
              </w:rPr>
              <w:t xml:space="preserve">Iron                                                        </w:t>
            </w:r>
            <w:r w:rsidR="00F452D1">
              <w:rPr>
                <w:rFonts w:ascii="Arial" w:hAnsi="Arial" w:cs="Arial"/>
                <w:sz w:val="22"/>
                <w:szCs w:val="22"/>
              </w:rPr>
              <w:t>mg/kg</w:t>
            </w:r>
          </w:p>
        </w:tc>
        <w:tc>
          <w:tcPr>
            <w:tcW w:w="2033" w:type="dxa"/>
            <w:vAlign w:val="bottom"/>
          </w:tcPr>
          <w:p w14:paraId="26061D06" w14:textId="77777777" w:rsidR="00F452D1" w:rsidRPr="00B7585B" w:rsidRDefault="00F452D1" w:rsidP="00F452D1">
            <w:pPr>
              <w:spacing w:line="480" w:lineRule="auto"/>
              <w:jc w:val="right"/>
              <w:rPr>
                <w:rFonts w:ascii="Arial" w:hAnsi="Arial" w:cs="Arial"/>
                <w:sz w:val="22"/>
                <w:szCs w:val="22"/>
              </w:rPr>
            </w:pPr>
            <w:r>
              <w:rPr>
                <w:rFonts w:ascii="Arial" w:hAnsi="Arial" w:cs="Arial"/>
                <w:sz w:val="22"/>
                <w:szCs w:val="22"/>
              </w:rPr>
              <w:t>200</w:t>
            </w:r>
          </w:p>
        </w:tc>
      </w:tr>
      <w:tr w:rsidR="00F452D1" w14:paraId="1640AF7C" w14:textId="77777777" w:rsidTr="00837216">
        <w:trPr>
          <w:trHeight w:val="530"/>
        </w:trPr>
        <w:tc>
          <w:tcPr>
            <w:tcW w:w="4644" w:type="dxa"/>
            <w:vAlign w:val="bottom"/>
          </w:tcPr>
          <w:p w14:paraId="77248021" w14:textId="77777777" w:rsidR="00F452D1" w:rsidRPr="00B7585B" w:rsidRDefault="00837216" w:rsidP="00837216">
            <w:pPr>
              <w:spacing w:line="480" w:lineRule="auto"/>
              <w:rPr>
                <w:rFonts w:ascii="Arial" w:hAnsi="Arial" w:cs="Arial"/>
                <w:sz w:val="22"/>
                <w:szCs w:val="22"/>
              </w:rPr>
            </w:pPr>
            <w:r>
              <w:rPr>
                <w:rFonts w:ascii="Arial" w:hAnsi="Arial" w:cs="Arial"/>
                <w:sz w:val="22"/>
                <w:szCs w:val="22"/>
              </w:rPr>
              <w:t xml:space="preserve">Selenium                                               </w:t>
            </w:r>
            <w:r w:rsidR="00F452D1">
              <w:rPr>
                <w:rFonts w:ascii="Arial" w:hAnsi="Arial" w:cs="Arial"/>
                <w:sz w:val="22"/>
                <w:szCs w:val="22"/>
              </w:rPr>
              <w:t>mg/kg</w:t>
            </w:r>
          </w:p>
        </w:tc>
        <w:tc>
          <w:tcPr>
            <w:tcW w:w="2033" w:type="dxa"/>
            <w:vAlign w:val="bottom"/>
          </w:tcPr>
          <w:p w14:paraId="4E546201" w14:textId="77777777" w:rsidR="00F452D1" w:rsidRPr="00B7585B" w:rsidRDefault="00F452D1" w:rsidP="00F452D1">
            <w:pPr>
              <w:spacing w:line="480" w:lineRule="auto"/>
              <w:jc w:val="right"/>
              <w:rPr>
                <w:rFonts w:ascii="Arial" w:hAnsi="Arial" w:cs="Arial"/>
                <w:sz w:val="22"/>
                <w:szCs w:val="22"/>
              </w:rPr>
            </w:pPr>
            <w:r>
              <w:rPr>
                <w:rFonts w:ascii="Arial" w:hAnsi="Arial" w:cs="Arial"/>
                <w:sz w:val="22"/>
                <w:szCs w:val="22"/>
              </w:rPr>
              <w:t>0.23</w:t>
            </w:r>
          </w:p>
        </w:tc>
      </w:tr>
      <w:tr w:rsidR="00837216" w14:paraId="6F6DD833" w14:textId="77777777" w:rsidTr="00837216">
        <w:trPr>
          <w:trHeight w:val="530"/>
        </w:trPr>
        <w:tc>
          <w:tcPr>
            <w:tcW w:w="4644" w:type="dxa"/>
            <w:shd w:val="clear" w:color="auto" w:fill="DBE5F1" w:themeFill="accent1" w:themeFillTint="33"/>
            <w:vAlign w:val="bottom"/>
          </w:tcPr>
          <w:p w14:paraId="4A98E9D5" w14:textId="77777777" w:rsidR="00837216" w:rsidRPr="00837216" w:rsidRDefault="00837216" w:rsidP="00837216">
            <w:pPr>
              <w:spacing w:line="480" w:lineRule="auto"/>
              <w:rPr>
                <w:rFonts w:ascii="Arial" w:hAnsi="Arial" w:cs="Arial"/>
                <w:b/>
              </w:rPr>
            </w:pPr>
            <w:r w:rsidRPr="00837216">
              <w:rPr>
                <w:rFonts w:ascii="Arial" w:hAnsi="Arial" w:cs="Arial"/>
                <w:b/>
              </w:rPr>
              <w:lastRenderedPageBreak/>
              <w:t>Amino Acids</w:t>
            </w:r>
          </w:p>
        </w:tc>
        <w:tc>
          <w:tcPr>
            <w:tcW w:w="2033" w:type="dxa"/>
            <w:shd w:val="clear" w:color="auto" w:fill="DBE5F1" w:themeFill="accent1" w:themeFillTint="33"/>
            <w:vAlign w:val="bottom"/>
          </w:tcPr>
          <w:p w14:paraId="674F7CA6" w14:textId="77777777" w:rsidR="00837216" w:rsidRDefault="00837216" w:rsidP="00F452D1">
            <w:pPr>
              <w:spacing w:line="480" w:lineRule="auto"/>
              <w:jc w:val="right"/>
              <w:rPr>
                <w:rFonts w:ascii="Arial" w:hAnsi="Arial" w:cs="Arial"/>
                <w:sz w:val="22"/>
                <w:szCs w:val="22"/>
              </w:rPr>
            </w:pPr>
          </w:p>
        </w:tc>
      </w:tr>
      <w:tr w:rsidR="00837216" w14:paraId="6D78630F" w14:textId="77777777" w:rsidTr="00837216">
        <w:trPr>
          <w:trHeight w:val="530"/>
        </w:trPr>
        <w:tc>
          <w:tcPr>
            <w:tcW w:w="4644" w:type="dxa"/>
            <w:vAlign w:val="bottom"/>
          </w:tcPr>
          <w:p w14:paraId="640C0BF2" w14:textId="77777777" w:rsidR="00837216" w:rsidRDefault="00837216" w:rsidP="00837216">
            <w:pPr>
              <w:spacing w:line="480" w:lineRule="auto"/>
              <w:rPr>
                <w:rFonts w:ascii="Arial" w:hAnsi="Arial" w:cs="Arial"/>
                <w:sz w:val="22"/>
                <w:szCs w:val="22"/>
              </w:rPr>
            </w:pPr>
            <w:r>
              <w:rPr>
                <w:rFonts w:ascii="Arial" w:hAnsi="Arial" w:cs="Arial"/>
                <w:sz w:val="22"/>
                <w:szCs w:val="22"/>
              </w:rPr>
              <w:t>Aspartic Acid                                                %</w:t>
            </w:r>
          </w:p>
        </w:tc>
        <w:tc>
          <w:tcPr>
            <w:tcW w:w="2033" w:type="dxa"/>
            <w:vAlign w:val="bottom"/>
          </w:tcPr>
          <w:p w14:paraId="3D3320A6"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1.4</w:t>
            </w:r>
          </w:p>
        </w:tc>
      </w:tr>
      <w:tr w:rsidR="00837216" w14:paraId="10EF0E53" w14:textId="77777777" w:rsidTr="00837216">
        <w:trPr>
          <w:trHeight w:val="530"/>
        </w:trPr>
        <w:tc>
          <w:tcPr>
            <w:tcW w:w="4644" w:type="dxa"/>
            <w:vAlign w:val="bottom"/>
          </w:tcPr>
          <w:p w14:paraId="3E7D1FB9" w14:textId="77777777" w:rsidR="00837216" w:rsidRDefault="00837216" w:rsidP="00837216">
            <w:pPr>
              <w:spacing w:line="480" w:lineRule="auto"/>
              <w:rPr>
                <w:rFonts w:ascii="Arial" w:hAnsi="Arial" w:cs="Arial"/>
                <w:sz w:val="22"/>
                <w:szCs w:val="22"/>
              </w:rPr>
            </w:pPr>
            <w:r>
              <w:rPr>
                <w:rFonts w:ascii="Arial" w:hAnsi="Arial" w:cs="Arial"/>
                <w:sz w:val="22"/>
                <w:szCs w:val="22"/>
              </w:rPr>
              <w:t>Glutamic Acid                                               %</w:t>
            </w:r>
          </w:p>
        </w:tc>
        <w:tc>
          <w:tcPr>
            <w:tcW w:w="2033" w:type="dxa"/>
            <w:vAlign w:val="bottom"/>
          </w:tcPr>
          <w:p w14:paraId="6136DDFD"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3.4</w:t>
            </w:r>
          </w:p>
        </w:tc>
      </w:tr>
      <w:tr w:rsidR="00837216" w14:paraId="34510F9C" w14:textId="77777777" w:rsidTr="00837216">
        <w:trPr>
          <w:trHeight w:val="530"/>
        </w:trPr>
        <w:tc>
          <w:tcPr>
            <w:tcW w:w="4644" w:type="dxa"/>
            <w:vAlign w:val="bottom"/>
          </w:tcPr>
          <w:p w14:paraId="3E0550B5" w14:textId="77777777" w:rsidR="00837216" w:rsidRDefault="00837216" w:rsidP="00837216">
            <w:pPr>
              <w:spacing w:line="480" w:lineRule="auto"/>
              <w:jc w:val="right"/>
              <w:rPr>
                <w:rFonts w:ascii="Arial" w:hAnsi="Arial" w:cs="Arial"/>
                <w:sz w:val="22"/>
                <w:szCs w:val="22"/>
              </w:rPr>
            </w:pPr>
            <w:r>
              <w:rPr>
                <w:rFonts w:ascii="Arial" w:hAnsi="Arial" w:cs="Arial"/>
                <w:sz w:val="22"/>
                <w:szCs w:val="22"/>
              </w:rPr>
              <w:t>Alanine                                                         %</w:t>
            </w:r>
          </w:p>
        </w:tc>
        <w:tc>
          <w:tcPr>
            <w:tcW w:w="2033" w:type="dxa"/>
            <w:vAlign w:val="bottom"/>
          </w:tcPr>
          <w:p w14:paraId="6CF5FF53"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1.1</w:t>
            </w:r>
          </w:p>
        </w:tc>
      </w:tr>
      <w:tr w:rsidR="00837216" w14:paraId="34417422" w14:textId="77777777" w:rsidTr="00837216">
        <w:trPr>
          <w:trHeight w:val="530"/>
        </w:trPr>
        <w:tc>
          <w:tcPr>
            <w:tcW w:w="4644" w:type="dxa"/>
            <w:vAlign w:val="bottom"/>
          </w:tcPr>
          <w:p w14:paraId="24D0A246" w14:textId="77777777" w:rsidR="00837216" w:rsidRDefault="00837216" w:rsidP="00837216">
            <w:pPr>
              <w:spacing w:line="480" w:lineRule="auto"/>
              <w:rPr>
                <w:rFonts w:ascii="Arial" w:hAnsi="Arial" w:cs="Arial"/>
                <w:sz w:val="22"/>
                <w:szCs w:val="22"/>
              </w:rPr>
            </w:pPr>
            <w:r>
              <w:rPr>
                <w:rFonts w:ascii="Arial" w:hAnsi="Arial" w:cs="Arial"/>
                <w:sz w:val="22"/>
                <w:szCs w:val="22"/>
              </w:rPr>
              <w:t>Glycine                                                         %</w:t>
            </w:r>
          </w:p>
        </w:tc>
        <w:tc>
          <w:tcPr>
            <w:tcW w:w="2033" w:type="dxa"/>
            <w:vAlign w:val="bottom"/>
          </w:tcPr>
          <w:p w14:paraId="72EE1FA8"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0.8</w:t>
            </w:r>
          </w:p>
        </w:tc>
      </w:tr>
      <w:tr w:rsidR="00837216" w14:paraId="665E0134" w14:textId="77777777" w:rsidTr="00837216">
        <w:trPr>
          <w:trHeight w:val="530"/>
        </w:trPr>
        <w:tc>
          <w:tcPr>
            <w:tcW w:w="4644" w:type="dxa"/>
            <w:vAlign w:val="bottom"/>
          </w:tcPr>
          <w:p w14:paraId="4E10F8D1" w14:textId="77777777" w:rsidR="00837216" w:rsidRDefault="00837216" w:rsidP="00837216">
            <w:pPr>
              <w:spacing w:line="480" w:lineRule="auto"/>
              <w:rPr>
                <w:rFonts w:ascii="Arial" w:hAnsi="Arial" w:cs="Arial"/>
                <w:sz w:val="22"/>
                <w:szCs w:val="22"/>
              </w:rPr>
            </w:pPr>
            <w:r>
              <w:rPr>
                <w:rFonts w:ascii="Arial" w:hAnsi="Arial" w:cs="Arial"/>
                <w:sz w:val="22"/>
                <w:szCs w:val="22"/>
              </w:rPr>
              <w:t>Threonine                                                     %</w:t>
            </w:r>
          </w:p>
        </w:tc>
        <w:tc>
          <w:tcPr>
            <w:tcW w:w="2033" w:type="dxa"/>
            <w:vAlign w:val="bottom"/>
          </w:tcPr>
          <w:p w14:paraId="7C265A2A"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0.7</w:t>
            </w:r>
          </w:p>
        </w:tc>
      </w:tr>
      <w:tr w:rsidR="00837216" w14:paraId="477772EF" w14:textId="77777777" w:rsidTr="00837216">
        <w:trPr>
          <w:trHeight w:val="530"/>
        </w:trPr>
        <w:tc>
          <w:tcPr>
            <w:tcW w:w="4644" w:type="dxa"/>
            <w:vAlign w:val="bottom"/>
          </w:tcPr>
          <w:p w14:paraId="3F612326" w14:textId="77777777" w:rsidR="00837216" w:rsidRDefault="00837216" w:rsidP="00837216">
            <w:pPr>
              <w:spacing w:line="480" w:lineRule="auto"/>
              <w:rPr>
                <w:rFonts w:ascii="Arial" w:hAnsi="Arial" w:cs="Arial"/>
                <w:sz w:val="22"/>
                <w:szCs w:val="22"/>
              </w:rPr>
            </w:pPr>
            <w:r>
              <w:rPr>
                <w:rFonts w:ascii="Arial" w:hAnsi="Arial" w:cs="Arial"/>
                <w:sz w:val="22"/>
                <w:szCs w:val="22"/>
              </w:rPr>
              <w:t>Proline                                                          %</w:t>
            </w:r>
          </w:p>
        </w:tc>
        <w:tc>
          <w:tcPr>
            <w:tcW w:w="2033" w:type="dxa"/>
            <w:vAlign w:val="bottom"/>
          </w:tcPr>
          <w:p w14:paraId="0C8E3AEE"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1.6</w:t>
            </w:r>
          </w:p>
        </w:tc>
      </w:tr>
      <w:tr w:rsidR="00837216" w14:paraId="11B27367" w14:textId="77777777" w:rsidTr="00837216">
        <w:trPr>
          <w:trHeight w:val="530"/>
        </w:trPr>
        <w:tc>
          <w:tcPr>
            <w:tcW w:w="4644" w:type="dxa"/>
            <w:vAlign w:val="bottom"/>
          </w:tcPr>
          <w:p w14:paraId="4C8116B0" w14:textId="77777777" w:rsidR="00837216" w:rsidRDefault="00837216" w:rsidP="00837216">
            <w:pPr>
              <w:spacing w:line="480" w:lineRule="auto"/>
              <w:rPr>
                <w:rFonts w:ascii="Arial" w:hAnsi="Arial" w:cs="Arial"/>
                <w:sz w:val="22"/>
                <w:szCs w:val="22"/>
              </w:rPr>
            </w:pPr>
            <w:r>
              <w:rPr>
                <w:rFonts w:ascii="Arial" w:hAnsi="Arial" w:cs="Arial"/>
                <w:sz w:val="22"/>
                <w:szCs w:val="22"/>
              </w:rPr>
              <w:t>Serine                                                          %</w:t>
            </w:r>
          </w:p>
        </w:tc>
        <w:tc>
          <w:tcPr>
            <w:tcW w:w="2033" w:type="dxa"/>
            <w:vAlign w:val="bottom"/>
          </w:tcPr>
          <w:p w14:paraId="0F502BF1"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1.1</w:t>
            </w:r>
          </w:p>
        </w:tc>
      </w:tr>
      <w:tr w:rsidR="00837216" w14:paraId="545DFCDC" w14:textId="77777777" w:rsidTr="00837216">
        <w:trPr>
          <w:trHeight w:val="530"/>
        </w:trPr>
        <w:tc>
          <w:tcPr>
            <w:tcW w:w="4644" w:type="dxa"/>
            <w:vAlign w:val="bottom"/>
          </w:tcPr>
          <w:p w14:paraId="0601E866" w14:textId="77777777" w:rsidR="00837216" w:rsidRDefault="00837216" w:rsidP="00837216">
            <w:pPr>
              <w:spacing w:line="480" w:lineRule="auto"/>
              <w:rPr>
                <w:rFonts w:ascii="Arial" w:hAnsi="Arial" w:cs="Arial"/>
                <w:sz w:val="22"/>
                <w:szCs w:val="22"/>
              </w:rPr>
            </w:pPr>
            <w:r>
              <w:rPr>
                <w:rFonts w:ascii="Arial" w:hAnsi="Arial" w:cs="Arial"/>
                <w:sz w:val="22"/>
                <w:szCs w:val="22"/>
              </w:rPr>
              <w:t>Leucine                                                        %</w:t>
            </w:r>
          </w:p>
        </w:tc>
        <w:tc>
          <w:tcPr>
            <w:tcW w:w="2033" w:type="dxa"/>
            <w:vAlign w:val="bottom"/>
          </w:tcPr>
          <w:p w14:paraId="123D4A74"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1.8</w:t>
            </w:r>
          </w:p>
        </w:tc>
      </w:tr>
      <w:tr w:rsidR="00837216" w14:paraId="4B8E6FE1" w14:textId="77777777" w:rsidTr="00837216">
        <w:trPr>
          <w:trHeight w:val="530"/>
        </w:trPr>
        <w:tc>
          <w:tcPr>
            <w:tcW w:w="4644" w:type="dxa"/>
            <w:vAlign w:val="bottom"/>
          </w:tcPr>
          <w:p w14:paraId="34BA7105" w14:textId="77777777" w:rsidR="00837216" w:rsidRDefault="00837216" w:rsidP="00837216">
            <w:pPr>
              <w:spacing w:line="480" w:lineRule="auto"/>
              <w:rPr>
                <w:rFonts w:ascii="Arial" w:hAnsi="Arial" w:cs="Arial"/>
                <w:sz w:val="22"/>
                <w:szCs w:val="22"/>
              </w:rPr>
            </w:pPr>
            <w:r>
              <w:rPr>
                <w:rFonts w:ascii="Arial" w:hAnsi="Arial" w:cs="Arial"/>
                <w:sz w:val="22"/>
                <w:szCs w:val="22"/>
              </w:rPr>
              <w:t>Isoleucine                                                     %</w:t>
            </w:r>
          </w:p>
        </w:tc>
        <w:tc>
          <w:tcPr>
            <w:tcW w:w="2033" w:type="dxa"/>
            <w:vAlign w:val="bottom"/>
          </w:tcPr>
          <w:p w14:paraId="6F8E9246"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0.8</w:t>
            </w:r>
          </w:p>
        </w:tc>
      </w:tr>
      <w:tr w:rsidR="00837216" w14:paraId="537FF545" w14:textId="77777777" w:rsidTr="00837216">
        <w:trPr>
          <w:trHeight w:val="530"/>
        </w:trPr>
        <w:tc>
          <w:tcPr>
            <w:tcW w:w="4644" w:type="dxa"/>
            <w:vAlign w:val="bottom"/>
          </w:tcPr>
          <w:p w14:paraId="3266ECAC" w14:textId="77777777" w:rsidR="00837216" w:rsidRDefault="00837216" w:rsidP="00837216">
            <w:pPr>
              <w:spacing w:line="480" w:lineRule="auto"/>
              <w:rPr>
                <w:rFonts w:ascii="Arial" w:hAnsi="Arial" w:cs="Arial"/>
                <w:sz w:val="22"/>
                <w:szCs w:val="22"/>
              </w:rPr>
            </w:pPr>
            <w:r>
              <w:rPr>
                <w:rFonts w:ascii="Arial" w:hAnsi="Arial" w:cs="Arial"/>
                <w:sz w:val="22"/>
                <w:szCs w:val="22"/>
              </w:rPr>
              <w:t>Valine                                                           %</w:t>
            </w:r>
          </w:p>
        </w:tc>
        <w:tc>
          <w:tcPr>
            <w:tcW w:w="2033" w:type="dxa"/>
            <w:vAlign w:val="bottom"/>
          </w:tcPr>
          <w:p w14:paraId="31924579"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0.9</w:t>
            </w:r>
          </w:p>
        </w:tc>
      </w:tr>
      <w:tr w:rsidR="00837216" w14:paraId="12367BFE" w14:textId="77777777" w:rsidTr="00837216">
        <w:trPr>
          <w:trHeight w:val="530"/>
        </w:trPr>
        <w:tc>
          <w:tcPr>
            <w:tcW w:w="4644" w:type="dxa"/>
            <w:vAlign w:val="bottom"/>
          </w:tcPr>
          <w:p w14:paraId="6EF12863" w14:textId="77777777" w:rsidR="00837216" w:rsidRDefault="00837216" w:rsidP="00837216">
            <w:pPr>
              <w:spacing w:line="480" w:lineRule="auto"/>
              <w:rPr>
                <w:rFonts w:ascii="Arial" w:hAnsi="Arial" w:cs="Arial"/>
                <w:sz w:val="22"/>
                <w:szCs w:val="22"/>
              </w:rPr>
            </w:pPr>
            <w:r>
              <w:rPr>
                <w:rFonts w:ascii="Arial" w:hAnsi="Arial" w:cs="Arial"/>
                <w:sz w:val="22"/>
                <w:szCs w:val="22"/>
              </w:rPr>
              <w:t>Phenylalanine                                              %</w:t>
            </w:r>
          </w:p>
        </w:tc>
        <w:tc>
          <w:tcPr>
            <w:tcW w:w="2033" w:type="dxa"/>
            <w:vAlign w:val="bottom"/>
          </w:tcPr>
          <w:p w14:paraId="34A75361"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1.0</w:t>
            </w:r>
          </w:p>
        </w:tc>
      </w:tr>
      <w:tr w:rsidR="00837216" w14:paraId="1F8EA7DF" w14:textId="77777777" w:rsidTr="00837216">
        <w:trPr>
          <w:trHeight w:val="530"/>
        </w:trPr>
        <w:tc>
          <w:tcPr>
            <w:tcW w:w="4644" w:type="dxa"/>
            <w:vAlign w:val="bottom"/>
          </w:tcPr>
          <w:p w14:paraId="4F3F8B40" w14:textId="77777777" w:rsidR="00837216" w:rsidRDefault="00837216" w:rsidP="00837216">
            <w:pPr>
              <w:spacing w:line="480" w:lineRule="auto"/>
              <w:rPr>
                <w:rFonts w:ascii="Arial" w:hAnsi="Arial" w:cs="Arial"/>
                <w:sz w:val="22"/>
                <w:szCs w:val="22"/>
              </w:rPr>
            </w:pPr>
            <w:r>
              <w:rPr>
                <w:rFonts w:ascii="Arial" w:hAnsi="Arial" w:cs="Arial"/>
                <w:sz w:val="22"/>
                <w:szCs w:val="22"/>
              </w:rPr>
              <w:t>Tyrosine                                                       %</w:t>
            </w:r>
          </w:p>
        </w:tc>
        <w:tc>
          <w:tcPr>
            <w:tcW w:w="2033" w:type="dxa"/>
            <w:vAlign w:val="bottom"/>
          </w:tcPr>
          <w:p w14:paraId="53CDF722"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0.6</w:t>
            </w:r>
          </w:p>
        </w:tc>
      </w:tr>
      <w:tr w:rsidR="00837216" w14:paraId="0C7DA72A" w14:textId="77777777" w:rsidTr="00837216">
        <w:trPr>
          <w:trHeight w:val="530"/>
        </w:trPr>
        <w:tc>
          <w:tcPr>
            <w:tcW w:w="4644" w:type="dxa"/>
            <w:vAlign w:val="bottom"/>
          </w:tcPr>
          <w:p w14:paraId="3ECAEBA8" w14:textId="77777777" w:rsidR="00837216" w:rsidRDefault="00837216" w:rsidP="00837216">
            <w:pPr>
              <w:spacing w:line="480" w:lineRule="auto"/>
              <w:rPr>
                <w:rFonts w:ascii="Arial" w:hAnsi="Arial" w:cs="Arial"/>
                <w:sz w:val="22"/>
                <w:szCs w:val="22"/>
              </w:rPr>
            </w:pPr>
            <w:r>
              <w:rPr>
                <w:rFonts w:ascii="Arial" w:hAnsi="Arial" w:cs="Arial"/>
                <w:sz w:val="22"/>
                <w:szCs w:val="22"/>
              </w:rPr>
              <w:t>Methionine                                                   %</w:t>
            </w:r>
          </w:p>
        </w:tc>
        <w:tc>
          <w:tcPr>
            <w:tcW w:w="2033" w:type="dxa"/>
            <w:vAlign w:val="bottom"/>
          </w:tcPr>
          <w:p w14:paraId="09BF571D"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0.4</w:t>
            </w:r>
          </w:p>
        </w:tc>
      </w:tr>
      <w:tr w:rsidR="00837216" w14:paraId="112D7711" w14:textId="77777777" w:rsidTr="00837216">
        <w:trPr>
          <w:trHeight w:val="530"/>
        </w:trPr>
        <w:tc>
          <w:tcPr>
            <w:tcW w:w="4644" w:type="dxa"/>
            <w:vAlign w:val="bottom"/>
          </w:tcPr>
          <w:p w14:paraId="4B82AF81" w14:textId="77777777" w:rsidR="00837216" w:rsidRDefault="00837216" w:rsidP="00837216">
            <w:pPr>
              <w:spacing w:line="480" w:lineRule="auto"/>
              <w:rPr>
                <w:rFonts w:ascii="Arial" w:hAnsi="Arial" w:cs="Arial"/>
                <w:sz w:val="22"/>
                <w:szCs w:val="22"/>
              </w:rPr>
            </w:pPr>
            <w:r>
              <w:rPr>
                <w:rFonts w:ascii="Arial" w:hAnsi="Arial" w:cs="Arial"/>
                <w:sz w:val="22"/>
                <w:szCs w:val="22"/>
              </w:rPr>
              <w:t>Cystine                                                         %</w:t>
            </w:r>
          </w:p>
        </w:tc>
        <w:tc>
          <w:tcPr>
            <w:tcW w:w="2033" w:type="dxa"/>
            <w:vAlign w:val="bottom"/>
          </w:tcPr>
          <w:p w14:paraId="6F93B902"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0.3</w:t>
            </w:r>
          </w:p>
        </w:tc>
      </w:tr>
      <w:tr w:rsidR="00837216" w14:paraId="77101BA0" w14:textId="77777777" w:rsidTr="00837216">
        <w:trPr>
          <w:trHeight w:val="530"/>
        </w:trPr>
        <w:tc>
          <w:tcPr>
            <w:tcW w:w="4644" w:type="dxa"/>
            <w:vAlign w:val="bottom"/>
          </w:tcPr>
          <w:p w14:paraId="183D8C0A" w14:textId="77777777" w:rsidR="00837216" w:rsidRDefault="00837216" w:rsidP="00837216">
            <w:pPr>
              <w:spacing w:line="480" w:lineRule="auto"/>
              <w:rPr>
                <w:rFonts w:ascii="Arial" w:hAnsi="Arial" w:cs="Arial"/>
                <w:sz w:val="22"/>
                <w:szCs w:val="22"/>
              </w:rPr>
            </w:pPr>
            <w:r>
              <w:rPr>
                <w:rFonts w:ascii="Arial" w:hAnsi="Arial" w:cs="Arial"/>
                <w:sz w:val="22"/>
                <w:szCs w:val="22"/>
              </w:rPr>
              <w:t>Lysine                                                          %</w:t>
            </w:r>
          </w:p>
        </w:tc>
        <w:tc>
          <w:tcPr>
            <w:tcW w:w="2033" w:type="dxa"/>
            <w:vAlign w:val="bottom"/>
          </w:tcPr>
          <w:p w14:paraId="0C320C57"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0.9</w:t>
            </w:r>
          </w:p>
        </w:tc>
      </w:tr>
      <w:tr w:rsidR="00837216" w14:paraId="5587C7E7" w14:textId="77777777" w:rsidTr="00837216">
        <w:trPr>
          <w:trHeight w:val="530"/>
        </w:trPr>
        <w:tc>
          <w:tcPr>
            <w:tcW w:w="4644" w:type="dxa"/>
            <w:vAlign w:val="bottom"/>
          </w:tcPr>
          <w:p w14:paraId="4000C7E7" w14:textId="77777777" w:rsidR="00837216" w:rsidRDefault="00837216" w:rsidP="00837216">
            <w:pPr>
              <w:spacing w:line="480" w:lineRule="auto"/>
              <w:rPr>
                <w:rFonts w:ascii="Arial" w:hAnsi="Arial" w:cs="Arial"/>
                <w:sz w:val="22"/>
                <w:szCs w:val="22"/>
              </w:rPr>
            </w:pPr>
            <w:r>
              <w:rPr>
                <w:rFonts w:ascii="Arial" w:hAnsi="Arial" w:cs="Arial"/>
                <w:sz w:val="22"/>
                <w:szCs w:val="22"/>
              </w:rPr>
              <w:t>Histidine                                                       %</w:t>
            </w:r>
          </w:p>
        </w:tc>
        <w:tc>
          <w:tcPr>
            <w:tcW w:w="2033" w:type="dxa"/>
            <w:vAlign w:val="bottom"/>
          </w:tcPr>
          <w:p w14:paraId="7901CFA4"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0.4</w:t>
            </w:r>
          </w:p>
        </w:tc>
      </w:tr>
      <w:tr w:rsidR="00837216" w14:paraId="59FDE454" w14:textId="77777777" w:rsidTr="00837216">
        <w:trPr>
          <w:trHeight w:val="530"/>
        </w:trPr>
        <w:tc>
          <w:tcPr>
            <w:tcW w:w="4644" w:type="dxa"/>
            <w:vAlign w:val="bottom"/>
          </w:tcPr>
          <w:p w14:paraId="550CD689" w14:textId="77777777" w:rsidR="00837216" w:rsidRDefault="00837216" w:rsidP="00837216">
            <w:pPr>
              <w:spacing w:line="480" w:lineRule="auto"/>
              <w:rPr>
                <w:rFonts w:ascii="Arial" w:hAnsi="Arial" w:cs="Arial"/>
                <w:sz w:val="22"/>
                <w:szCs w:val="22"/>
              </w:rPr>
            </w:pPr>
            <w:r>
              <w:rPr>
                <w:rFonts w:ascii="Arial" w:hAnsi="Arial" w:cs="Arial"/>
                <w:sz w:val="22"/>
                <w:szCs w:val="22"/>
              </w:rPr>
              <w:t>Arginine                                                        %</w:t>
            </w:r>
          </w:p>
        </w:tc>
        <w:tc>
          <w:tcPr>
            <w:tcW w:w="2033" w:type="dxa"/>
            <w:vAlign w:val="bottom"/>
          </w:tcPr>
          <w:p w14:paraId="688F3C01"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1.0</w:t>
            </w:r>
          </w:p>
        </w:tc>
      </w:tr>
      <w:tr w:rsidR="00837216" w14:paraId="4483B9FB" w14:textId="77777777" w:rsidTr="00837216">
        <w:trPr>
          <w:trHeight w:val="530"/>
        </w:trPr>
        <w:tc>
          <w:tcPr>
            <w:tcW w:w="4644" w:type="dxa"/>
            <w:vAlign w:val="bottom"/>
          </w:tcPr>
          <w:p w14:paraId="7C2D4EEB" w14:textId="77777777" w:rsidR="00837216" w:rsidRDefault="00837216" w:rsidP="00837216">
            <w:pPr>
              <w:spacing w:line="480" w:lineRule="auto"/>
              <w:rPr>
                <w:rFonts w:ascii="Arial" w:hAnsi="Arial" w:cs="Arial"/>
                <w:sz w:val="22"/>
                <w:szCs w:val="22"/>
              </w:rPr>
            </w:pPr>
            <w:r>
              <w:rPr>
                <w:rFonts w:ascii="Arial" w:hAnsi="Arial" w:cs="Arial"/>
                <w:sz w:val="22"/>
                <w:szCs w:val="22"/>
              </w:rPr>
              <w:t>Tryptophan                                                   %</w:t>
            </w:r>
          </w:p>
        </w:tc>
        <w:tc>
          <w:tcPr>
            <w:tcW w:w="2033" w:type="dxa"/>
            <w:vAlign w:val="bottom"/>
          </w:tcPr>
          <w:p w14:paraId="7139767E"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0.2</w:t>
            </w:r>
          </w:p>
        </w:tc>
      </w:tr>
      <w:tr w:rsidR="00837216" w14:paraId="7436A526" w14:textId="77777777" w:rsidTr="001C31DB">
        <w:trPr>
          <w:trHeight w:val="530"/>
        </w:trPr>
        <w:tc>
          <w:tcPr>
            <w:tcW w:w="4644" w:type="dxa"/>
            <w:shd w:val="clear" w:color="auto" w:fill="DBE5F1" w:themeFill="accent1" w:themeFillTint="33"/>
            <w:vAlign w:val="bottom"/>
          </w:tcPr>
          <w:p w14:paraId="0C82B5EB" w14:textId="77777777" w:rsidR="00837216" w:rsidRPr="001C31DB" w:rsidRDefault="001C31DB" w:rsidP="00837216">
            <w:pPr>
              <w:spacing w:line="480" w:lineRule="auto"/>
              <w:rPr>
                <w:rFonts w:ascii="Arial" w:hAnsi="Arial" w:cs="Arial"/>
                <w:b/>
              </w:rPr>
            </w:pPr>
            <w:r>
              <w:rPr>
                <w:rFonts w:ascii="Arial" w:hAnsi="Arial" w:cs="Arial"/>
                <w:b/>
              </w:rPr>
              <w:t>Fatty Acids</w:t>
            </w:r>
          </w:p>
        </w:tc>
        <w:tc>
          <w:tcPr>
            <w:tcW w:w="2033" w:type="dxa"/>
            <w:shd w:val="clear" w:color="auto" w:fill="DBE5F1" w:themeFill="accent1" w:themeFillTint="33"/>
            <w:vAlign w:val="bottom"/>
          </w:tcPr>
          <w:p w14:paraId="0D89A2C9" w14:textId="77777777" w:rsidR="00837216" w:rsidRDefault="00837216" w:rsidP="00F452D1">
            <w:pPr>
              <w:spacing w:line="480" w:lineRule="auto"/>
              <w:jc w:val="right"/>
              <w:rPr>
                <w:rFonts w:ascii="Arial" w:hAnsi="Arial" w:cs="Arial"/>
                <w:sz w:val="22"/>
                <w:szCs w:val="22"/>
              </w:rPr>
            </w:pPr>
          </w:p>
        </w:tc>
      </w:tr>
      <w:tr w:rsidR="00837216" w14:paraId="2F781E49" w14:textId="77777777" w:rsidTr="00837216">
        <w:trPr>
          <w:trHeight w:val="530"/>
        </w:trPr>
        <w:tc>
          <w:tcPr>
            <w:tcW w:w="4644" w:type="dxa"/>
            <w:vAlign w:val="bottom"/>
          </w:tcPr>
          <w:p w14:paraId="6F6AA27B" w14:textId="77777777" w:rsidR="00837216" w:rsidRDefault="001C31DB" w:rsidP="00837216">
            <w:pPr>
              <w:spacing w:line="480" w:lineRule="auto"/>
              <w:rPr>
                <w:rFonts w:ascii="Arial" w:hAnsi="Arial" w:cs="Arial"/>
                <w:sz w:val="22"/>
                <w:szCs w:val="22"/>
              </w:rPr>
            </w:pPr>
            <w:r>
              <w:rPr>
                <w:rFonts w:ascii="Arial" w:hAnsi="Arial" w:cs="Arial"/>
                <w:sz w:val="22"/>
                <w:szCs w:val="22"/>
              </w:rPr>
              <w:t>C16:0 Palmitic                                              %</w:t>
            </w:r>
          </w:p>
        </w:tc>
        <w:tc>
          <w:tcPr>
            <w:tcW w:w="2033" w:type="dxa"/>
            <w:vAlign w:val="bottom"/>
          </w:tcPr>
          <w:p w14:paraId="68E8364D"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0.7</w:t>
            </w:r>
          </w:p>
        </w:tc>
      </w:tr>
      <w:tr w:rsidR="00837216" w14:paraId="28A6D1B7" w14:textId="77777777" w:rsidTr="00837216">
        <w:trPr>
          <w:trHeight w:val="530"/>
        </w:trPr>
        <w:tc>
          <w:tcPr>
            <w:tcW w:w="4644" w:type="dxa"/>
            <w:vAlign w:val="bottom"/>
          </w:tcPr>
          <w:p w14:paraId="2E2EA918" w14:textId="77777777" w:rsidR="00837216" w:rsidRDefault="001C31DB" w:rsidP="00837216">
            <w:pPr>
              <w:spacing w:line="480" w:lineRule="auto"/>
              <w:rPr>
                <w:rFonts w:ascii="Arial" w:hAnsi="Arial" w:cs="Arial"/>
                <w:sz w:val="22"/>
                <w:szCs w:val="22"/>
              </w:rPr>
            </w:pPr>
            <w:r>
              <w:rPr>
                <w:rFonts w:ascii="Arial" w:hAnsi="Arial" w:cs="Arial"/>
                <w:sz w:val="22"/>
                <w:szCs w:val="22"/>
              </w:rPr>
              <w:t>C18</w:t>
            </w:r>
            <w:proofErr w:type="gramStart"/>
            <w:r>
              <w:rPr>
                <w:rFonts w:ascii="Arial" w:hAnsi="Arial" w:cs="Arial"/>
                <w:sz w:val="22"/>
                <w:szCs w:val="22"/>
              </w:rPr>
              <w:t>:1</w:t>
            </w:r>
            <w:proofErr w:type="gramEnd"/>
            <w:r>
              <w:rPr>
                <w:rFonts w:ascii="Arial" w:hAnsi="Arial" w:cs="Arial"/>
                <w:sz w:val="22"/>
                <w:szCs w:val="22"/>
              </w:rPr>
              <w:sym w:font="Symbol" w:char="F077"/>
            </w:r>
            <w:r>
              <w:rPr>
                <w:rFonts w:ascii="Arial" w:hAnsi="Arial" w:cs="Arial"/>
                <w:sz w:val="22"/>
                <w:szCs w:val="22"/>
              </w:rPr>
              <w:t>9 Oleic                                             %</w:t>
            </w:r>
          </w:p>
        </w:tc>
        <w:tc>
          <w:tcPr>
            <w:tcW w:w="2033" w:type="dxa"/>
            <w:vAlign w:val="bottom"/>
          </w:tcPr>
          <w:p w14:paraId="4F19B7A3"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1.2</w:t>
            </w:r>
          </w:p>
        </w:tc>
      </w:tr>
      <w:tr w:rsidR="00837216" w14:paraId="33E17041" w14:textId="77777777" w:rsidTr="00837216">
        <w:trPr>
          <w:trHeight w:val="530"/>
        </w:trPr>
        <w:tc>
          <w:tcPr>
            <w:tcW w:w="4644" w:type="dxa"/>
            <w:vAlign w:val="bottom"/>
          </w:tcPr>
          <w:p w14:paraId="22C829BB" w14:textId="77777777" w:rsidR="00837216" w:rsidRDefault="001C31DB" w:rsidP="001C31DB">
            <w:pPr>
              <w:spacing w:line="480" w:lineRule="auto"/>
              <w:rPr>
                <w:rFonts w:ascii="Arial" w:hAnsi="Arial" w:cs="Arial"/>
                <w:sz w:val="22"/>
                <w:szCs w:val="22"/>
              </w:rPr>
            </w:pPr>
            <w:r>
              <w:rPr>
                <w:rFonts w:ascii="Arial" w:hAnsi="Arial" w:cs="Arial"/>
                <w:sz w:val="22"/>
                <w:szCs w:val="22"/>
              </w:rPr>
              <w:t>C18</w:t>
            </w:r>
            <w:proofErr w:type="gramStart"/>
            <w:r>
              <w:rPr>
                <w:rFonts w:ascii="Arial" w:hAnsi="Arial" w:cs="Arial"/>
                <w:sz w:val="22"/>
                <w:szCs w:val="22"/>
              </w:rPr>
              <w:t>:2</w:t>
            </w:r>
            <w:proofErr w:type="gramEnd"/>
            <w:r>
              <w:rPr>
                <w:rFonts w:ascii="Arial" w:hAnsi="Arial" w:cs="Arial"/>
                <w:sz w:val="22"/>
                <w:szCs w:val="22"/>
              </w:rPr>
              <w:sym w:font="Symbol" w:char="F077"/>
            </w:r>
            <w:r>
              <w:rPr>
                <w:rFonts w:ascii="Arial" w:hAnsi="Arial" w:cs="Arial"/>
                <w:sz w:val="22"/>
                <w:szCs w:val="22"/>
              </w:rPr>
              <w:t>6 Linoleic                                         %</w:t>
            </w:r>
          </w:p>
        </w:tc>
        <w:tc>
          <w:tcPr>
            <w:tcW w:w="2033" w:type="dxa"/>
            <w:vAlign w:val="bottom"/>
          </w:tcPr>
          <w:p w14:paraId="73F5B303"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3.1</w:t>
            </w:r>
          </w:p>
        </w:tc>
      </w:tr>
      <w:tr w:rsidR="00837216" w14:paraId="0544A5CA" w14:textId="77777777" w:rsidTr="00837216">
        <w:trPr>
          <w:trHeight w:val="530"/>
        </w:trPr>
        <w:tc>
          <w:tcPr>
            <w:tcW w:w="4644" w:type="dxa"/>
            <w:vAlign w:val="bottom"/>
          </w:tcPr>
          <w:p w14:paraId="6A9C3252" w14:textId="77777777" w:rsidR="00837216" w:rsidRDefault="001C31DB" w:rsidP="00837216">
            <w:pPr>
              <w:spacing w:line="480" w:lineRule="auto"/>
              <w:rPr>
                <w:rFonts w:ascii="Arial" w:hAnsi="Arial" w:cs="Arial"/>
                <w:sz w:val="22"/>
                <w:szCs w:val="22"/>
              </w:rPr>
            </w:pPr>
            <w:r>
              <w:rPr>
                <w:rFonts w:ascii="Arial" w:hAnsi="Arial" w:cs="Arial"/>
                <w:sz w:val="22"/>
                <w:szCs w:val="22"/>
              </w:rPr>
              <w:t>Total saturated                                             %</w:t>
            </w:r>
          </w:p>
        </w:tc>
        <w:tc>
          <w:tcPr>
            <w:tcW w:w="2033" w:type="dxa"/>
            <w:vAlign w:val="bottom"/>
          </w:tcPr>
          <w:p w14:paraId="05436349"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0.9</w:t>
            </w:r>
          </w:p>
        </w:tc>
      </w:tr>
      <w:tr w:rsidR="00837216" w14:paraId="18B597C8" w14:textId="77777777" w:rsidTr="00837216">
        <w:trPr>
          <w:trHeight w:val="530"/>
        </w:trPr>
        <w:tc>
          <w:tcPr>
            <w:tcW w:w="4644" w:type="dxa"/>
            <w:vAlign w:val="bottom"/>
          </w:tcPr>
          <w:p w14:paraId="3598E7B0" w14:textId="77777777" w:rsidR="00837216" w:rsidRDefault="001C31DB" w:rsidP="00837216">
            <w:pPr>
              <w:spacing w:line="480" w:lineRule="auto"/>
              <w:rPr>
                <w:rFonts w:ascii="Arial" w:hAnsi="Arial" w:cs="Arial"/>
                <w:sz w:val="22"/>
                <w:szCs w:val="22"/>
              </w:rPr>
            </w:pPr>
            <w:r>
              <w:rPr>
                <w:rFonts w:ascii="Arial" w:hAnsi="Arial" w:cs="Arial"/>
                <w:sz w:val="22"/>
                <w:szCs w:val="22"/>
              </w:rPr>
              <w:t>Total Monounsaturated                                %</w:t>
            </w:r>
          </w:p>
        </w:tc>
        <w:tc>
          <w:tcPr>
            <w:tcW w:w="2033" w:type="dxa"/>
            <w:vAlign w:val="bottom"/>
          </w:tcPr>
          <w:p w14:paraId="45FD1258"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1.3</w:t>
            </w:r>
          </w:p>
        </w:tc>
      </w:tr>
      <w:tr w:rsidR="00837216" w14:paraId="639C7163" w14:textId="77777777" w:rsidTr="00837216">
        <w:trPr>
          <w:trHeight w:val="530"/>
        </w:trPr>
        <w:tc>
          <w:tcPr>
            <w:tcW w:w="4644" w:type="dxa"/>
            <w:vAlign w:val="bottom"/>
          </w:tcPr>
          <w:p w14:paraId="098C9705" w14:textId="77777777" w:rsidR="00837216" w:rsidRDefault="001C31DB" w:rsidP="00837216">
            <w:pPr>
              <w:spacing w:line="480" w:lineRule="auto"/>
              <w:rPr>
                <w:rFonts w:ascii="Arial" w:hAnsi="Arial" w:cs="Arial"/>
                <w:sz w:val="22"/>
                <w:szCs w:val="22"/>
              </w:rPr>
            </w:pPr>
            <w:r>
              <w:rPr>
                <w:rFonts w:ascii="Arial" w:hAnsi="Arial" w:cs="Arial"/>
                <w:sz w:val="22"/>
                <w:szCs w:val="22"/>
              </w:rPr>
              <w:t>Total Polyunsaturated                                  %</w:t>
            </w:r>
          </w:p>
        </w:tc>
        <w:tc>
          <w:tcPr>
            <w:tcW w:w="2033" w:type="dxa"/>
            <w:vAlign w:val="bottom"/>
          </w:tcPr>
          <w:p w14:paraId="718A599B" w14:textId="77777777" w:rsidR="00837216" w:rsidRDefault="001C31DB" w:rsidP="00F452D1">
            <w:pPr>
              <w:spacing w:line="480" w:lineRule="auto"/>
              <w:jc w:val="right"/>
              <w:rPr>
                <w:rFonts w:ascii="Arial" w:hAnsi="Arial" w:cs="Arial"/>
                <w:sz w:val="22"/>
                <w:szCs w:val="22"/>
              </w:rPr>
            </w:pPr>
            <w:r>
              <w:rPr>
                <w:rFonts w:ascii="Arial" w:hAnsi="Arial" w:cs="Arial"/>
                <w:sz w:val="22"/>
                <w:szCs w:val="22"/>
              </w:rPr>
              <w:t>3.4</w:t>
            </w:r>
          </w:p>
        </w:tc>
      </w:tr>
      <w:tr w:rsidR="00837216" w14:paraId="45C3D98A" w14:textId="77777777" w:rsidTr="001C31DB">
        <w:trPr>
          <w:trHeight w:val="530"/>
        </w:trPr>
        <w:tc>
          <w:tcPr>
            <w:tcW w:w="4644" w:type="dxa"/>
            <w:shd w:val="clear" w:color="auto" w:fill="DBE5F1" w:themeFill="accent1" w:themeFillTint="33"/>
            <w:vAlign w:val="bottom"/>
          </w:tcPr>
          <w:p w14:paraId="03B6DA54" w14:textId="77777777" w:rsidR="00837216" w:rsidRPr="001C31DB" w:rsidRDefault="001C31DB" w:rsidP="00837216">
            <w:pPr>
              <w:spacing w:line="480" w:lineRule="auto"/>
              <w:rPr>
                <w:rFonts w:ascii="Arial" w:hAnsi="Arial" w:cs="Arial"/>
                <w:b/>
              </w:rPr>
            </w:pPr>
            <w:r w:rsidRPr="001C31DB">
              <w:rPr>
                <w:rFonts w:ascii="Arial" w:hAnsi="Arial" w:cs="Arial"/>
                <w:b/>
              </w:rPr>
              <w:lastRenderedPageBreak/>
              <w:t>Vitamins</w:t>
            </w:r>
          </w:p>
        </w:tc>
        <w:tc>
          <w:tcPr>
            <w:tcW w:w="2033" w:type="dxa"/>
            <w:shd w:val="clear" w:color="auto" w:fill="DBE5F1" w:themeFill="accent1" w:themeFillTint="33"/>
            <w:vAlign w:val="bottom"/>
          </w:tcPr>
          <w:p w14:paraId="18E2898E" w14:textId="77777777" w:rsidR="00837216" w:rsidRDefault="00837216" w:rsidP="00F452D1">
            <w:pPr>
              <w:spacing w:line="480" w:lineRule="auto"/>
              <w:jc w:val="right"/>
              <w:rPr>
                <w:rFonts w:ascii="Arial" w:hAnsi="Arial" w:cs="Arial"/>
                <w:sz w:val="22"/>
                <w:szCs w:val="22"/>
              </w:rPr>
            </w:pPr>
          </w:p>
        </w:tc>
      </w:tr>
      <w:tr w:rsidR="001C31DB" w14:paraId="0F9700DB" w14:textId="77777777" w:rsidTr="00837216">
        <w:trPr>
          <w:trHeight w:val="530"/>
        </w:trPr>
        <w:tc>
          <w:tcPr>
            <w:tcW w:w="4644" w:type="dxa"/>
            <w:vAlign w:val="bottom"/>
          </w:tcPr>
          <w:p w14:paraId="057D4B84" w14:textId="77777777" w:rsidR="001C31DB" w:rsidRDefault="00002A82" w:rsidP="00837216">
            <w:pPr>
              <w:spacing w:line="480" w:lineRule="auto"/>
              <w:rPr>
                <w:rFonts w:ascii="Arial" w:hAnsi="Arial" w:cs="Arial"/>
                <w:sz w:val="22"/>
                <w:szCs w:val="22"/>
              </w:rPr>
            </w:pPr>
            <w:r>
              <w:rPr>
                <w:rFonts w:ascii="Arial" w:hAnsi="Arial" w:cs="Arial"/>
                <w:sz w:val="22"/>
                <w:szCs w:val="22"/>
              </w:rPr>
              <w:t xml:space="preserve">Vitamin A </w:t>
            </w:r>
            <w:r>
              <w:rPr>
                <w:rFonts w:ascii="Arial" w:hAnsi="Arial" w:cs="Arial"/>
                <w:sz w:val="22"/>
                <w:szCs w:val="22"/>
                <w:vertAlign w:val="superscript"/>
              </w:rPr>
              <w:t>d</w:t>
            </w:r>
            <w:r>
              <w:rPr>
                <w:rFonts w:ascii="Arial" w:hAnsi="Arial" w:cs="Arial"/>
                <w:sz w:val="22"/>
                <w:szCs w:val="22"/>
              </w:rPr>
              <w:t xml:space="preserve">                                                IU/g</w:t>
            </w:r>
          </w:p>
        </w:tc>
        <w:tc>
          <w:tcPr>
            <w:tcW w:w="2033" w:type="dxa"/>
            <w:vAlign w:val="bottom"/>
          </w:tcPr>
          <w:p w14:paraId="32C6CC43"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15.0</w:t>
            </w:r>
          </w:p>
        </w:tc>
      </w:tr>
      <w:tr w:rsidR="001C31DB" w14:paraId="07DCFE54" w14:textId="77777777" w:rsidTr="00837216">
        <w:trPr>
          <w:trHeight w:val="530"/>
        </w:trPr>
        <w:tc>
          <w:tcPr>
            <w:tcW w:w="4644" w:type="dxa"/>
            <w:vAlign w:val="bottom"/>
          </w:tcPr>
          <w:p w14:paraId="2F089538" w14:textId="77777777" w:rsidR="001C31DB" w:rsidRPr="00002A82" w:rsidRDefault="00002A82" w:rsidP="00837216">
            <w:pPr>
              <w:spacing w:line="480" w:lineRule="auto"/>
              <w:rPr>
                <w:rFonts w:ascii="Arial" w:hAnsi="Arial" w:cs="Arial"/>
                <w:sz w:val="22"/>
                <w:szCs w:val="22"/>
                <w:vertAlign w:val="subscript"/>
              </w:rPr>
            </w:pPr>
            <w:r>
              <w:rPr>
                <w:rFonts w:ascii="Arial" w:hAnsi="Arial" w:cs="Arial"/>
                <w:sz w:val="22"/>
                <w:szCs w:val="22"/>
              </w:rPr>
              <w:t>Vitamin D</w:t>
            </w:r>
            <w:r>
              <w:rPr>
                <w:rFonts w:ascii="Arial" w:hAnsi="Arial" w:cs="Arial"/>
                <w:sz w:val="22"/>
                <w:szCs w:val="22"/>
                <w:vertAlign w:val="subscript"/>
              </w:rPr>
              <w:t xml:space="preserve">3 </w:t>
            </w:r>
            <w:r>
              <w:rPr>
                <w:rFonts w:ascii="Arial" w:hAnsi="Arial" w:cs="Arial"/>
                <w:sz w:val="22"/>
                <w:szCs w:val="22"/>
                <w:vertAlign w:val="superscript"/>
              </w:rPr>
              <w:t>e</w:t>
            </w:r>
            <w:r>
              <w:rPr>
                <w:rFonts w:ascii="Arial" w:hAnsi="Arial" w:cs="Arial"/>
                <w:sz w:val="22"/>
                <w:szCs w:val="22"/>
              </w:rPr>
              <w:t xml:space="preserve">                                               IU/g</w:t>
            </w:r>
          </w:p>
        </w:tc>
        <w:tc>
          <w:tcPr>
            <w:tcW w:w="2033" w:type="dxa"/>
            <w:vAlign w:val="bottom"/>
          </w:tcPr>
          <w:p w14:paraId="77516001"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1.5</w:t>
            </w:r>
          </w:p>
        </w:tc>
      </w:tr>
      <w:tr w:rsidR="001C31DB" w14:paraId="639E9804" w14:textId="77777777" w:rsidTr="00837216">
        <w:trPr>
          <w:trHeight w:val="530"/>
        </w:trPr>
        <w:tc>
          <w:tcPr>
            <w:tcW w:w="4644" w:type="dxa"/>
            <w:vAlign w:val="bottom"/>
          </w:tcPr>
          <w:p w14:paraId="441588A6" w14:textId="77777777" w:rsidR="001C31DB" w:rsidRDefault="00002A82" w:rsidP="00837216">
            <w:pPr>
              <w:spacing w:line="480" w:lineRule="auto"/>
              <w:rPr>
                <w:rFonts w:ascii="Arial" w:hAnsi="Arial" w:cs="Arial"/>
                <w:sz w:val="22"/>
                <w:szCs w:val="22"/>
              </w:rPr>
            </w:pPr>
            <w:r>
              <w:rPr>
                <w:rFonts w:ascii="Arial" w:hAnsi="Arial" w:cs="Arial"/>
                <w:sz w:val="22"/>
                <w:szCs w:val="22"/>
              </w:rPr>
              <w:t>Vitamin E                                                IU/kg</w:t>
            </w:r>
          </w:p>
        </w:tc>
        <w:tc>
          <w:tcPr>
            <w:tcW w:w="2033" w:type="dxa"/>
            <w:vAlign w:val="bottom"/>
          </w:tcPr>
          <w:p w14:paraId="0928219F"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110</w:t>
            </w:r>
          </w:p>
        </w:tc>
      </w:tr>
      <w:tr w:rsidR="001C31DB" w14:paraId="608F2E52" w14:textId="77777777" w:rsidTr="00837216">
        <w:trPr>
          <w:trHeight w:val="530"/>
        </w:trPr>
        <w:tc>
          <w:tcPr>
            <w:tcW w:w="4644" w:type="dxa"/>
            <w:vAlign w:val="bottom"/>
          </w:tcPr>
          <w:p w14:paraId="563AC7B0" w14:textId="77777777" w:rsidR="001C31DB" w:rsidRPr="00002A82" w:rsidRDefault="00002A82" w:rsidP="00837216">
            <w:pPr>
              <w:spacing w:line="480" w:lineRule="auto"/>
              <w:rPr>
                <w:rFonts w:ascii="Arial" w:hAnsi="Arial" w:cs="Arial"/>
                <w:sz w:val="22"/>
                <w:szCs w:val="22"/>
              </w:rPr>
            </w:pPr>
            <w:r>
              <w:rPr>
                <w:rFonts w:ascii="Arial" w:hAnsi="Arial" w:cs="Arial"/>
                <w:sz w:val="22"/>
                <w:szCs w:val="22"/>
              </w:rPr>
              <w:t>Vitamin K</w:t>
            </w:r>
            <w:r>
              <w:rPr>
                <w:rFonts w:ascii="Arial" w:hAnsi="Arial" w:cs="Arial"/>
                <w:sz w:val="22"/>
                <w:szCs w:val="22"/>
                <w:vertAlign w:val="subscript"/>
              </w:rPr>
              <w:t xml:space="preserve">3 </w:t>
            </w:r>
            <w:r>
              <w:rPr>
                <w:rFonts w:ascii="Arial" w:hAnsi="Arial" w:cs="Arial"/>
                <w:sz w:val="22"/>
                <w:szCs w:val="22"/>
              </w:rPr>
              <w:t>(menadione</w:t>
            </w:r>
            <w:proofErr w:type="gramStart"/>
            <w:r>
              <w:rPr>
                <w:rFonts w:ascii="Arial" w:hAnsi="Arial" w:cs="Arial"/>
                <w:sz w:val="22"/>
                <w:szCs w:val="22"/>
              </w:rPr>
              <w:t>)                         mg</w:t>
            </w:r>
            <w:proofErr w:type="gramEnd"/>
            <w:r>
              <w:rPr>
                <w:rFonts w:ascii="Arial" w:hAnsi="Arial" w:cs="Arial"/>
                <w:sz w:val="22"/>
                <w:szCs w:val="22"/>
              </w:rPr>
              <w:t>/kg</w:t>
            </w:r>
          </w:p>
        </w:tc>
        <w:tc>
          <w:tcPr>
            <w:tcW w:w="2033" w:type="dxa"/>
            <w:vAlign w:val="bottom"/>
          </w:tcPr>
          <w:p w14:paraId="280B9CE8"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50</w:t>
            </w:r>
          </w:p>
        </w:tc>
      </w:tr>
      <w:tr w:rsidR="001C31DB" w14:paraId="6ED6AB20" w14:textId="77777777" w:rsidTr="00837216">
        <w:trPr>
          <w:trHeight w:val="530"/>
        </w:trPr>
        <w:tc>
          <w:tcPr>
            <w:tcW w:w="4644" w:type="dxa"/>
            <w:vAlign w:val="bottom"/>
          </w:tcPr>
          <w:p w14:paraId="6FF0E8E9" w14:textId="77777777" w:rsidR="001C31DB" w:rsidRPr="00002A82" w:rsidRDefault="00002A82" w:rsidP="00002A82">
            <w:pPr>
              <w:spacing w:line="480" w:lineRule="auto"/>
              <w:rPr>
                <w:rFonts w:ascii="Arial" w:hAnsi="Arial" w:cs="Arial"/>
                <w:sz w:val="22"/>
                <w:szCs w:val="22"/>
              </w:rPr>
            </w:pPr>
            <w:r>
              <w:rPr>
                <w:rFonts w:ascii="Arial" w:hAnsi="Arial" w:cs="Arial"/>
                <w:sz w:val="22"/>
                <w:szCs w:val="22"/>
              </w:rPr>
              <w:t>Vitamin B</w:t>
            </w:r>
            <w:r>
              <w:rPr>
                <w:rFonts w:ascii="Arial" w:hAnsi="Arial" w:cs="Arial"/>
                <w:sz w:val="22"/>
                <w:szCs w:val="22"/>
                <w:vertAlign w:val="subscript"/>
              </w:rPr>
              <w:t xml:space="preserve">1 </w:t>
            </w:r>
            <w:r>
              <w:rPr>
                <w:rFonts w:ascii="Arial" w:hAnsi="Arial" w:cs="Arial"/>
                <w:sz w:val="22"/>
                <w:szCs w:val="22"/>
              </w:rPr>
              <w:t>(thiamin</w:t>
            </w:r>
            <w:proofErr w:type="gramStart"/>
            <w:r>
              <w:rPr>
                <w:rFonts w:ascii="Arial" w:hAnsi="Arial" w:cs="Arial"/>
                <w:sz w:val="22"/>
                <w:szCs w:val="22"/>
              </w:rPr>
              <w:t>)                               mg</w:t>
            </w:r>
            <w:proofErr w:type="gramEnd"/>
            <w:r>
              <w:rPr>
                <w:rFonts w:ascii="Arial" w:hAnsi="Arial" w:cs="Arial"/>
                <w:sz w:val="22"/>
                <w:szCs w:val="22"/>
              </w:rPr>
              <w:t>/kg</w:t>
            </w:r>
          </w:p>
        </w:tc>
        <w:tc>
          <w:tcPr>
            <w:tcW w:w="2033" w:type="dxa"/>
            <w:vAlign w:val="bottom"/>
          </w:tcPr>
          <w:p w14:paraId="08242CC8"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17</w:t>
            </w:r>
          </w:p>
        </w:tc>
      </w:tr>
      <w:tr w:rsidR="001C31DB" w14:paraId="63B15C1D" w14:textId="77777777" w:rsidTr="00837216">
        <w:trPr>
          <w:trHeight w:val="530"/>
        </w:trPr>
        <w:tc>
          <w:tcPr>
            <w:tcW w:w="4644" w:type="dxa"/>
            <w:vAlign w:val="bottom"/>
          </w:tcPr>
          <w:p w14:paraId="3C6FECDA" w14:textId="77777777" w:rsidR="001C31DB" w:rsidRPr="00002A82" w:rsidRDefault="00002A82" w:rsidP="00837216">
            <w:pPr>
              <w:spacing w:line="480" w:lineRule="auto"/>
              <w:rPr>
                <w:rFonts w:ascii="Arial" w:hAnsi="Arial" w:cs="Arial"/>
                <w:sz w:val="22"/>
                <w:szCs w:val="22"/>
              </w:rPr>
            </w:pPr>
            <w:r>
              <w:rPr>
                <w:rFonts w:ascii="Arial" w:hAnsi="Arial" w:cs="Arial"/>
                <w:sz w:val="22"/>
                <w:szCs w:val="22"/>
              </w:rPr>
              <w:t>Vitamin B</w:t>
            </w:r>
            <w:r>
              <w:rPr>
                <w:rFonts w:ascii="Arial" w:hAnsi="Arial" w:cs="Arial"/>
                <w:sz w:val="22"/>
                <w:szCs w:val="22"/>
                <w:vertAlign w:val="subscript"/>
              </w:rPr>
              <w:t xml:space="preserve">2 </w:t>
            </w:r>
            <w:r>
              <w:rPr>
                <w:rFonts w:ascii="Arial" w:hAnsi="Arial" w:cs="Arial"/>
                <w:sz w:val="22"/>
                <w:szCs w:val="22"/>
              </w:rPr>
              <w:t>(riboflavin</w:t>
            </w:r>
            <w:proofErr w:type="gramStart"/>
            <w:r>
              <w:rPr>
                <w:rFonts w:ascii="Arial" w:hAnsi="Arial" w:cs="Arial"/>
                <w:sz w:val="22"/>
                <w:szCs w:val="22"/>
              </w:rPr>
              <w:t>)                            mg</w:t>
            </w:r>
            <w:proofErr w:type="gramEnd"/>
            <w:r>
              <w:rPr>
                <w:rFonts w:ascii="Arial" w:hAnsi="Arial" w:cs="Arial"/>
                <w:sz w:val="22"/>
                <w:szCs w:val="22"/>
              </w:rPr>
              <w:t>/kg</w:t>
            </w:r>
          </w:p>
        </w:tc>
        <w:tc>
          <w:tcPr>
            <w:tcW w:w="2033" w:type="dxa"/>
            <w:vAlign w:val="bottom"/>
          </w:tcPr>
          <w:p w14:paraId="2CDE3559"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15</w:t>
            </w:r>
          </w:p>
        </w:tc>
      </w:tr>
      <w:tr w:rsidR="001C31DB" w14:paraId="218EC87C" w14:textId="77777777" w:rsidTr="00837216">
        <w:trPr>
          <w:trHeight w:val="530"/>
        </w:trPr>
        <w:tc>
          <w:tcPr>
            <w:tcW w:w="4644" w:type="dxa"/>
            <w:vAlign w:val="bottom"/>
          </w:tcPr>
          <w:p w14:paraId="2627BB00" w14:textId="77777777" w:rsidR="001C31DB" w:rsidRDefault="00002A82" w:rsidP="00837216">
            <w:pPr>
              <w:spacing w:line="480" w:lineRule="auto"/>
              <w:rPr>
                <w:rFonts w:ascii="Arial" w:hAnsi="Arial" w:cs="Arial"/>
                <w:sz w:val="22"/>
                <w:szCs w:val="22"/>
              </w:rPr>
            </w:pPr>
            <w:r>
              <w:rPr>
                <w:rFonts w:ascii="Arial" w:hAnsi="Arial" w:cs="Arial"/>
                <w:sz w:val="22"/>
                <w:szCs w:val="22"/>
              </w:rPr>
              <w:t>Niacin (nicotinic acid</w:t>
            </w:r>
            <w:proofErr w:type="gramStart"/>
            <w:r>
              <w:rPr>
                <w:rFonts w:ascii="Arial" w:hAnsi="Arial" w:cs="Arial"/>
                <w:sz w:val="22"/>
                <w:szCs w:val="22"/>
              </w:rPr>
              <w:t>)                            mg</w:t>
            </w:r>
            <w:proofErr w:type="gramEnd"/>
            <w:r>
              <w:rPr>
                <w:rFonts w:ascii="Arial" w:hAnsi="Arial" w:cs="Arial"/>
                <w:sz w:val="22"/>
                <w:szCs w:val="22"/>
              </w:rPr>
              <w:t>/kg</w:t>
            </w:r>
          </w:p>
        </w:tc>
        <w:tc>
          <w:tcPr>
            <w:tcW w:w="2033" w:type="dxa"/>
            <w:vAlign w:val="bottom"/>
          </w:tcPr>
          <w:p w14:paraId="5D3DA925"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70</w:t>
            </w:r>
          </w:p>
        </w:tc>
      </w:tr>
      <w:tr w:rsidR="001C31DB" w14:paraId="562FEA37" w14:textId="77777777" w:rsidTr="00837216">
        <w:trPr>
          <w:trHeight w:val="530"/>
        </w:trPr>
        <w:tc>
          <w:tcPr>
            <w:tcW w:w="4644" w:type="dxa"/>
            <w:vAlign w:val="bottom"/>
          </w:tcPr>
          <w:p w14:paraId="7DAE00EE" w14:textId="77777777" w:rsidR="001C31DB" w:rsidRPr="00002A82" w:rsidRDefault="00002A82" w:rsidP="00837216">
            <w:pPr>
              <w:spacing w:line="480" w:lineRule="auto"/>
              <w:rPr>
                <w:rFonts w:ascii="Arial" w:hAnsi="Arial" w:cs="Arial"/>
                <w:sz w:val="22"/>
                <w:szCs w:val="22"/>
              </w:rPr>
            </w:pPr>
            <w:r>
              <w:rPr>
                <w:rFonts w:ascii="Arial" w:hAnsi="Arial" w:cs="Arial"/>
                <w:sz w:val="22"/>
                <w:szCs w:val="22"/>
              </w:rPr>
              <w:t>Vitamin B</w:t>
            </w:r>
            <w:r>
              <w:rPr>
                <w:rFonts w:ascii="Arial" w:hAnsi="Arial" w:cs="Arial"/>
                <w:sz w:val="22"/>
                <w:szCs w:val="22"/>
                <w:vertAlign w:val="subscript"/>
              </w:rPr>
              <w:t xml:space="preserve">6 </w:t>
            </w:r>
            <w:r>
              <w:rPr>
                <w:rFonts w:ascii="Arial" w:hAnsi="Arial" w:cs="Arial"/>
                <w:sz w:val="22"/>
                <w:szCs w:val="22"/>
              </w:rPr>
              <w:t>(pyridoxine</w:t>
            </w:r>
            <w:proofErr w:type="gramStart"/>
            <w:r>
              <w:rPr>
                <w:rFonts w:ascii="Arial" w:hAnsi="Arial" w:cs="Arial"/>
                <w:sz w:val="22"/>
                <w:szCs w:val="22"/>
              </w:rPr>
              <w:t>)                          mg</w:t>
            </w:r>
            <w:proofErr w:type="gramEnd"/>
            <w:r>
              <w:rPr>
                <w:rFonts w:ascii="Arial" w:hAnsi="Arial" w:cs="Arial"/>
                <w:sz w:val="22"/>
                <w:szCs w:val="22"/>
              </w:rPr>
              <w:t>/kg</w:t>
            </w:r>
          </w:p>
        </w:tc>
        <w:tc>
          <w:tcPr>
            <w:tcW w:w="2033" w:type="dxa"/>
            <w:vAlign w:val="bottom"/>
          </w:tcPr>
          <w:p w14:paraId="17669A08"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18</w:t>
            </w:r>
          </w:p>
        </w:tc>
      </w:tr>
      <w:tr w:rsidR="001C31DB" w14:paraId="67E195C5" w14:textId="77777777" w:rsidTr="00837216">
        <w:trPr>
          <w:trHeight w:val="530"/>
        </w:trPr>
        <w:tc>
          <w:tcPr>
            <w:tcW w:w="4644" w:type="dxa"/>
            <w:vAlign w:val="bottom"/>
          </w:tcPr>
          <w:p w14:paraId="07391A7F" w14:textId="77777777" w:rsidR="001C31DB" w:rsidRDefault="00002A82" w:rsidP="00837216">
            <w:pPr>
              <w:spacing w:line="480" w:lineRule="auto"/>
              <w:rPr>
                <w:rFonts w:ascii="Arial" w:hAnsi="Arial" w:cs="Arial"/>
                <w:sz w:val="22"/>
                <w:szCs w:val="22"/>
              </w:rPr>
            </w:pPr>
            <w:r>
              <w:rPr>
                <w:rFonts w:ascii="Arial" w:hAnsi="Arial" w:cs="Arial"/>
                <w:sz w:val="22"/>
                <w:szCs w:val="22"/>
              </w:rPr>
              <w:t>Pantothenic Acid                                   mg/kg</w:t>
            </w:r>
          </w:p>
        </w:tc>
        <w:tc>
          <w:tcPr>
            <w:tcW w:w="2033" w:type="dxa"/>
            <w:vAlign w:val="bottom"/>
          </w:tcPr>
          <w:p w14:paraId="34BA3DCC"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33</w:t>
            </w:r>
          </w:p>
        </w:tc>
      </w:tr>
      <w:tr w:rsidR="001C31DB" w14:paraId="66836E93" w14:textId="77777777" w:rsidTr="00837216">
        <w:trPr>
          <w:trHeight w:val="530"/>
        </w:trPr>
        <w:tc>
          <w:tcPr>
            <w:tcW w:w="4644" w:type="dxa"/>
            <w:vAlign w:val="bottom"/>
          </w:tcPr>
          <w:p w14:paraId="543B9E87" w14:textId="77777777" w:rsidR="001C31DB" w:rsidRPr="00002A82" w:rsidRDefault="00002A82" w:rsidP="00837216">
            <w:pPr>
              <w:spacing w:line="480" w:lineRule="auto"/>
              <w:rPr>
                <w:rFonts w:ascii="Arial" w:hAnsi="Arial" w:cs="Arial"/>
                <w:sz w:val="22"/>
                <w:szCs w:val="22"/>
              </w:rPr>
            </w:pPr>
            <w:r>
              <w:rPr>
                <w:rFonts w:ascii="Arial" w:hAnsi="Arial" w:cs="Arial"/>
                <w:sz w:val="22"/>
                <w:szCs w:val="22"/>
              </w:rPr>
              <w:t>Vitamin B</w:t>
            </w:r>
            <w:r>
              <w:rPr>
                <w:rFonts w:ascii="Arial" w:hAnsi="Arial" w:cs="Arial"/>
                <w:sz w:val="22"/>
                <w:szCs w:val="22"/>
                <w:vertAlign w:val="subscript"/>
              </w:rPr>
              <w:t xml:space="preserve">12 </w:t>
            </w:r>
            <w:r>
              <w:rPr>
                <w:rFonts w:ascii="Arial" w:hAnsi="Arial" w:cs="Arial"/>
                <w:sz w:val="22"/>
                <w:szCs w:val="22"/>
              </w:rPr>
              <w:t>(cyanocobalamin</w:t>
            </w:r>
            <w:proofErr w:type="gramStart"/>
            <w:r>
              <w:rPr>
                <w:rFonts w:ascii="Arial" w:hAnsi="Arial" w:cs="Arial"/>
                <w:sz w:val="22"/>
                <w:szCs w:val="22"/>
              </w:rPr>
              <w:t>)               mg</w:t>
            </w:r>
            <w:proofErr w:type="gramEnd"/>
            <w:r>
              <w:rPr>
                <w:rFonts w:ascii="Arial" w:hAnsi="Arial" w:cs="Arial"/>
                <w:sz w:val="22"/>
                <w:szCs w:val="22"/>
              </w:rPr>
              <w:t>/kg</w:t>
            </w:r>
          </w:p>
        </w:tc>
        <w:tc>
          <w:tcPr>
            <w:tcW w:w="2033" w:type="dxa"/>
            <w:vAlign w:val="bottom"/>
          </w:tcPr>
          <w:p w14:paraId="0E3D7378"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0.08</w:t>
            </w:r>
          </w:p>
        </w:tc>
      </w:tr>
      <w:tr w:rsidR="001C31DB" w14:paraId="6A0345AC" w14:textId="77777777" w:rsidTr="00837216">
        <w:trPr>
          <w:trHeight w:val="530"/>
        </w:trPr>
        <w:tc>
          <w:tcPr>
            <w:tcW w:w="4644" w:type="dxa"/>
            <w:vAlign w:val="bottom"/>
          </w:tcPr>
          <w:p w14:paraId="5B35EF24" w14:textId="77777777" w:rsidR="001C31DB" w:rsidRDefault="00002A82" w:rsidP="00837216">
            <w:pPr>
              <w:spacing w:line="480" w:lineRule="auto"/>
              <w:rPr>
                <w:rFonts w:ascii="Arial" w:hAnsi="Arial" w:cs="Arial"/>
                <w:sz w:val="22"/>
                <w:szCs w:val="22"/>
              </w:rPr>
            </w:pPr>
            <w:r>
              <w:rPr>
                <w:rFonts w:ascii="Arial" w:hAnsi="Arial" w:cs="Arial"/>
                <w:sz w:val="22"/>
                <w:szCs w:val="22"/>
              </w:rPr>
              <w:t>Biotin                                                     mg/kg</w:t>
            </w:r>
          </w:p>
        </w:tc>
        <w:tc>
          <w:tcPr>
            <w:tcW w:w="2033" w:type="dxa"/>
            <w:vAlign w:val="bottom"/>
          </w:tcPr>
          <w:p w14:paraId="3F242DF1"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0.40</w:t>
            </w:r>
          </w:p>
        </w:tc>
      </w:tr>
      <w:tr w:rsidR="001C31DB" w14:paraId="19D7208F" w14:textId="77777777" w:rsidTr="00837216">
        <w:trPr>
          <w:trHeight w:val="530"/>
        </w:trPr>
        <w:tc>
          <w:tcPr>
            <w:tcW w:w="4644" w:type="dxa"/>
            <w:vAlign w:val="bottom"/>
          </w:tcPr>
          <w:p w14:paraId="1A94D07F" w14:textId="77777777" w:rsidR="001C31DB" w:rsidRDefault="00002A82" w:rsidP="00837216">
            <w:pPr>
              <w:spacing w:line="480" w:lineRule="auto"/>
              <w:rPr>
                <w:rFonts w:ascii="Arial" w:hAnsi="Arial" w:cs="Arial"/>
                <w:sz w:val="22"/>
                <w:szCs w:val="22"/>
              </w:rPr>
            </w:pPr>
            <w:r>
              <w:rPr>
                <w:rFonts w:ascii="Arial" w:hAnsi="Arial" w:cs="Arial"/>
                <w:sz w:val="22"/>
                <w:szCs w:val="22"/>
              </w:rPr>
              <w:t>Folate                                                    mg/kg</w:t>
            </w:r>
          </w:p>
        </w:tc>
        <w:tc>
          <w:tcPr>
            <w:tcW w:w="2033" w:type="dxa"/>
            <w:vAlign w:val="bottom"/>
          </w:tcPr>
          <w:p w14:paraId="5A0F5906"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4</w:t>
            </w:r>
          </w:p>
        </w:tc>
      </w:tr>
      <w:tr w:rsidR="001C31DB" w14:paraId="6AD3CBFF" w14:textId="77777777" w:rsidTr="00837216">
        <w:trPr>
          <w:trHeight w:val="530"/>
        </w:trPr>
        <w:tc>
          <w:tcPr>
            <w:tcW w:w="4644" w:type="dxa"/>
            <w:vAlign w:val="bottom"/>
          </w:tcPr>
          <w:p w14:paraId="6D08DE92" w14:textId="77777777" w:rsidR="001C31DB" w:rsidRDefault="00002A82" w:rsidP="00837216">
            <w:pPr>
              <w:spacing w:line="480" w:lineRule="auto"/>
              <w:rPr>
                <w:rFonts w:ascii="Arial" w:hAnsi="Arial" w:cs="Arial"/>
                <w:sz w:val="22"/>
                <w:szCs w:val="22"/>
              </w:rPr>
            </w:pPr>
            <w:r>
              <w:rPr>
                <w:rFonts w:ascii="Arial" w:hAnsi="Arial" w:cs="Arial"/>
                <w:sz w:val="22"/>
                <w:szCs w:val="22"/>
              </w:rPr>
              <w:t>Choline                                                  mg/kg</w:t>
            </w:r>
          </w:p>
        </w:tc>
        <w:tc>
          <w:tcPr>
            <w:tcW w:w="2033" w:type="dxa"/>
            <w:vAlign w:val="bottom"/>
          </w:tcPr>
          <w:p w14:paraId="084F71F7" w14:textId="77777777" w:rsidR="001C31DB" w:rsidRDefault="00002A82" w:rsidP="00F452D1">
            <w:pPr>
              <w:spacing w:line="480" w:lineRule="auto"/>
              <w:jc w:val="right"/>
              <w:rPr>
                <w:rFonts w:ascii="Arial" w:hAnsi="Arial" w:cs="Arial"/>
                <w:sz w:val="22"/>
                <w:szCs w:val="22"/>
              </w:rPr>
            </w:pPr>
            <w:r>
              <w:rPr>
                <w:rFonts w:ascii="Arial" w:hAnsi="Arial" w:cs="Arial"/>
                <w:sz w:val="22"/>
                <w:szCs w:val="22"/>
              </w:rPr>
              <w:t>1200</w:t>
            </w:r>
          </w:p>
        </w:tc>
      </w:tr>
      <w:tr w:rsidR="00002A82" w14:paraId="684ECD76" w14:textId="77777777" w:rsidTr="00002A82">
        <w:trPr>
          <w:trHeight w:val="530"/>
        </w:trPr>
        <w:tc>
          <w:tcPr>
            <w:tcW w:w="4644" w:type="dxa"/>
            <w:shd w:val="clear" w:color="auto" w:fill="DBE5F1" w:themeFill="accent1" w:themeFillTint="33"/>
            <w:vAlign w:val="bottom"/>
          </w:tcPr>
          <w:p w14:paraId="5A45E979" w14:textId="77777777" w:rsidR="00002A82" w:rsidRPr="00002A82" w:rsidRDefault="00002A82" w:rsidP="00837216">
            <w:pPr>
              <w:spacing w:line="480" w:lineRule="auto"/>
              <w:rPr>
                <w:rFonts w:ascii="Arial" w:hAnsi="Arial" w:cs="Arial"/>
                <w:b/>
              </w:rPr>
            </w:pPr>
            <w:r w:rsidRPr="00002A82">
              <w:rPr>
                <w:rFonts w:ascii="Arial" w:hAnsi="Arial" w:cs="Arial"/>
                <w:b/>
              </w:rPr>
              <w:t>Other</w:t>
            </w:r>
          </w:p>
        </w:tc>
        <w:tc>
          <w:tcPr>
            <w:tcW w:w="2033" w:type="dxa"/>
            <w:shd w:val="clear" w:color="auto" w:fill="DBE5F1" w:themeFill="accent1" w:themeFillTint="33"/>
            <w:vAlign w:val="bottom"/>
          </w:tcPr>
          <w:p w14:paraId="471AC044" w14:textId="77777777" w:rsidR="00002A82" w:rsidRDefault="00002A82" w:rsidP="00F452D1">
            <w:pPr>
              <w:spacing w:line="480" w:lineRule="auto"/>
              <w:jc w:val="right"/>
              <w:rPr>
                <w:rFonts w:ascii="Arial" w:hAnsi="Arial" w:cs="Arial"/>
                <w:sz w:val="22"/>
                <w:szCs w:val="22"/>
              </w:rPr>
            </w:pPr>
          </w:p>
        </w:tc>
      </w:tr>
      <w:tr w:rsidR="00002A82" w14:paraId="63250039" w14:textId="77777777" w:rsidTr="00837216">
        <w:trPr>
          <w:trHeight w:val="530"/>
        </w:trPr>
        <w:tc>
          <w:tcPr>
            <w:tcW w:w="4644" w:type="dxa"/>
            <w:vAlign w:val="bottom"/>
          </w:tcPr>
          <w:p w14:paraId="322D2320" w14:textId="77777777" w:rsidR="00002A82" w:rsidRDefault="00002A82" w:rsidP="00837216">
            <w:pPr>
              <w:spacing w:line="480" w:lineRule="auto"/>
              <w:rPr>
                <w:rFonts w:ascii="Arial" w:hAnsi="Arial" w:cs="Arial"/>
                <w:sz w:val="22"/>
                <w:szCs w:val="22"/>
              </w:rPr>
            </w:pPr>
            <w:r>
              <w:rPr>
                <w:rFonts w:ascii="Arial" w:hAnsi="Arial" w:cs="Arial"/>
                <w:sz w:val="22"/>
                <w:szCs w:val="22"/>
              </w:rPr>
              <w:t>Cholesterol                                            mg/kg</w:t>
            </w:r>
          </w:p>
        </w:tc>
        <w:tc>
          <w:tcPr>
            <w:tcW w:w="2033" w:type="dxa"/>
            <w:vAlign w:val="bottom"/>
          </w:tcPr>
          <w:p w14:paraId="08A954C0" w14:textId="77777777" w:rsidR="00002A82" w:rsidRDefault="00002A82" w:rsidP="00F452D1">
            <w:pPr>
              <w:spacing w:line="480" w:lineRule="auto"/>
              <w:jc w:val="right"/>
              <w:rPr>
                <w:rFonts w:ascii="Arial" w:hAnsi="Arial" w:cs="Arial"/>
                <w:sz w:val="22"/>
                <w:szCs w:val="22"/>
              </w:rPr>
            </w:pPr>
            <w:r>
              <w:rPr>
                <w:rFonts w:ascii="Arial" w:hAnsi="Arial" w:cs="Arial"/>
                <w:sz w:val="22"/>
                <w:szCs w:val="22"/>
              </w:rPr>
              <w:t>--</w:t>
            </w:r>
          </w:p>
        </w:tc>
      </w:tr>
    </w:tbl>
    <w:p w14:paraId="1D866692" w14:textId="77777777" w:rsidR="00EB6D88" w:rsidRDefault="00EB6D88" w:rsidP="00EB6D88">
      <w:pPr>
        <w:spacing w:line="480" w:lineRule="auto"/>
        <w:jc w:val="both"/>
        <w:rPr>
          <w:rFonts w:ascii="Arial" w:hAnsi="Arial" w:cs="Arial"/>
          <w:sz w:val="22"/>
          <w:szCs w:val="22"/>
        </w:rPr>
      </w:pPr>
      <w:r>
        <w:rPr>
          <w:rFonts w:ascii="Arial" w:hAnsi="Arial" w:cs="Arial"/>
          <w:sz w:val="22"/>
          <w:szCs w:val="22"/>
        </w:rPr>
        <w:t>Reproduced from Teklad Diets, Madison, WI, USA, 2018</w:t>
      </w:r>
    </w:p>
    <w:p w14:paraId="4819BD0A" w14:textId="77777777" w:rsidR="00D40E59" w:rsidRDefault="00D40E59" w:rsidP="00EB6D88">
      <w:pPr>
        <w:spacing w:line="480" w:lineRule="auto"/>
        <w:jc w:val="both"/>
        <w:rPr>
          <w:rFonts w:ascii="Arial" w:hAnsi="Arial" w:cs="Arial"/>
          <w:sz w:val="22"/>
          <w:szCs w:val="22"/>
        </w:rPr>
      </w:pPr>
    </w:p>
    <w:p w14:paraId="1E7605D9" w14:textId="77777777" w:rsidR="00D40E59" w:rsidRDefault="00D40E59" w:rsidP="00D40E59">
      <w:pPr>
        <w:spacing w:line="360" w:lineRule="auto"/>
        <w:jc w:val="both"/>
        <w:rPr>
          <w:rFonts w:ascii="Arial" w:hAnsi="Arial" w:cs="Arial"/>
          <w:sz w:val="22"/>
          <w:szCs w:val="22"/>
        </w:rPr>
      </w:pPr>
      <w:proofErr w:type="gramStart"/>
      <w:r>
        <w:rPr>
          <w:rFonts w:ascii="Arial" w:hAnsi="Arial" w:cs="Arial"/>
          <w:sz w:val="22"/>
          <w:szCs w:val="22"/>
          <w:vertAlign w:val="superscript"/>
        </w:rPr>
        <w:t>a</w:t>
      </w:r>
      <w:proofErr w:type="gramEnd"/>
      <w:r>
        <w:rPr>
          <w:rFonts w:ascii="Arial" w:hAnsi="Arial" w:cs="Arial"/>
          <w:sz w:val="22"/>
          <w:szCs w:val="22"/>
          <w:vertAlign w:val="superscript"/>
        </w:rPr>
        <w:t xml:space="preserve"> </w:t>
      </w:r>
      <w:r>
        <w:rPr>
          <w:rFonts w:ascii="Arial" w:hAnsi="Arial" w:cs="Arial"/>
          <w:sz w:val="22"/>
          <w:szCs w:val="22"/>
        </w:rPr>
        <w:t>Carbohydrate (available) is calculated by subtracting neutral detergent fiber from total carbohydrates</w:t>
      </w:r>
    </w:p>
    <w:p w14:paraId="30CB07CF" w14:textId="77777777" w:rsidR="00700C7E" w:rsidRDefault="00D40E59" w:rsidP="00D40E59">
      <w:pPr>
        <w:spacing w:line="360" w:lineRule="auto"/>
        <w:jc w:val="both"/>
        <w:rPr>
          <w:rFonts w:ascii="Arial" w:hAnsi="Arial" w:cs="Arial"/>
          <w:sz w:val="22"/>
          <w:szCs w:val="22"/>
        </w:rPr>
      </w:pPr>
      <w:proofErr w:type="gramStart"/>
      <w:r w:rsidRPr="00D40E59">
        <w:rPr>
          <w:rFonts w:ascii="Arial" w:hAnsi="Arial" w:cs="Arial"/>
          <w:sz w:val="22"/>
          <w:szCs w:val="22"/>
          <w:vertAlign w:val="superscript"/>
        </w:rPr>
        <w:t>b</w:t>
      </w:r>
      <w:proofErr w:type="gramEnd"/>
      <w:r w:rsidRPr="00D40E59">
        <w:rPr>
          <w:rFonts w:ascii="Arial" w:hAnsi="Arial" w:cs="Arial"/>
          <w:sz w:val="22"/>
          <w:szCs w:val="22"/>
          <w:vertAlign w:val="superscript"/>
        </w:rPr>
        <w:t xml:space="preserve"> </w:t>
      </w:r>
      <w:r w:rsidRPr="00D40E59">
        <w:rPr>
          <w:rFonts w:ascii="Arial" w:hAnsi="Arial" w:cs="Arial"/>
          <w:sz w:val="22"/>
          <w:szCs w:val="22"/>
        </w:rPr>
        <w:t xml:space="preserve">Neutral detergent fiber is an estimate of insoluble fiber, including cellulose, hemicellulose and lignin. </w:t>
      </w:r>
    </w:p>
    <w:p w14:paraId="77F76FF4" w14:textId="77777777" w:rsidR="00D40E59" w:rsidRDefault="00D40E59" w:rsidP="00D40E59">
      <w:pPr>
        <w:spacing w:line="360" w:lineRule="auto"/>
        <w:jc w:val="both"/>
        <w:rPr>
          <w:rFonts w:ascii="Arial" w:hAnsi="Arial" w:cs="Arial"/>
          <w:sz w:val="22"/>
          <w:szCs w:val="22"/>
        </w:rPr>
      </w:pPr>
      <w:proofErr w:type="gramStart"/>
      <w:r>
        <w:rPr>
          <w:rFonts w:ascii="Arial" w:hAnsi="Arial" w:cs="Arial"/>
          <w:sz w:val="22"/>
          <w:szCs w:val="22"/>
          <w:vertAlign w:val="superscript"/>
        </w:rPr>
        <w:t>c</w:t>
      </w:r>
      <w:proofErr w:type="gramEnd"/>
      <w:r>
        <w:rPr>
          <w:rFonts w:ascii="Arial" w:hAnsi="Arial" w:cs="Arial"/>
          <w:sz w:val="22"/>
          <w:szCs w:val="22"/>
          <w:vertAlign w:val="superscript"/>
        </w:rPr>
        <w:t xml:space="preserve"> </w:t>
      </w:r>
      <w:r>
        <w:rPr>
          <w:rFonts w:ascii="Arial" w:hAnsi="Arial" w:cs="Arial"/>
          <w:sz w:val="22"/>
          <w:szCs w:val="22"/>
        </w:rPr>
        <w:t xml:space="preserve">Energy density is a calculated estimate of </w:t>
      </w:r>
      <w:r w:rsidR="00225734">
        <w:rPr>
          <w:rFonts w:ascii="Arial" w:hAnsi="Arial" w:cs="Arial"/>
          <w:i/>
          <w:sz w:val="22"/>
          <w:szCs w:val="22"/>
        </w:rPr>
        <w:t>metabolis</w:t>
      </w:r>
      <w:r w:rsidRPr="00D40E59">
        <w:rPr>
          <w:rFonts w:ascii="Arial" w:hAnsi="Arial" w:cs="Arial"/>
          <w:i/>
          <w:sz w:val="22"/>
          <w:szCs w:val="22"/>
        </w:rPr>
        <w:t>able energy</w:t>
      </w:r>
      <w:r>
        <w:rPr>
          <w:rFonts w:ascii="Arial" w:hAnsi="Arial" w:cs="Arial"/>
          <w:sz w:val="22"/>
          <w:szCs w:val="22"/>
        </w:rPr>
        <w:t xml:space="preserve"> based on the Atwater factors assigning 4</w:t>
      </w:r>
      <w:r w:rsidRPr="00D40E59">
        <w:rPr>
          <w:rFonts w:ascii="Arial" w:hAnsi="Arial" w:cs="Arial"/>
          <w:sz w:val="22"/>
          <w:szCs w:val="22"/>
        </w:rPr>
        <w:t xml:space="preserve"> </w:t>
      </w:r>
      <w:r>
        <w:rPr>
          <w:rFonts w:ascii="Arial" w:hAnsi="Arial" w:cs="Arial"/>
          <w:sz w:val="22"/>
          <w:szCs w:val="22"/>
        </w:rPr>
        <w:t>kcal/g to proteins, 9</w:t>
      </w:r>
      <w:r w:rsidRPr="00D40E59">
        <w:rPr>
          <w:rFonts w:ascii="Arial" w:hAnsi="Arial" w:cs="Arial"/>
          <w:sz w:val="22"/>
          <w:szCs w:val="22"/>
        </w:rPr>
        <w:t xml:space="preserve"> </w:t>
      </w:r>
      <w:r>
        <w:rPr>
          <w:rFonts w:ascii="Arial" w:hAnsi="Arial" w:cs="Arial"/>
          <w:sz w:val="22"/>
          <w:szCs w:val="22"/>
        </w:rPr>
        <w:t>kcal/g to fats and 4</w:t>
      </w:r>
      <w:r w:rsidRPr="00D40E59">
        <w:rPr>
          <w:rFonts w:ascii="Arial" w:hAnsi="Arial" w:cs="Arial"/>
          <w:sz w:val="22"/>
          <w:szCs w:val="22"/>
        </w:rPr>
        <w:t xml:space="preserve"> </w:t>
      </w:r>
      <w:r>
        <w:rPr>
          <w:rFonts w:ascii="Arial" w:hAnsi="Arial" w:cs="Arial"/>
          <w:sz w:val="22"/>
          <w:szCs w:val="22"/>
        </w:rPr>
        <w:t>kcal/g to available carbohydrates.</w:t>
      </w:r>
    </w:p>
    <w:p w14:paraId="6A8EE916" w14:textId="77777777" w:rsidR="00C451E4" w:rsidRDefault="00C451E4" w:rsidP="00D40E59">
      <w:pPr>
        <w:spacing w:line="360" w:lineRule="auto"/>
        <w:jc w:val="both"/>
        <w:rPr>
          <w:rFonts w:ascii="Arial" w:hAnsi="Arial" w:cs="Arial"/>
          <w:sz w:val="22"/>
          <w:szCs w:val="22"/>
        </w:rPr>
      </w:pPr>
      <w:proofErr w:type="gramStart"/>
      <w:r>
        <w:rPr>
          <w:rFonts w:ascii="Arial" w:hAnsi="Arial" w:cs="Arial"/>
          <w:sz w:val="22"/>
          <w:szCs w:val="22"/>
          <w:vertAlign w:val="superscript"/>
        </w:rPr>
        <w:t>d</w:t>
      </w:r>
      <w:proofErr w:type="gramEnd"/>
      <w:r>
        <w:rPr>
          <w:rFonts w:ascii="Arial" w:hAnsi="Arial" w:cs="Arial"/>
          <w:sz w:val="22"/>
          <w:szCs w:val="22"/>
          <w:vertAlign w:val="superscript"/>
        </w:rPr>
        <w:t xml:space="preserve"> </w:t>
      </w:r>
      <w:r>
        <w:rPr>
          <w:rFonts w:ascii="Arial" w:hAnsi="Arial" w:cs="Arial"/>
          <w:sz w:val="22"/>
          <w:szCs w:val="22"/>
        </w:rPr>
        <w:t xml:space="preserve">1 IU vitamin A = 0.3 </w:t>
      </w:r>
      <w:r>
        <w:rPr>
          <w:rFonts w:ascii="Arial" w:hAnsi="Arial" w:cs="Arial"/>
          <w:sz w:val="22"/>
          <w:szCs w:val="22"/>
        </w:rPr>
        <w:sym w:font="Symbol" w:char="F06D"/>
      </w:r>
      <w:r>
        <w:rPr>
          <w:rFonts w:ascii="Arial" w:hAnsi="Arial" w:cs="Arial"/>
          <w:sz w:val="22"/>
          <w:szCs w:val="22"/>
        </w:rPr>
        <w:t>g retinol</w:t>
      </w:r>
    </w:p>
    <w:p w14:paraId="0790DE2B" w14:textId="77777777" w:rsidR="00700C7E" w:rsidRPr="00010FB2" w:rsidRDefault="00C451E4" w:rsidP="00010FB2">
      <w:pPr>
        <w:spacing w:line="360" w:lineRule="auto"/>
        <w:jc w:val="both"/>
        <w:rPr>
          <w:rFonts w:ascii="Arial" w:hAnsi="Arial" w:cs="Arial"/>
          <w:sz w:val="22"/>
          <w:szCs w:val="22"/>
        </w:rPr>
      </w:pPr>
      <w:proofErr w:type="gramStart"/>
      <w:r>
        <w:rPr>
          <w:rFonts w:ascii="Arial" w:hAnsi="Arial" w:cs="Arial"/>
          <w:sz w:val="22"/>
          <w:szCs w:val="22"/>
          <w:vertAlign w:val="superscript"/>
        </w:rPr>
        <w:t>e</w:t>
      </w:r>
      <w:proofErr w:type="gramEnd"/>
      <w:r>
        <w:rPr>
          <w:rFonts w:ascii="Arial" w:hAnsi="Arial" w:cs="Arial"/>
          <w:sz w:val="22"/>
          <w:szCs w:val="22"/>
          <w:vertAlign w:val="superscript"/>
        </w:rPr>
        <w:t xml:space="preserve"> </w:t>
      </w:r>
      <w:r>
        <w:rPr>
          <w:rFonts w:ascii="Arial" w:hAnsi="Arial" w:cs="Arial"/>
          <w:sz w:val="22"/>
          <w:szCs w:val="22"/>
        </w:rPr>
        <w:t>1 IU vitamin D = 25 ng chole</w:t>
      </w:r>
      <w:r w:rsidR="00010FB2">
        <w:rPr>
          <w:rFonts w:ascii="Arial" w:hAnsi="Arial" w:cs="Arial"/>
          <w:sz w:val="22"/>
          <w:szCs w:val="22"/>
        </w:rPr>
        <w:t>calciferol</w:t>
      </w:r>
    </w:p>
    <w:p w14:paraId="5BA7BDAF" w14:textId="77777777" w:rsidR="00002A82" w:rsidRDefault="00002A82" w:rsidP="00002A82">
      <w:pPr>
        <w:rPr>
          <w:rFonts w:ascii="Arial" w:hAnsi="Arial" w:cs="Arial"/>
          <w:b/>
          <w:bCs/>
          <w:noProof/>
          <w:color w:val="000000" w:themeColor="text1"/>
        </w:rPr>
      </w:pPr>
    </w:p>
    <w:p w14:paraId="4D24C6E7" w14:textId="77777777" w:rsidR="00010FB2" w:rsidRDefault="00010FB2" w:rsidP="00002A82">
      <w:pPr>
        <w:rPr>
          <w:rFonts w:ascii="Arial" w:hAnsi="Arial" w:cs="Arial"/>
          <w:b/>
          <w:bCs/>
          <w:noProof/>
          <w:color w:val="000000" w:themeColor="text1"/>
        </w:rPr>
      </w:pPr>
    </w:p>
    <w:p w14:paraId="16EF6E14" w14:textId="77777777" w:rsidR="00010FB2" w:rsidRPr="00002A82" w:rsidRDefault="00010FB2" w:rsidP="00002A82"/>
    <w:p w14:paraId="7A5EA6CA" w14:textId="77777777" w:rsidR="00B95DFA" w:rsidRPr="00D86EEE" w:rsidRDefault="00700C7E" w:rsidP="00D40E59">
      <w:pPr>
        <w:pStyle w:val="Heading2"/>
      </w:pPr>
      <w:r>
        <w:lastRenderedPageBreak/>
        <w:t>Appendix 2</w:t>
      </w:r>
      <w:r w:rsidR="00B95DFA" w:rsidRPr="00BF2597">
        <w:t xml:space="preserve"> </w:t>
      </w:r>
      <w:r w:rsidR="005E327B">
        <w:t xml:space="preserve">- </w:t>
      </w:r>
      <w:r w:rsidR="00B95DFA">
        <w:t>Mouse/rat cortisol ELISA assay protocol</w:t>
      </w:r>
      <w:bookmarkEnd w:id="190"/>
    </w:p>
    <w:p w14:paraId="1C31960F" w14:textId="77777777" w:rsidR="00B95DFA" w:rsidRDefault="00B95DFA" w:rsidP="00B95DFA">
      <w:pPr>
        <w:spacing w:line="480" w:lineRule="auto"/>
        <w:jc w:val="both"/>
        <w:rPr>
          <w:rFonts w:ascii="Arial" w:hAnsi="Arial" w:cs="Arial"/>
        </w:rPr>
      </w:pPr>
      <w:r w:rsidRPr="00840207">
        <w:rPr>
          <w:rFonts w:ascii="Arial" w:hAnsi="Arial" w:cs="Arial"/>
        </w:rPr>
        <w:t>Components</w:t>
      </w:r>
    </w:p>
    <w:tbl>
      <w:tblPr>
        <w:tblStyle w:val="TableGrid"/>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4644"/>
        <w:gridCol w:w="2127"/>
      </w:tblGrid>
      <w:tr w:rsidR="00B95DFA" w14:paraId="37EAA439" w14:textId="77777777" w:rsidTr="00CE3A37">
        <w:trPr>
          <w:trHeight w:val="503"/>
        </w:trPr>
        <w:tc>
          <w:tcPr>
            <w:tcW w:w="4644" w:type="dxa"/>
            <w:vAlign w:val="bottom"/>
          </w:tcPr>
          <w:p w14:paraId="35568EE6" w14:textId="77777777" w:rsidR="00B95DFA" w:rsidRDefault="00B95DFA" w:rsidP="00CE3A37">
            <w:pPr>
              <w:spacing w:line="480" w:lineRule="auto"/>
              <w:rPr>
                <w:rFonts w:ascii="Arial" w:hAnsi="Arial" w:cs="Arial"/>
              </w:rPr>
            </w:pPr>
            <w:r>
              <w:rPr>
                <w:rFonts w:ascii="Arial" w:hAnsi="Arial" w:cs="Arial"/>
              </w:rPr>
              <w:t>Microwells coated with Cortisol MAb</w:t>
            </w:r>
          </w:p>
        </w:tc>
        <w:tc>
          <w:tcPr>
            <w:tcW w:w="2127" w:type="dxa"/>
            <w:vAlign w:val="bottom"/>
          </w:tcPr>
          <w:p w14:paraId="54B4D20A" w14:textId="77777777" w:rsidR="00B95DFA" w:rsidRDefault="00B95DFA" w:rsidP="00CE3A37">
            <w:pPr>
              <w:spacing w:line="480" w:lineRule="auto"/>
              <w:jc w:val="center"/>
              <w:rPr>
                <w:rFonts w:ascii="Arial" w:hAnsi="Arial" w:cs="Arial"/>
              </w:rPr>
            </w:pPr>
            <w:r>
              <w:rPr>
                <w:rFonts w:ascii="Arial" w:hAnsi="Arial" w:cs="Arial"/>
              </w:rPr>
              <w:t>12 x 8 x 1</w:t>
            </w:r>
          </w:p>
        </w:tc>
      </w:tr>
      <w:tr w:rsidR="00B95DFA" w14:paraId="472F16FE" w14:textId="77777777" w:rsidTr="00CE3A37">
        <w:trPr>
          <w:trHeight w:val="503"/>
        </w:trPr>
        <w:tc>
          <w:tcPr>
            <w:tcW w:w="4644" w:type="dxa"/>
            <w:vAlign w:val="bottom"/>
          </w:tcPr>
          <w:p w14:paraId="3FAAE956" w14:textId="77777777" w:rsidR="00B95DFA" w:rsidRDefault="00B95DFA" w:rsidP="00CE3A37">
            <w:pPr>
              <w:spacing w:line="480" w:lineRule="auto"/>
              <w:rPr>
                <w:rFonts w:ascii="Arial" w:hAnsi="Arial" w:cs="Arial"/>
              </w:rPr>
            </w:pPr>
            <w:r>
              <w:rPr>
                <w:rFonts w:ascii="Arial" w:hAnsi="Arial" w:cs="Arial"/>
              </w:rPr>
              <w:t>Cortisol standard: 7 vials</w:t>
            </w:r>
          </w:p>
        </w:tc>
        <w:tc>
          <w:tcPr>
            <w:tcW w:w="2127" w:type="dxa"/>
            <w:vAlign w:val="bottom"/>
          </w:tcPr>
          <w:p w14:paraId="1AC65EC9" w14:textId="77777777" w:rsidR="00B95DFA" w:rsidRDefault="00B95DFA" w:rsidP="00CE3A37">
            <w:pPr>
              <w:spacing w:line="480" w:lineRule="auto"/>
              <w:jc w:val="center"/>
              <w:rPr>
                <w:rFonts w:ascii="Arial" w:hAnsi="Arial" w:cs="Arial"/>
              </w:rPr>
            </w:pPr>
            <w:r>
              <w:rPr>
                <w:rFonts w:ascii="Arial" w:hAnsi="Arial" w:cs="Arial"/>
              </w:rPr>
              <w:t>0.5ml</w:t>
            </w:r>
          </w:p>
        </w:tc>
      </w:tr>
      <w:tr w:rsidR="00B95DFA" w14:paraId="6F3BD09B" w14:textId="77777777" w:rsidTr="00CE3A37">
        <w:trPr>
          <w:trHeight w:val="503"/>
        </w:trPr>
        <w:tc>
          <w:tcPr>
            <w:tcW w:w="4644" w:type="dxa"/>
            <w:vAlign w:val="bottom"/>
          </w:tcPr>
          <w:p w14:paraId="7491DD2C" w14:textId="77777777" w:rsidR="00B95DFA" w:rsidRDefault="00B95DFA" w:rsidP="00CE3A37">
            <w:pPr>
              <w:spacing w:line="480" w:lineRule="auto"/>
              <w:rPr>
                <w:rFonts w:ascii="Arial" w:hAnsi="Arial" w:cs="Arial"/>
              </w:rPr>
            </w:pPr>
            <w:r>
              <w:rPr>
                <w:rFonts w:ascii="Arial" w:hAnsi="Arial" w:cs="Arial"/>
              </w:rPr>
              <w:t>Enzyme conjugate (20x)</w:t>
            </w:r>
          </w:p>
        </w:tc>
        <w:tc>
          <w:tcPr>
            <w:tcW w:w="2127" w:type="dxa"/>
            <w:vAlign w:val="bottom"/>
          </w:tcPr>
          <w:p w14:paraId="1ADEC517" w14:textId="77777777" w:rsidR="00B95DFA" w:rsidRDefault="00B95DFA" w:rsidP="00CE3A37">
            <w:pPr>
              <w:spacing w:line="480" w:lineRule="auto"/>
              <w:jc w:val="center"/>
              <w:rPr>
                <w:rFonts w:ascii="Arial" w:hAnsi="Arial" w:cs="Arial"/>
              </w:rPr>
            </w:pPr>
            <w:r>
              <w:rPr>
                <w:rFonts w:ascii="Arial" w:hAnsi="Arial" w:cs="Arial"/>
              </w:rPr>
              <w:t>0.7ml</w:t>
            </w:r>
          </w:p>
        </w:tc>
      </w:tr>
      <w:tr w:rsidR="00B95DFA" w14:paraId="454EBB41" w14:textId="77777777" w:rsidTr="00CE3A37">
        <w:trPr>
          <w:trHeight w:val="503"/>
        </w:trPr>
        <w:tc>
          <w:tcPr>
            <w:tcW w:w="4644" w:type="dxa"/>
            <w:vAlign w:val="bottom"/>
          </w:tcPr>
          <w:p w14:paraId="64BEAE90" w14:textId="77777777" w:rsidR="00B95DFA" w:rsidRDefault="00B95DFA" w:rsidP="00CE3A37">
            <w:pPr>
              <w:spacing w:line="480" w:lineRule="auto"/>
              <w:rPr>
                <w:rFonts w:ascii="Arial" w:hAnsi="Arial" w:cs="Arial"/>
              </w:rPr>
            </w:pPr>
            <w:r>
              <w:rPr>
                <w:rFonts w:ascii="Arial" w:hAnsi="Arial" w:cs="Arial"/>
              </w:rPr>
              <w:t>Assay diluent</w:t>
            </w:r>
          </w:p>
        </w:tc>
        <w:tc>
          <w:tcPr>
            <w:tcW w:w="2127" w:type="dxa"/>
            <w:vAlign w:val="bottom"/>
          </w:tcPr>
          <w:p w14:paraId="023BA5A7" w14:textId="77777777" w:rsidR="00B95DFA" w:rsidRDefault="00B95DFA" w:rsidP="00CE3A37">
            <w:pPr>
              <w:spacing w:line="480" w:lineRule="auto"/>
              <w:jc w:val="center"/>
              <w:rPr>
                <w:rFonts w:ascii="Arial" w:hAnsi="Arial" w:cs="Arial"/>
              </w:rPr>
            </w:pPr>
            <w:r>
              <w:rPr>
                <w:rFonts w:ascii="Arial" w:hAnsi="Arial" w:cs="Arial"/>
              </w:rPr>
              <w:t>12ml</w:t>
            </w:r>
          </w:p>
        </w:tc>
      </w:tr>
      <w:tr w:rsidR="00B95DFA" w14:paraId="3A744F4A" w14:textId="77777777" w:rsidTr="00CE3A37">
        <w:trPr>
          <w:trHeight w:val="503"/>
        </w:trPr>
        <w:tc>
          <w:tcPr>
            <w:tcW w:w="4644" w:type="dxa"/>
            <w:vAlign w:val="bottom"/>
          </w:tcPr>
          <w:p w14:paraId="7872804F" w14:textId="77777777" w:rsidR="00B95DFA" w:rsidRDefault="00B95DFA" w:rsidP="00CE3A37">
            <w:pPr>
              <w:spacing w:line="480" w:lineRule="auto"/>
              <w:rPr>
                <w:rFonts w:ascii="Arial" w:hAnsi="Arial" w:cs="Arial"/>
              </w:rPr>
            </w:pPr>
            <w:r>
              <w:rPr>
                <w:rFonts w:ascii="Arial" w:hAnsi="Arial" w:cs="Arial"/>
              </w:rPr>
              <w:t>TMB substrate</w:t>
            </w:r>
          </w:p>
        </w:tc>
        <w:tc>
          <w:tcPr>
            <w:tcW w:w="2127" w:type="dxa"/>
            <w:vAlign w:val="bottom"/>
          </w:tcPr>
          <w:p w14:paraId="5BB1436B" w14:textId="77777777" w:rsidR="00B95DFA" w:rsidRDefault="00B95DFA" w:rsidP="00CE3A37">
            <w:pPr>
              <w:spacing w:line="480" w:lineRule="auto"/>
              <w:jc w:val="center"/>
              <w:rPr>
                <w:rFonts w:ascii="Arial" w:hAnsi="Arial" w:cs="Arial"/>
              </w:rPr>
            </w:pPr>
            <w:r>
              <w:rPr>
                <w:rFonts w:ascii="Arial" w:hAnsi="Arial" w:cs="Arial"/>
              </w:rPr>
              <w:t>12ml</w:t>
            </w:r>
          </w:p>
        </w:tc>
      </w:tr>
      <w:tr w:rsidR="00B95DFA" w14:paraId="1664C68E" w14:textId="77777777" w:rsidTr="00CE3A37">
        <w:trPr>
          <w:trHeight w:val="517"/>
        </w:trPr>
        <w:tc>
          <w:tcPr>
            <w:tcW w:w="4644" w:type="dxa"/>
            <w:vAlign w:val="bottom"/>
          </w:tcPr>
          <w:p w14:paraId="1B12A78C" w14:textId="77777777" w:rsidR="00B95DFA" w:rsidRDefault="00B95DFA" w:rsidP="00CE3A37">
            <w:pPr>
              <w:spacing w:line="480" w:lineRule="auto"/>
              <w:rPr>
                <w:rFonts w:ascii="Arial" w:hAnsi="Arial" w:cs="Arial"/>
              </w:rPr>
            </w:pPr>
            <w:r>
              <w:rPr>
                <w:rFonts w:ascii="Arial" w:hAnsi="Arial" w:cs="Arial"/>
              </w:rPr>
              <w:t>Stop solution</w:t>
            </w:r>
          </w:p>
        </w:tc>
        <w:tc>
          <w:tcPr>
            <w:tcW w:w="2127" w:type="dxa"/>
            <w:vAlign w:val="bottom"/>
          </w:tcPr>
          <w:p w14:paraId="35B25B49" w14:textId="77777777" w:rsidR="00B95DFA" w:rsidRDefault="00B95DFA" w:rsidP="00CE3A37">
            <w:pPr>
              <w:spacing w:line="480" w:lineRule="auto"/>
              <w:jc w:val="center"/>
              <w:rPr>
                <w:rFonts w:ascii="Arial" w:hAnsi="Arial" w:cs="Arial"/>
              </w:rPr>
            </w:pPr>
            <w:r>
              <w:rPr>
                <w:rFonts w:ascii="Arial" w:hAnsi="Arial" w:cs="Arial"/>
              </w:rPr>
              <w:t>12ml</w:t>
            </w:r>
          </w:p>
        </w:tc>
      </w:tr>
      <w:tr w:rsidR="00B95DFA" w14:paraId="4AF6B781" w14:textId="77777777" w:rsidTr="00CE3A37">
        <w:trPr>
          <w:trHeight w:val="517"/>
        </w:trPr>
        <w:tc>
          <w:tcPr>
            <w:tcW w:w="4644" w:type="dxa"/>
            <w:vAlign w:val="bottom"/>
          </w:tcPr>
          <w:p w14:paraId="3321F08E" w14:textId="77777777" w:rsidR="00B95DFA" w:rsidRDefault="00B95DFA" w:rsidP="00CE3A37">
            <w:pPr>
              <w:spacing w:line="480" w:lineRule="auto"/>
              <w:rPr>
                <w:rFonts w:ascii="Arial" w:hAnsi="Arial" w:cs="Arial"/>
              </w:rPr>
            </w:pPr>
            <w:r>
              <w:rPr>
                <w:rFonts w:ascii="Arial" w:hAnsi="Arial" w:cs="Arial"/>
              </w:rPr>
              <w:t>20x Wash concentrate</w:t>
            </w:r>
          </w:p>
        </w:tc>
        <w:tc>
          <w:tcPr>
            <w:tcW w:w="2127" w:type="dxa"/>
            <w:vAlign w:val="bottom"/>
          </w:tcPr>
          <w:p w14:paraId="38164F8D" w14:textId="77777777" w:rsidR="00B95DFA" w:rsidRDefault="00B95DFA" w:rsidP="00CE3A37">
            <w:pPr>
              <w:spacing w:line="480" w:lineRule="auto"/>
              <w:jc w:val="center"/>
              <w:rPr>
                <w:rFonts w:ascii="Arial" w:hAnsi="Arial" w:cs="Arial"/>
              </w:rPr>
            </w:pPr>
            <w:r>
              <w:rPr>
                <w:rFonts w:ascii="Arial" w:hAnsi="Arial" w:cs="Arial"/>
              </w:rPr>
              <w:t>25ml</w:t>
            </w:r>
          </w:p>
        </w:tc>
      </w:tr>
    </w:tbl>
    <w:p w14:paraId="75EA9D30" w14:textId="77777777" w:rsidR="00B95DFA" w:rsidRDefault="00B95DFA" w:rsidP="00B95DFA">
      <w:pPr>
        <w:spacing w:line="480" w:lineRule="auto"/>
        <w:jc w:val="both"/>
        <w:rPr>
          <w:rFonts w:ascii="Arial" w:hAnsi="Arial" w:cs="Arial"/>
          <w:sz w:val="22"/>
          <w:szCs w:val="22"/>
        </w:rPr>
      </w:pPr>
      <w:r w:rsidRPr="001F32CD">
        <w:rPr>
          <w:rFonts w:ascii="Arial" w:hAnsi="Arial" w:cs="Arial"/>
          <w:sz w:val="22"/>
          <w:szCs w:val="22"/>
        </w:rPr>
        <w:t>Reproduced from Sigma-Aldrich Co Ltd, 2014</w:t>
      </w:r>
    </w:p>
    <w:p w14:paraId="449D25A9" w14:textId="77777777" w:rsidR="00922D9A" w:rsidRPr="00922D9A" w:rsidRDefault="00922D9A" w:rsidP="00B95DFA">
      <w:pPr>
        <w:spacing w:line="480" w:lineRule="auto"/>
        <w:jc w:val="both"/>
        <w:rPr>
          <w:rFonts w:ascii="Arial" w:hAnsi="Arial" w:cs="Arial"/>
          <w:sz w:val="22"/>
          <w:szCs w:val="22"/>
        </w:rPr>
      </w:pPr>
    </w:p>
    <w:tbl>
      <w:tblPr>
        <w:tblStyle w:val="TableGrid"/>
        <w:tblW w:w="0" w:type="auto"/>
        <w:tblLook w:val="00A0" w:firstRow="1" w:lastRow="0" w:firstColumn="1" w:lastColumn="0" w:noHBand="0" w:noVBand="0"/>
      </w:tblPr>
      <w:tblGrid>
        <w:gridCol w:w="959"/>
        <w:gridCol w:w="3685"/>
        <w:gridCol w:w="1270"/>
        <w:gridCol w:w="857"/>
        <w:gridCol w:w="833"/>
        <w:gridCol w:w="816"/>
        <w:gridCol w:w="816"/>
      </w:tblGrid>
      <w:tr w:rsidR="00B95DFA" w14:paraId="20EDBA20" w14:textId="77777777" w:rsidTr="00CE3A37">
        <w:tc>
          <w:tcPr>
            <w:tcW w:w="9236" w:type="dxa"/>
            <w:gridSpan w:val="7"/>
            <w:tcBorders>
              <w:top w:val="single" w:sz="12" w:space="0" w:color="auto"/>
              <w:left w:val="single" w:sz="18" w:space="0" w:color="auto"/>
              <w:bottom w:val="single" w:sz="18" w:space="0" w:color="auto"/>
              <w:right w:val="single" w:sz="18" w:space="0" w:color="auto"/>
            </w:tcBorders>
          </w:tcPr>
          <w:p w14:paraId="5BBA9B89" w14:textId="77777777" w:rsidR="00B95DFA" w:rsidRDefault="00B95DFA" w:rsidP="00CE3A37">
            <w:pPr>
              <w:spacing w:line="480" w:lineRule="auto"/>
              <w:jc w:val="center"/>
              <w:rPr>
                <w:rFonts w:ascii="Arial" w:hAnsi="Arial" w:cs="Arial"/>
                <w:b/>
              </w:rPr>
            </w:pPr>
            <w:r>
              <w:rPr>
                <w:rFonts w:ascii="Arial" w:hAnsi="Arial" w:cs="Arial"/>
                <w:b/>
              </w:rPr>
              <w:t>Mouse cortisol assay preparation instructions and procedure</w:t>
            </w:r>
          </w:p>
        </w:tc>
      </w:tr>
      <w:tr w:rsidR="00B95DFA" w14:paraId="7F25C09E" w14:textId="77777777" w:rsidTr="00CE3A37">
        <w:tc>
          <w:tcPr>
            <w:tcW w:w="959" w:type="dxa"/>
            <w:tcBorders>
              <w:top w:val="single" w:sz="12" w:space="0" w:color="auto"/>
              <w:left w:val="single" w:sz="18" w:space="0" w:color="auto"/>
              <w:bottom w:val="single" w:sz="24" w:space="0" w:color="auto"/>
            </w:tcBorders>
            <w:vAlign w:val="center"/>
          </w:tcPr>
          <w:p w14:paraId="5B0A31EB" w14:textId="77777777" w:rsidR="00B95DFA" w:rsidRDefault="00B95DFA" w:rsidP="00CE3A37">
            <w:pPr>
              <w:spacing w:line="360" w:lineRule="auto"/>
              <w:jc w:val="center"/>
              <w:rPr>
                <w:rFonts w:ascii="Arial" w:hAnsi="Arial" w:cs="Arial"/>
                <w:b/>
              </w:rPr>
            </w:pPr>
            <w:r>
              <w:rPr>
                <w:rFonts w:ascii="Arial" w:hAnsi="Arial" w:cs="Arial"/>
                <w:b/>
              </w:rPr>
              <w:t>Step</w:t>
            </w:r>
          </w:p>
        </w:tc>
        <w:tc>
          <w:tcPr>
            <w:tcW w:w="3685" w:type="dxa"/>
            <w:tcBorders>
              <w:top w:val="single" w:sz="12" w:space="0" w:color="auto"/>
              <w:bottom w:val="single" w:sz="24" w:space="0" w:color="auto"/>
            </w:tcBorders>
            <w:vAlign w:val="center"/>
          </w:tcPr>
          <w:p w14:paraId="3129EB79" w14:textId="77777777" w:rsidR="00B95DFA" w:rsidRDefault="00B95DFA" w:rsidP="00CE3A37">
            <w:pPr>
              <w:spacing w:line="360" w:lineRule="auto"/>
              <w:jc w:val="center"/>
              <w:rPr>
                <w:rFonts w:ascii="Arial" w:hAnsi="Arial" w:cs="Arial"/>
                <w:b/>
              </w:rPr>
            </w:pPr>
            <w:r>
              <w:rPr>
                <w:rFonts w:ascii="Arial" w:hAnsi="Arial" w:cs="Arial"/>
                <w:b/>
              </w:rPr>
              <w:t>Procedure</w:t>
            </w:r>
          </w:p>
        </w:tc>
        <w:tc>
          <w:tcPr>
            <w:tcW w:w="1270" w:type="dxa"/>
            <w:tcBorders>
              <w:top w:val="single" w:sz="12" w:space="0" w:color="auto"/>
              <w:bottom w:val="single" w:sz="24" w:space="0" w:color="auto"/>
            </w:tcBorders>
            <w:vAlign w:val="center"/>
          </w:tcPr>
          <w:p w14:paraId="303B5866" w14:textId="77777777" w:rsidR="00B95DFA" w:rsidRDefault="00B95DFA" w:rsidP="00CE3A37">
            <w:pPr>
              <w:spacing w:line="360" w:lineRule="auto"/>
              <w:jc w:val="center"/>
              <w:rPr>
                <w:rFonts w:ascii="Arial" w:hAnsi="Arial" w:cs="Arial"/>
                <w:b/>
              </w:rPr>
            </w:pPr>
            <w:r>
              <w:rPr>
                <w:rFonts w:ascii="Arial" w:hAnsi="Arial" w:cs="Arial"/>
                <w:b/>
              </w:rPr>
              <w:t>Temp</w:t>
            </w:r>
          </w:p>
        </w:tc>
        <w:tc>
          <w:tcPr>
            <w:tcW w:w="857" w:type="dxa"/>
            <w:tcBorders>
              <w:top w:val="single" w:sz="12" w:space="0" w:color="auto"/>
              <w:bottom w:val="single" w:sz="24" w:space="0" w:color="auto"/>
            </w:tcBorders>
            <w:vAlign w:val="center"/>
          </w:tcPr>
          <w:p w14:paraId="6FBB19EB" w14:textId="77777777" w:rsidR="00B95DFA" w:rsidRDefault="00B95DFA" w:rsidP="00CE3A37">
            <w:pPr>
              <w:spacing w:line="360" w:lineRule="auto"/>
              <w:jc w:val="center"/>
              <w:rPr>
                <w:rFonts w:ascii="Arial" w:hAnsi="Arial" w:cs="Arial"/>
                <w:b/>
              </w:rPr>
            </w:pPr>
            <w:r>
              <w:rPr>
                <w:rFonts w:ascii="Arial" w:hAnsi="Arial" w:cs="Arial"/>
                <w:b/>
              </w:rPr>
              <w:t>Time</w:t>
            </w:r>
          </w:p>
        </w:tc>
        <w:tc>
          <w:tcPr>
            <w:tcW w:w="833" w:type="dxa"/>
            <w:tcBorders>
              <w:top w:val="single" w:sz="12" w:space="0" w:color="auto"/>
              <w:bottom w:val="single" w:sz="24" w:space="0" w:color="auto"/>
            </w:tcBorders>
            <w:vAlign w:val="center"/>
          </w:tcPr>
          <w:p w14:paraId="77DE368B" w14:textId="77777777" w:rsidR="00B95DFA" w:rsidRDefault="00B95DFA" w:rsidP="00CE3A37">
            <w:pPr>
              <w:spacing w:line="360" w:lineRule="auto"/>
              <w:jc w:val="center"/>
              <w:rPr>
                <w:rFonts w:ascii="Arial" w:hAnsi="Arial" w:cs="Arial"/>
                <w:b/>
              </w:rPr>
            </w:pPr>
            <w:r>
              <w:rPr>
                <w:rFonts w:ascii="Arial" w:hAnsi="Arial" w:cs="Arial"/>
                <w:b/>
              </w:rPr>
              <w:t>Done</w:t>
            </w:r>
          </w:p>
        </w:tc>
        <w:tc>
          <w:tcPr>
            <w:tcW w:w="816" w:type="dxa"/>
            <w:tcBorders>
              <w:top w:val="single" w:sz="12" w:space="0" w:color="auto"/>
              <w:bottom w:val="single" w:sz="24" w:space="0" w:color="auto"/>
            </w:tcBorders>
            <w:vAlign w:val="center"/>
          </w:tcPr>
          <w:p w14:paraId="22DF5B2C" w14:textId="77777777" w:rsidR="00B95DFA" w:rsidRDefault="00B95DFA" w:rsidP="00CE3A37">
            <w:pPr>
              <w:spacing w:line="360" w:lineRule="auto"/>
              <w:jc w:val="center"/>
              <w:rPr>
                <w:rFonts w:ascii="Arial" w:hAnsi="Arial" w:cs="Arial"/>
                <w:b/>
              </w:rPr>
            </w:pPr>
            <w:r>
              <w:rPr>
                <w:rFonts w:ascii="Arial" w:hAnsi="Arial" w:cs="Arial"/>
                <w:b/>
              </w:rPr>
              <w:t>Done</w:t>
            </w:r>
          </w:p>
        </w:tc>
        <w:tc>
          <w:tcPr>
            <w:tcW w:w="816" w:type="dxa"/>
            <w:tcBorders>
              <w:top w:val="single" w:sz="12" w:space="0" w:color="auto"/>
              <w:bottom w:val="single" w:sz="24" w:space="0" w:color="auto"/>
              <w:right w:val="single" w:sz="18" w:space="0" w:color="auto"/>
            </w:tcBorders>
            <w:vAlign w:val="center"/>
          </w:tcPr>
          <w:p w14:paraId="6DB97761" w14:textId="77777777" w:rsidR="00B95DFA" w:rsidRDefault="00B95DFA" w:rsidP="00CE3A37">
            <w:pPr>
              <w:spacing w:line="360" w:lineRule="auto"/>
              <w:jc w:val="center"/>
              <w:rPr>
                <w:rFonts w:ascii="Arial" w:hAnsi="Arial" w:cs="Arial"/>
                <w:b/>
              </w:rPr>
            </w:pPr>
            <w:r>
              <w:rPr>
                <w:rFonts w:ascii="Arial" w:hAnsi="Arial" w:cs="Arial"/>
                <w:b/>
              </w:rPr>
              <w:t>Done</w:t>
            </w:r>
          </w:p>
        </w:tc>
      </w:tr>
      <w:tr w:rsidR="00B95DFA" w14:paraId="5D669FF4" w14:textId="77777777" w:rsidTr="00CE3A37">
        <w:trPr>
          <w:trHeight w:val="298"/>
        </w:trPr>
        <w:tc>
          <w:tcPr>
            <w:tcW w:w="959" w:type="dxa"/>
            <w:tcBorders>
              <w:top w:val="single" w:sz="2" w:space="0" w:color="auto"/>
              <w:left w:val="single" w:sz="18" w:space="0" w:color="auto"/>
            </w:tcBorders>
            <w:vAlign w:val="bottom"/>
          </w:tcPr>
          <w:p w14:paraId="665B5B51"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1</w:t>
            </w:r>
          </w:p>
        </w:tc>
        <w:tc>
          <w:tcPr>
            <w:tcW w:w="3685" w:type="dxa"/>
            <w:tcBorders>
              <w:top w:val="single" w:sz="2" w:space="0" w:color="auto"/>
            </w:tcBorders>
            <w:vAlign w:val="center"/>
          </w:tcPr>
          <w:p w14:paraId="59CB1E3F" w14:textId="77777777" w:rsidR="00B95DFA" w:rsidRPr="001635AD" w:rsidRDefault="00B95DFA" w:rsidP="00CE3A37">
            <w:pPr>
              <w:rPr>
                <w:rFonts w:ascii="Arial" w:hAnsi="Arial" w:cs="Arial"/>
                <w:sz w:val="22"/>
                <w:szCs w:val="22"/>
              </w:rPr>
            </w:pPr>
            <w:r>
              <w:rPr>
                <w:rFonts w:ascii="Arial" w:hAnsi="Arial" w:cs="Arial"/>
                <w:sz w:val="22"/>
                <w:szCs w:val="22"/>
              </w:rPr>
              <w:t>Thaw Mouse sera and mix</w:t>
            </w:r>
            <w:r w:rsidRPr="001635AD">
              <w:rPr>
                <w:rFonts w:ascii="Arial" w:hAnsi="Arial" w:cs="Arial"/>
                <w:sz w:val="22"/>
                <w:szCs w:val="22"/>
              </w:rPr>
              <w:t xml:space="preserve"> well </w:t>
            </w:r>
          </w:p>
        </w:tc>
        <w:tc>
          <w:tcPr>
            <w:tcW w:w="1270" w:type="dxa"/>
            <w:tcBorders>
              <w:top w:val="single" w:sz="2" w:space="0" w:color="auto"/>
            </w:tcBorders>
            <w:vAlign w:val="bottom"/>
          </w:tcPr>
          <w:p w14:paraId="60543F56" w14:textId="77777777" w:rsidR="00B95DFA" w:rsidRPr="001635AD" w:rsidRDefault="00B95DFA" w:rsidP="00CE3A37">
            <w:pPr>
              <w:spacing w:line="360" w:lineRule="auto"/>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tcBorders>
              <w:top w:val="single" w:sz="2" w:space="0" w:color="auto"/>
            </w:tcBorders>
            <w:vAlign w:val="bottom"/>
          </w:tcPr>
          <w:p w14:paraId="1B0EA807" w14:textId="77777777" w:rsidR="00B95DFA" w:rsidRPr="001635AD" w:rsidRDefault="00B95DFA" w:rsidP="00CE3A37">
            <w:pPr>
              <w:spacing w:line="360" w:lineRule="auto"/>
              <w:jc w:val="center"/>
              <w:rPr>
                <w:rFonts w:ascii="Arial" w:hAnsi="Arial" w:cs="Arial"/>
                <w:sz w:val="22"/>
                <w:szCs w:val="22"/>
              </w:rPr>
            </w:pPr>
            <w:r>
              <w:rPr>
                <w:rFonts w:ascii="Arial" w:hAnsi="Arial" w:cs="Arial"/>
                <w:sz w:val="22"/>
                <w:szCs w:val="22"/>
              </w:rPr>
              <w:t>1</w:t>
            </w:r>
            <w:r w:rsidRPr="001635AD">
              <w:rPr>
                <w:rFonts w:ascii="Arial" w:hAnsi="Arial" w:cs="Arial"/>
                <w:sz w:val="22"/>
                <w:szCs w:val="22"/>
              </w:rPr>
              <w:t>h</w:t>
            </w:r>
            <w:r>
              <w:rPr>
                <w:rFonts w:ascii="Arial" w:hAnsi="Arial" w:cs="Arial"/>
                <w:sz w:val="22"/>
                <w:szCs w:val="22"/>
              </w:rPr>
              <w:t>our</w:t>
            </w:r>
          </w:p>
        </w:tc>
        <w:tc>
          <w:tcPr>
            <w:tcW w:w="833" w:type="dxa"/>
            <w:tcBorders>
              <w:top w:val="single" w:sz="2" w:space="0" w:color="auto"/>
            </w:tcBorders>
          </w:tcPr>
          <w:p w14:paraId="1C50C998" w14:textId="77777777" w:rsidR="00B95DFA" w:rsidRPr="001635AD" w:rsidRDefault="00B95DFA" w:rsidP="00CE3A37">
            <w:pPr>
              <w:spacing w:line="480" w:lineRule="auto"/>
              <w:jc w:val="center"/>
              <w:rPr>
                <w:rFonts w:ascii="Arial" w:hAnsi="Arial" w:cs="Arial"/>
                <w:b/>
                <w:sz w:val="22"/>
                <w:szCs w:val="22"/>
              </w:rPr>
            </w:pPr>
          </w:p>
        </w:tc>
        <w:tc>
          <w:tcPr>
            <w:tcW w:w="816" w:type="dxa"/>
            <w:tcBorders>
              <w:top w:val="single" w:sz="2" w:space="0" w:color="auto"/>
            </w:tcBorders>
          </w:tcPr>
          <w:p w14:paraId="625296C5" w14:textId="77777777" w:rsidR="00B95DFA" w:rsidRPr="001635AD" w:rsidRDefault="00B95DFA" w:rsidP="00CE3A37">
            <w:pPr>
              <w:spacing w:line="480" w:lineRule="auto"/>
              <w:jc w:val="center"/>
              <w:rPr>
                <w:rFonts w:ascii="Arial" w:hAnsi="Arial" w:cs="Arial"/>
                <w:b/>
                <w:sz w:val="22"/>
                <w:szCs w:val="22"/>
              </w:rPr>
            </w:pPr>
          </w:p>
        </w:tc>
        <w:tc>
          <w:tcPr>
            <w:tcW w:w="816" w:type="dxa"/>
            <w:tcBorders>
              <w:top w:val="single" w:sz="2" w:space="0" w:color="auto"/>
              <w:right w:val="single" w:sz="18" w:space="0" w:color="auto"/>
            </w:tcBorders>
          </w:tcPr>
          <w:p w14:paraId="156EF982" w14:textId="77777777" w:rsidR="00B95DFA" w:rsidRPr="001635AD" w:rsidRDefault="00B95DFA" w:rsidP="00CE3A37">
            <w:pPr>
              <w:spacing w:line="480" w:lineRule="auto"/>
              <w:jc w:val="center"/>
              <w:rPr>
                <w:rFonts w:ascii="Arial" w:hAnsi="Arial" w:cs="Arial"/>
                <w:b/>
                <w:sz w:val="22"/>
                <w:szCs w:val="22"/>
              </w:rPr>
            </w:pPr>
          </w:p>
        </w:tc>
      </w:tr>
      <w:tr w:rsidR="00B95DFA" w14:paraId="4FF8E95B" w14:textId="77777777" w:rsidTr="00CE3A37">
        <w:tc>
          <w:tcPr>
            <w:tcW w:w="959" w:type="dxa"/>
            <w:tcBorders>
              <w:left w:val="single" w:sz="18" w:space="0" w:color="auto"/>
            </w:tcBorders>
            <w:vAlign w:val="bottom"/>
          </w:tcPr>
          <w:p w14:paraId="45134887"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2</w:t>
            </w:r>
          </w:p>
        </w:tc>
        <w:tc>
          <w:tcPr>
            <w:tcW w:w="3685" w:type="dxa"/>
          </w:tcPr>
          <w:p w14:paraId="0FD24AAC" w14:textId="77777777" w:rsidR="00B95DFA" w:rsidRPr="005E3D20" w:rsidRDefault="00B95DFA" w:rsidP="00CE3A37">
            <w:pPr>
              <w:rPr>
                <w:rFonts w:ascii="Arial" w:hAnsi="Arial" w:cs="Arial"/>
                <w:b/>
                <w:sz w:val="22"/>
                <w:szCs w:val="22"/>
              </w:rPr>
            </w:pPr>
            <w:r w:rsidRPr="005E3D20">
              <w:rPr>
                <w:rFonts w:ascii="Arial" w:hAnsi="Arial" w:cs="Arial"/>
                <w:b/>
                <w:sz w:val="22"/>
                <w:szCs w:val="22"/>
              </w:rPr>
              <w:t>Prepare 1x Enzyme conjugate:</w:t>
            </w:r>
          </w:p>
          <w:p w14:paraId="118763FB" w14:textId="77777777" w:rsidR="00B95DFA" w:rsidRDefault="00B95DFA" w:rsidP="00CE3A37">
            <w:pPr>
              <w:rPr>
                <w:rFonts w:ascii="Arial" w:hAnsi="Arial" w:cs="Arial"/>
                <w:sz w:val="22"/>
                <w:szCs w:val="22"/>
              </w:rPr>
            </w:pPr>
            <w:r>
              <w:rPr>
                <w:rFonts w:ascii="Arial" w:hAnsi="Arial" w:cs="Arial"/>
                <w:sz w:val="22"/>
                <w:szCs w:val="22"/>
              </w:rPr>
              <w:t>0.5ml 20x Enzyme c</w:t>
            </w:r>
            <w:r w:rsidRPr="00005E19">
              <w:rPr>
                <w:rFonts w:ascii="Arial" w:hAnsi="Arial" w:cs="Arial"/>
                <w:sz w:val="22"/>
                <w:szCs w:val="22"/>
              </w:rPr>
              <w:t>onjugate</w:t>
            </w:r>
            <w:r>
              <w:rPr>
                <w:rFonts w:ascii="Arial" w:hAnsi="Arial" w:cs="Arial"/>
                <w:sz w:val="22"/>
                <w:szCs w:val="22"/>
              </w:rPr>
              <w:t xml:space="preserve"> in </w:t>
            </w:r>
          </w:p>
          <w:p w14:paraId="12135034" w14:textId="77777777" w:rsidR="00B95DFA" w:rsidRPr="005E3D20" w:rsidRDefault="00B95DFA" w:rsidP="00CE3A37">
            <w:pPr>
              <w:rPr>
                <w:rFonts w:ascii="Arial" w:hAnsi="Arial" w:cs="Arial"/>
                <w:b/>
                <w:sz w:val="22"/>
                <w:szCs w:val="22"/>
              </w:rPr>
            </w:pPr>
            <w:r>
              <w:rPr>
                <w:rFonts w:ascii="Arial" w:hAnsi="Arial" w:cs="Arial"/>
                <w:sz w:val="22"/>
                <w:szCs w:val="22"/>
              </w:rPr>
              <w:t>9.5ml assay diluent</w:t>
            </w:r>
          </w:p>
        </w:tc>
        <w:tc>
          <w:tcPr>
            <w:tcW w:w="1270" w:type="dxa"/>
            <w:vAlign w:val="bottom"/>
          </w:tcPr>
          <w:p w14:paraId="09F8A154"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2251BD1A"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5</w:t>
            </w:r>
            <w:r w:rsidRPr="005B164A">
              <w:rPr>
                <w:rFonts w:ascii="Arial" w:hAnsi="Arial" w:cs="Arial"/>
                <w:sz w:val="22"/>
                <w:szCs w:val="22"/>
              </w:rPr>
              <w:t>min</w:t>
            </w:r>
          </w:p>
        </w:tc>
        <w:tc>
          <w:tcPr>
            <w:tcW w:w="833" w:type="dxa"/>
          </w:tcPr>
          <w:p w14:paraId="34D06104" w14:textId="77777777" w:rsidR="00B95DFA" w:rsidRPr="001635AD" w:rsidRDefault="00B95DFA" w:rsidP="00CE3A37">
            <w:pPr>
              <w:spacing w:line="480" w:lineRule="auto"/>
              <w:jc w:val="center"/>
              <w:rPr>
                <w:rFonts w:ascii="Arial" w:hAnsi="Arial" w:cs="Arial"/>
                <w:b/>
                <w:sz w:val="22"/>
                <w:szCs w:val="22"/>
              </w:rPr>
            </w:pPr>
          </w:p>
        </w:tc>
        <w:tc>
          <w:tcPr>
            <w:tcW w:w="816" w:type="dxa"/>
          </w:tcPr>
          <w:p w14:paraId="3926B6BD"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1D3D33CC" w14:textId="77777777" w:rsidR="00B95DFA" w:rsidRPr="001635AD" w:rsidRDefault="00B95DFA" w:rsidP="00CE3A37">
            <w:pPr>
              <w:spacing w:line="480" w:lineRule="auto"/>
              <w:jc w:val="center"/>
              <w:rPr>
                <w:rFonts w:ascii="Arial" w:hAnsi="Arial" w:cs="Arial"/>
                <w:b/>
                <w:sz w:val="22"/>
                <w:szCs w:val="22"/>
              </w:rPr>
            </w:pPr>
          </w:p>
        </w:tc>
      </w:tr>
      <w:tr w:rsidR="00B95DFA" w14:paraId="5EB80079" w14:textId="77777777" w:rsidTr="00CE3A37">
        <w:tc>
          <w:tcPr>
            <w:tcW w:w="959" w:type="dxa"/>
            <w:tcBorders>
              <w:left w:val="single" w:sz="18" w:space="0" w:color="auto"/>
            </w:tcBorders>
            <w:vAlign w:val="bottom"/>
          </w:tcPr>
          <w:p w14:paraId="1B1D3681"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3</w:t>
            </w:r>
          </w:p>
        </w:tc>
        <w:tc>
          <w:tcPr>
            <w:tcW w:w="3685" w:type="dxa"/>
          </w:tcPr>
          <w:p w14:paraId="4AC0C2A9" w14:textId="77777777" w:rsidR="00B95DFA" w:rsidRDefault="00B95DFA" w:rsidP="00CE3A37">
            <w:pPr>
              <w:rPr>
                <w:rFonts w:ascii="Arial" w:hAnsi="Arial" w:cs="Arial"/>
                <w:b/>
                <w:sz w:val="22"/>
                <w:szCs w:val="22"/>
              </w:rPr>
            </w:pPr>
            <w:r w:rsidRPr="005E3D20">
              <w:rPr>
                <w:rFonts w:ascii="Arial" w:hAnsi="Arial" w:cs="Arial"/>
                <w:b/>
                <w:sz w:val="22"/>
                <w:szCs w:val="22"/>
              </w:rPr>
              <w:t xml:space="preserve">Prepare 1x </w:t>
            </w:r>
            <w:r>
              <w:rPr>
                <w:rFonts w:ascii="Arial" w:hAnsi="Arial" w:cs="Arial"/>
                <w:b/>
                <w:sz w:val="22"/>
                <w:szCs w:val="22"/>
              </w:rPr>
              <w:t>wash buffer</w:t>
            </w:r>
            <w:r w:rsidRPr="005E3D20">
              <w:rPr>
                <w:rFonts w:ascii="Arial" w:hAnsi="Arial" w:cs="Arial"/>
                <w:b/>
                <w:sz w:val="22"/>
                <w:szCs w:val="22"/>
              </w:rPr>
              <w:t>:</w:t>
            </w:r>
          </w:p>
          <w:p w14:paraId="5FF8B864" w14:textId="77777777" w:rsidR="00B95DFA" w:rsidRPr="005E3D20" w:rsidRDefault="00B95DFA" w:rsidP="00CE3A37">
            <w:pPr>
              <w:rPr>
                <w:rFonts w:ascii="Arial" w:hAnsi="Arial" w:cs="Arial"/>
                <w:b/>
                <w:sz w:val="22"/>
                <w:szCs w:val="22"/>
              </w:rPr>
            </w:pPr>
            <w:r>
              <w:rPr>
                <w:rFonts w:ascii="Arial" w:hAnsi="Arial" w:cs="Arial"/>
                <w:sz w:val="22"/>
                <w:szCs w:val="22"/>
              </w:rPr>
              <w:t>25ml 20x w</w:t>
            </w:r>
            <w:r w:rsidRPr="00581E73">
              <w:rPr>
                <w:rFonts w:ascii="Arial" w:hAnsi="Arial" w:cs="Arial"/>
                <w:sz w:val="22"/>
                <w:szCs w:val="22"/>
              </w:rPr>
              <w:t>ash concentrate</w:t>
            </w:r>
            <w:r>
              <w:rPr>
                <w:rFonts w:ascii="Arial" w:hAnsi="Arial" w:cs="Arial"/>
                <w:sz w:val="22"/>
                <w:szCs w:val="22"/>
              </w:rPr>
              <w:t xml:space="preserve"> in 475ml distilled water</w:t>
            </w:r>
          </w:p>
        </w:tc>
        <w:tc>
          <w:tcPr>
            <w:tcW w:w="1270" w:type="dxa"/>
            <w:vAlign w:val="bottom"/>
          </w:tcPr>
          <w:p w14:paraId="63C6BCDA"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5A47DFF2"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5</w:t>
            </w:r>
            <w:r w:rsidRPr="005B164A">
              <w:rPr>
                <w:rFonts w:ascii="Arial" w:hAnsi="Arial" w:cs="Arial"/>
                <w:sz w:val="22"/>
                <w:szCs w:val="22"/>
              </w:rPr>
              <w:t>min</w:t>
            </w:r>
          </w:p>
        </w:tc>
        <w:tc>
          <w:tcPr>
            <w:tcW w:w="833" w:type="dxa"/>
          </w:tcPr>
          <w:p w14:paraId="12671E35" w14:textId="77777777" w:rsidR="00B95DFA" w:rsidRPr="001635AD" w:rsidRDefault="00B95DFA" w:rsidP="00CE3A37">
            <w:pPr>
              <w:spacing w:line="480" w:lineRule="auto"/>
              <w:jc w:val="center"/>
              <w:rPr>
                <w:rFonts w:ascii="Arial" w:hAnsi="Arial" w:cs="Arial"/>
                <w:b/>
                <w:sz w:val="22"/>
                <w:szCs w:val="22"/>
              </w:rPr>
            </w:pPr>
          </w:p>
        </w:tc>
        <w:tc>
          <w:tcPr>
            <w:tcW w:w="816" w:type="dxa"/>
          </w:tcPr>
          <w:p w14:paraId="18FEA22F"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7BA0B120" w14:textId="77777777" w:rsidR="00B95DFA" w:rsidRPr="001635AD" w:rsidRDefault="00B95DFA" w:rsidP="00CE3A37">
            <w:pPr>
              <w:spacing w:line="480" w:lineRule="auto"/>
              <w:jc w:val="center"/>
              <w:rPr>
                <w:rFonts w:ascii="Arial" w:hAnsi="Arial" w:cs="Arial"/>
                <w:b/>
                <w:sz w:val="22"/>
                <w:szCs w:val="22"/>
              </w:rPr>
            </w:pPr>
          </w:p>
        </w:tc>
      </w:tr>
      <w:tr w:rsidR="00B95DFA" w14:paraId="4AA8DF4E" w14:textId="77777777" w:rsidTr="00CE3A37">
        <w:tc>
          <w:tcPr>
            <w:tcW w:w="959" w:type="dxa"/>
            <w:tcBorders>
              <w:left w:val="single" w:sz="18" w:space="0" w:color="auto"/>
            </w:tcBorders>
            <w:vAlign w:val="bottom"/>
          </w:tcPr>
          <w:p w14:paraId="53F718DE"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4</w:t>
            </w:r>
          </w:p>
        </w:tc>
        <w:tc>
          <w:tcPr>
            <w:tcW w:w="3685" w:type="dxa"/>
            <w:vAlign w:val="center"/>
          </w:tcPr>
          <w:p w14:paraId="4981E09A" w14:textId="77777777" w:rsidR="00B95DFA" w:rsidRPr="005E3D20" w:rsidRDefault="00B95DFA" w:rsidP="00CE3A37">
            <w:pPr>
              <w:rPr>
                <w:rFonts w:ascii="Arial" w:hAnsi="Arial" w:cs="Arial"/>
                <w:b/>
                <w:sz w:val="22"/>
                <w:szCs w:val="22"/>
              </w:rPr>
            </w:pPr>
            <w:r w:rsidRPr="00487D87">
              <w:rPr>
                <w:rFonts w:ascii="Arial" w:hAnsi="Arial" w:cs="Arial"/>
                <w:sz w:val="22"/>
                <w:szCs w:val="22"/>
              </w:rPr>
              <w:t xml:space="preserve">Place </w:t>
            </w:r>
            <w:r>
              <w:rPr>
                <w:rFonts w:ascii="Arial" w:hAnsi="Arial" w:cs="Arial"/>
                <w:sz w:val="22"/>
                <w:szCs w:val="22"/>
              </w:rPr>
              <w:t>coated strips into the holder</w:t>
            </w:r>
          </w:p>
        </w:tc>
        <w:tc>
          <w:tcPr>
            <w:tcW w:w="1270" w:type="dxa"/>
            <w:vAlign w:val="bottom"/>
          </w:tcPr>
          <w:p w14:paraId="169259A0"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07851543" w14:textId="77777777" w:rsidR="00B95DFA" w:rsidRPr="005B164A" w:rsidRDefault="00B95DFA" w:rsidP="00CE3A37">
            <w:pPr>
              <w:spacing w:line="360" w:lineRule="auto"/>
              <w:jc w:val="center"/>
              <w:rPr>
                <w:rFonts w:ascii="Arial" w:hAnsi="Arial" w:cs="Arial"/>
                <w:sz w:val="22"/>
                <w:szCs w:val="22"/>
              </w:rPr>
            </w:pPr>
          </w:p>
        </w:tc>
        <w:tc>
          <w:tcPr>
            <w:tcW w:w="833" w:type="dxa"/>
          </w:tcPr>
          <w:p w14:paraId="178D5F6B" w14:textId="77777777" w:rsidR="00B95DFA" w:rsidRPr="001635AD" w:rsidRDefault="00B95DFA" w:rsidP="00CE3A37">
            <w:pPr>
              <w:spacing w:line="480" w:lineRule="auto"/>
              <w:jc w:val="center"/>
              <w:rPr>
                <w:rFonts w:ascii="Arial" w:hAnsi="Arial" w:cs="Arial"/>
                <w:b/>
                <w:sz w:val="22"/>
                <w:szCs w:val="22"/>
              </w:rPr>
            </w:pPr>
          </w:p>
        </w:tc>
        <w:tc>
          <w:tcPr>
            <w:tcW w:w="816" w:type="dxa"/>
          </w:tcPr>
          <w:p w14:paraId="25924891"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77F69B18" w14:textId="77777777" w:rsidR="00B95DFA" w:rsidRPr="001635AD" w:rsidRDefault="00B95DFA" w:rsidP="00CE3A37">
            <w:pPr>
              <w:spacing w:line="480" w:lineRule="auto"/>
              <w:jc w:val="center"/>
              <w:rPr>
                <w:rFonts w:ascii="Arial" w:hAnsi="Arial" w:cs="Arial"/>
                <w:b/>
                <w:sz w:val="22"/>
                <w:szCs w:val="22"/>
              </w:rPr>
            </w:pPr>
          </w:p>
        </w:tc>
      </w:tr>
      <w:tr w:rsidR="00B95DFA" w14:paraId="2944852C" w14:textId="77777777" w:rsidTr="00CE3A37">
        <w:tc>
          <w:tcPr>
            <w:tcW w:w="959" w:type="dxa"/>
            <w:tcBorders>
              <w:left w:val="single" w:sz="18" w:space="0" w:color="auto"/>
            </w:tcBorders>
            <w:vAlign w:val="bottom"/>
          </w:tcPr>
          <w:p w14:paraId="4B8B8947"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5</w:t>
            </w:r>
          </w:p>
        </w:tc>
        <w:tc>
          <w:tcPr>
            <w:tcW w:w="3685" w:type="dxa"/>
          </w:tcPr>
          <w:p w14:paraId="431E4FBF" w14:textId="77777777" w:rsidR="00B95DFA" w:rsidRPr="005E3D20" w:rsidRDefault="00B95DFA" w:rsidP="00CE3A37">
            <w:pPr>
              <w:rPr>
                <w:rFonts w:ascii="Arial" w:hAnsi="Arial" w:cs="Arial"/>
                <w:b/>
                <w:sz w:val="22"/>
                <w:szCs w:val="22"/>
              </w:rPr>
            </w:pPr>
            <w:r>
              <w:rPr>
                <w:rFonts w:ascii="Arial" w:hAnsi="Arial" w:cs="Arial"/>
                <w:sz w:val="22"/>
                <w:szCs w:val="22"/>
              </w:rPr>
              <w:t>Pip</w:t>
            </w:r>
            <w:r w:rsidRPr="00874ECF">
              <w:rPr>
                <w:rFonts w:ascii="Arial" w:hAnsi="Arial" w:cs="Arial"/>
                <w:sz w:val="22"/>
                <w:szCs w:val="22"/>
              </w:rPr>
              <w:t>et</w:t>
            </w:r>
            <w:r>
              <w:rPr>
                <w:rFonts w:ascii="Arial" w:hAnsi="Arial" w:cs="Arial"/>
                <w:sz w:val="22"/>
                <w:szCs w:val="22"/>
              </w:rPr>
              <w:t>t</w:t>
            </w:r>
            <w:r w:rsidRPr="00874ECF">
              <w:rPr>
                <w:rFonts w:ascii="Arial" w:hAnsi="Arial" w:cs="Arial"/>
                <w:sz w:val="22"/>
                <w:szCs w:val="22"/>
              </w:rPr>
              <w:t>e</w:t>
            </w:r>
            <w:r>
              <w:rPr>
                <w:rFonts w:ascii="Arial" w:hAnsi="Arial" w:cs="Arial"/>
                <w:sz w:val="22"/>
                <w:szCs w:val="22"/>
              </w:rPr>
              <w:t xml:space="preserve"> 25μl cortisol standard, 25μl control, 25μl mouse serum to wells</w:t>
            </w:r>
          </w:p>
        </w:tc>
        <w:tc>
          <w:tcPr>
            <w:tcW w:w="1270" w:type="dxa"/>
            <w:vAlign w:val="bottom"/>
          </w:tcPr>
          <w:p w14:paraId="7CE61BE3"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22C8DAF0"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5</w:t>
            </w:r>
            <w:r w:rsidRPr="005B164A">
              <w:rPr>
                <w:rFonts w:ascii="Arial" w:hAnsi="Arial" w:cs="Arial"/>
                <w:sz w:val="22"/>
                <w:szCs w:val="22"/>
              </w:rPr>
              <w:t>min</w:t>
            </w:r>
          </w:p>
        </w:tc>
        <w:tc>
          <w:tcPr>
            <w:tcW w:w="833" w:type="dxa"/>
          </w:tcPr>
          <w:p w14:paraId="0E83EC40" w14:textId="77777777" w:rsidR="00B95DFA" w:rsidRPr="001635AD" w:rsidRDefault="00B95DFA" w:rsidP="00CE3A37">
            <w:pPr>
              <w:spacing w:line="480" w:lineRule="auto"/>
              <w:jc w:val="center"/>
              <w:rPr>
                <w:rFonts w:ascii="Arial" w:hAnsi="Arial" w:cs="Arial"/>
                <w:b/>
                <w:sz w:val="22"/>
                <w:szCs w:val="22"/>
              </w:rPr>
            </w:pPr>
          </w:p>
        </w:tc>
        <w:tc>
          <w:tcPr>
            <w:tcW w:w="816" w:type="dxa"/>
          </w:tcPr>
          <w:p w14:paraId="760B1C87"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2352599C" w14:textId="77777777" w:rsidR="00B95DFA" w:rsidRPr="001635AD" w:rsidRDefault="00B95DFA" w:rsidP="00CE3A37">
            <w:pPr>
              <w:spacing w:line="480" w:lineRule="auto"/>
              <w:jc w:val="center"/>
              <w:rPr>
                <w:rFonts w:ascii="Arial" w:hAnsi="Arial" w:cs="Arial"/>
                <w:b/>
                <w:sz w:val="22"/>
                <w:szCs w:val="22"/>
              </w:rPr>
            </w:pPr>
          </w:p>
        </w:tc>
      </w:tr>
      <w:tr w:rsidR="00B95DFA" w14:paraId="5AB6ADB6" w14:textId="77777777" w:rsidTr="00CE3A37">
        <w:tc>
          <w:tcPr>
            <w:tcW w:w="959" w:type="dxa"/>
            <w:tcBorders>
              <w:left w:val="single" w:sz="18" w:space="0" w:color="auto"/>
            </w:tcBorders>
            <w:vAlign w:val="bottom"/>
          </w:tcPr>
          <w:p w14:paraId="44B5B81C"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6</w:t>
            </w:r>
          </w:p>
        </w:tc>
        <w:tc>
          <w:tcPr>
            <w:tcW w:w="3685" w:type="dxa"/>
          </w:tcPr>
          <w:p w14:paraId="0A64DCD2" w14:textId="77777777" w:rsidR="00B95DFA" w:rsidRPr="005E3D20" w:rsidRDefault="00B95DFA" w:rsidP="00CE3A37">
            <w:pPr>
              <w:rPr>
                <w:rFonts w:ascii="Arial" w:hAnsi="Arial" w:cs="Arial"/>
                <w:b/>
                <w:sz w:val="22"/>
                <w:szCs w:val="22"/>
              </w:rPr>
            </w:pPr>
            <w:r w:rsidRPr="00F327C0">
              <w:rPr>
                <w:rFonts w:ascii="Arial" w:hAnsi="Arial" w:cs="Arial"/>
                <w:sz w:val="22"/>
                <w:szCs w:val="22"/>
              </w:rPr>
              <w:t xml:space="preserve">Add </w:t>
            </w:r>
            <w:r>
              <w:rPr>
                <w:rFonts w:ascii="Arial" w:hAnsi="Arial" w:cs="Arial"/>
                <w:sz w:val="22"/>
                <w:szCs w:val="22"/>
              </w:rPr>
              <w:t>100μl cortisol enzyme conjugate to all wells</w:t>
            </w:r>
          </w:p>
        </w:tc>
        <w:tc>
          <w:tcPr>
            <w:tcW w:w="1270" w:type="dxa"/>
            <w:vAlign w:val="bottom"/>
          </w:tcPr>
          <w:p w14:paraId="5A78252D"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4E3714BA"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5</w:t>
            </w:r>
            <w:r w:rsidRPr="005B164A">
              <w:rPr>
                <w:rFonts w:ascii="Arial" w:hAnsi="Arial" w:cs="Arial"/>
                <w:sz w:val="22"/>
                <w:szCs w:val="22"/>
              </w:rPr>
              <w:t>min</w:t>
            </w:r>
          </w:p>
        </w:tc>
        <w:tc>
          <w:tcPr>
            <w:tcW w:w="833" w:type="dxa"/>
          </w:tcPr>
          <w:p w14:paraId="3222F432" w14:textId="77777777" w:rsidR="00B95DFA" w:rsidRPr="001635AD" w:rsidRDefault="00B95DFA" w:rsidP="00CE3A37">
            <w:pPr>
              <w:spacing w:line="480" w:lineRule="auto"/>
              <w:jc w:val="center"/>
              <w:rPr>
                <w:rFonts w:ascii="Arial" w:hAnsi="Arial" w:cs="Arial"/>
                <w:b/>
                <w:sz w:val="22"/>
                <w:szCs w:val="22"/>
              </w:rPr>
            </w:pPr>
          </w:p>
        </w:tc>
        <w:tc>
          <w:tcPr>
            <w:tcW w:w="816" w:type="dxa"/>
          </w:tcPr>
          <w:p w14:paraId="01FEE6BA"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2AE628C4" w14:textId="77777777" w:rsidR="00B95DFA" w:rsidRPr="001635AD" w:rsidRDefault="00B95DFA" w:rsidP="00CE3A37">
            <w:pPr>
              <w:spacing w:line="480" w:lineRule="auto"/>
              <w:jc w:val="center"/>
              <w:rPr>
                <w:rFonts w:ascii="Arial" w:hAnsi="Arial" w:cs="Arial"/>
                <w:b/>
                <w:sz w:val="22"/>
                <w:szCs w:val="22"/>
              </w:rPr>
            </w:pPr>
          </w:p>
        </w:tc>
      </w:tr>
      <w:tr w:rsidR="00B95DFA" w14:paraId="15DB3BE6" w14:textId="77777777" w:rsidTr="00CE3A37">
        <w:tc>
          <w:tcPr>
            <w:tcW w:w="959" w:type="dxa"/>
            <w:tcBorders>
              <w:left w:val="single" w:sz="18" w:space="0" w:color="auto"/>
            </w:tcBorders>
            <w:vAlign w:val="bottom"/>
          </w:tcPr>
          <w:p w14:paraId="2D330D0A" w14:textId="77777777" w:rsidR="00B95DFA" w:rsidRPr="001635AD" w:rsidRDefault="00B95DFA" w:rsidP="00CE3A37">
            <w:pPr>
              <w:spacing w:line="360" w:lineRule="auto"/>
              <w:jc w:val="center"/>
              <w:rPr>
                <w:rFonts w:ascii="Arial" w:hAnsi="Arial" w:cs="Arial"/>
                <w:b/>
                <w:sz w:val="22"/>
                <w:szCs w:val="22"/>
              </w:rPr>
            </w:pPr>
            <w:r>
              <w:rPr>
                <w:rFonts w:ascii="Arial" w:hAnsi="Arial" w:cs="Arial"/>
                <w:b/>
                <w:sz w:val="22"/>
                <w:szCs w:val="22"/>
              </w:rPr>
              <w:t>7</w:t>
            </w:r>
          </w:p>
        </w:tc>
        <w:tc>
          <w:tcPr>
            <w:tcW w:w="3685" w:type="dxa"/>
            <w:vAlign w:val="bottom"/>
          </w:tcPr>
          <w:p w14:paraId="1A87FE05" w14:textId="77777777" w:rsidR="00B95DFA" w:rsidRPr="00005E19" w:rsidRDefault="00B95DFA" w:rsidP="00CE3A37">
            <w:pPr>
              <w:spacing w:line="360" w:lineRule="auto"/>
              <w:rPr>
                <w:rFonts w:ascii="Arial" w:hAnsi="Arial" w:cs="Arial"/>
                <w:sz w:val="22"/>
                <w:szCs w:val="22"/>
              </w:rPr>
            </w:pPr>
            <w:r>
              <w:rPr>
                <w:rFonts w:ascii="Arial" w:hAnsi="Arial" w:cs="Arial"/>
                <w:sz w:val="22"/>
                <w:szCs w:val="22"/>
              </w:rPr>
              <w:t>Incubate with shaking</w:t>
            </w:r>
          </w:p>
        </w:tc>
        <w:tc>
          <w:tcPr>
            <w:tcW w:w="1270" w:type="dxa"/>
            <w:vAlign w:val="bottom"/>
          </w:tcPr>
          <w:p w14:paraId="6E28C0EF" w14:textId="77777777" w:rsidR="00B95DFA" w:rsidRPr="001635AD" w:rsidRDefault="00B95DFA" w:rsidP="00CE3A37">
            <w:pPr>
              <w:spacing w:line="360" w:lineRule="auto"/>
              <w:jc w:val="center"/>
              <w:rPr>
                <w:rFonts w:ascii="Arial" w:hAnsi="Arial" w:cs="Arial"/>
                <w:b/>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2C7E76BA"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1hour</w:t>
            </w:r>
          </w:p>
        </w:tc>
        <w:tc>
          <w:tcPr>
            <w:tcW w:w="833" w:type="dxa"/>
          </w:tcPr>
          <w:p w14:paraId="0A9D989D" w14:textId="77777777" w:rsidR="00B95DFA" w:rsidRPr="001635AD" w:rsidRDefault="00B95DFA" w:rsidP="00CE3A37">
            <w:pPr>
              <w:spacing w:line="480" w:lineRule="auto"/>
              <w:jc w:val="center"/>
              <w:rPr>
                <w:rFonts w:ascii="Arial" w:hAnsi="Arial" w:cs="Arial"/>
                <w:b/>
                <w:sz w:val="22"/>
                <w:szCs w:val="22"/>
              </w:rPr>
            </w:pPr>
          </w:p>
        </w:tc>
        <w:tc>
          <w:tcPr>
            <w:tcW w:w="816" w:type="dxa"/>
          </w:tcPr>
          <w:p w14:paraId="5AF466BF"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6D169190" w14:textId="77777777" w:rsidR="00B95DFA" w:rsidRPr="001635AD" w:rsidRDefault="00B95DFA" w:rsidP="00CE3A37">
            <w:pPr>
              <w:spacing w:line="480" w:lineRule="auto"/>
              <w:jc w:val="center"/>
              <w:rPr>
                <w:rFonts w:ascii="Arial" w:hAnsi="Arial" w:cs="Arial"/>
                <w:b/>
                <w:sz w:val="22"/>
                <w:szCs w:val="22"/>
              </w:rPr>
            </w:pPr>
          </w:p>
        </w:tc>
      </w:tr>
      <w:tr w:rsidR="00B95DFA" w14:paraId="4BE8C558" w14:textId="77777777" w:rsidTr="00CE3A37">
        <w:tc>
          <w:tcPr>
            <w:tcW w:w="959" w:type="dxa"/>
            <w:tcBorders>
              <w:left w:val="single" w:sz="18" w:space="0" w:color="auto"/>
            </w:tcBorders>
            <w:vAlign w:val="bottom"/>
          </w:tcPr>
          <w:p w14:paraId="1695A054" w14:textId="77777777" w:rsidR="00B95DFA" w:rsidRPr="001635AD" w:rsidRDefault="00B95DFA" w:rsidP="00CE3A37">
            <w:pPr>
              <w:spacing w:line="360" w:lineRule="auto"/>
              <w:jc w:val="center"/>
              <w:rPr>
                <w:rFonts w:ascii="Arial" w:hAnsi="Arial" w:cs="Arial"/>
                <w:b/>
                <w:sz w:val="22"/>
                <w:szCs w:val="22"/>
              </w:rPr>
            </w:pPr>
            <w:r>
              <w:rPr>
                <w:rFonts w:ascii="Arial" w:hAnsi="Arial" w:cs="Arial"/>
                <w:b/>
                <w:sz w:val="22"/>
                <w:szCs w:val="22"/>
              </w:rPr>
              <w:t>8</w:t>
            </w:r>
          </w:p>
        </w:tc>
        <w:tc>
          <w:tcPr>
            <w:tcW w:w="3685" w:type="dxa"/>
          </w:tcPr>
          <w:p w14:paraId="05346BB8" w14:textId="77777777" w:rsidR="00B95DFA" w:rsidRPr="00581E73" w:rsidRDefault="00B95DFA" w:rsidP="00CE3A37">
            <w:pPr>
              <w:rPr>
                <w:rFonts w:ascii="Arial" w:hAnsi="Arial" w:cs="Arial"/>
                <w:sz w:val="22"/>
                <w:szCs w:val="22"/>
              </w:rPr>
            </w:pPr>
            <w:r w:rsidRPr="00C42FEC">
              <w:rPr>
                <w:rFonts w:ascii="Arial" w:hAnsi="Arial" w:cs="Arial"/>
                <w:sz w:val="22"/>
                <w:szCs w:val="22"/>
              </w:rPr>
              <w:t xml:space="preserve">Remove </w:t>
            </w:r>
            <w:r>
              <w:rPr>
                <w:rFonts w:ascii="Arial" w:hAnsi="Arial" w:cs="Arial"/>
                <w:sz w:val="22"/>
                <w:szCs w:val="22"/>
              </w:rPr>
              <w:t xml:space="preserve">liquid, wash the wells (3x) with 300μl 1x wash buffer </w:t>
            </w:r>
          </w:p>
        </w:tc>
        <w:tc>
          <w:tcPr>
            <w:tcW w:w="1270" w:type="dxa"/>
            <w:vAlign w:val="bottom"/>
          </w:tcPr>
          <w:p w14:paraId="471523F8" w14:textId="77777777" w:rsidR="00B95DFA" w:rsidRPr="001635AD" w:rsidRDefault="00B95DFA" w:rsidP="00CE3A37">
            <w:pPr>
              <w:spacing w:line="360" w:lineRule="auto"/>
              <w:jc w:val="center"/>
              <w:rPr>
                <w:rFonts w:ascii="Arial" w:hAnsi="Arial" w:cs="Arial"/>
                <w:b/>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1111CECB" w14:textId="77777777" w:rsidR="00B95DFA" w:rsidRPr="00E53D10" w:rsidRDefault="00B95DFA" w:rsidP="00CE3A37">
            <w:pPr>
              <w:spacing w:line="360" w:lineRule="auto"/>
              <w:jc w:val="center"/>
              <w:rPr>
                <w:rFonts w:ascii="Arial" w:hAnsi="Arial" w:cs="Arial"/>
                <w:sz w:val="22"/>
                <w:szCs w:val="22"/>
              </w:rPr>
            </w:pPr>
            <w:r>
              <w:rPr>
                <w:rFonts w:ascii="Arial" w:hAnsi="Arial" w:cs="Arial"/>
                <w:sz w:val="22"/>
                <w:szCs w:val="22"/>
              </w:rPr>
              <w:t>10</w:t>
            </w:r>
            <w:r w:rsidRPr="00E53D10">
              <w:rPr>
                <w:rFonts w:ascii="Arial" w:hAnsi="Arial" w:cs="Arial"/>
                <w:sz w:val="22"/>
                <w:szCs w:val="22"/>
              </w:rPr>
              <w:t>min</w:t>
            </w:r>
          </w:p>
        </w:tc>
        <w:tc>
          <w:tcPr>
            <w:tcW w:w="833" w:type="dxa"/>
          </w:tcPr>
          <w:p w14:paraId="7336F239" w14:textId="77777777" w:rsidR="00B95DFA" w:rsidRPr="001635AD" w:rsidRDefault="00B95DFA" w:rsidP="00CE3A37">
            <w:pPr>
              <w:spacing w:line="480" w:lineRule="auto"/>
              <w:jc w:val="center"/>
              <w:rPr>
                <w:rFonts w:ascii="Arial" w:hAnsi="Arial" w:cs="Arial"/>
                <w:b/>
                <w:sz w:val="22"/>
                <w:szCs w:val="22"/>
              </w:rPr>
            </w:pPr>
          </w:p>
        </w:tc>
        <w:tc>
          <w:tcPr>
            <w:tcW w:w="816" w:type="dxa"/>
          </w:tcPr>
          <w:p w14:paraId="1DF7628E"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368CA027" w14:textId="77777777" w:rsidR="00B95DFA" w:rsidRPr="001635AD" w:rsidRDefault="00B95DFA" w:rsidP="00CE3A37">
            <w:pPr>
              <w:spacing w:line="480" w:lineRule="auto"/>
              <w:jc w:val="center"/>
              <w:rPr>
                <w:rFonts w:ascii="Arial" w:hAnsi="Arial" w:cs="Arial"/>
                <w:b/>
                <w:sz w:val="22"/>
                <w:szCs w:val="22"/>
              </w:rPr>
            </w:pPr>
          </w:p>
        </w:tc>
      </w:tr>
      <w:tr w:rsidR="00B95DFA" w14:paraId="4806D3D9" w14:textId="77777777" w:rsidTr="00CE3A37">
        <w:tc>
          <w:tcPr>
            <w:tcW w:w="959" w:type="dxa"/>
            <w:tcBorders>
              <w:left w:val="single" w:sz="18" w:space="0" w:color="auto"/>
            </w:tcBorders>
            <w:vAlign w:val="bottom"/>
          </w:tcPr>
          <w:p w14:paraId="3BE79E41" w14:textId="77777777" w:rsidR="00B95DFA" w:rsidRPr="001635AD" w:rsidRDefault="00B95DFA" w:rsidP="00CE3A37">
            <w:pPr>
              <w:spacing w:line="360" w:lineRule="auto"/>
              <w:jc w:val="center"/>
              <w:rPr>
                <w:rFonts w:ascii="Arial" w:hAnsi="Arial" w:cs="Arial"/>
                <w:b/>
                <w:sz w:val="22"/>
                <w:szCs w:val="22"/>
              </w:rPr>
            </w:pPr>
            <w:r>
              <w:rPr>
                <w:rFonts w:ascii="Arial" w:hAnsi="Arial" w:cs="Arial"/>
                <w:b/>
                <w:sz w:val="22"/>
                <w:szCs w:val="22"/>
              </w:rPr>
              <w:t>9</w:t>
            </w:r>
          </w:p>
        </w:tc>
        <w:tc>
          <w:tcPr>
            <w:tcW w:w="3685" w:type="dxa"/>
            <w:vAlign w:val="center"/>
          </w:tcPr>
          <w:p w14:paraId="3FAF02EC" w14:textId="77777777" w:rsidR="00B95DFA" w:rsidRPr="00487D87" w:rsidRDefault="00B95DFA" w:rsidP="00CE3A37">
            <w:pPr>
              <w:spacing w:line="360" w:lineRule="auto"/>
              <w:rPr>
                <w:rFonts w:ascii="Arial" w:hAnsi="Arial" w:cs="Arial"/>
                <w:sz w:val="22"/>
                <w:szCs w:val="22"/>
              </w:rPr>
            </w:pPr>
            <w:r>
              <w:rPr>
                <w:rFonts w:ascii="Arial" w:hAnsi="Arial" w:cs="Arial"/>
                <w:sz w:val="22"/>
                <w:szCs w:val="22"/>
              </w:rPr>
              <w:t>Add</w:t>
            </w:r>
            <w:r w:rsidRPr="00487D87">
              <w:rPr>
                <w:rFonts w:ascii="Arial" w:hAnsi="Arial" w:cs="Arial"/>
                <w:sz w:val="22"/>
                <w:szCs w:val="22"/>
              </w:rPr>
              <w:t xml:space="preserve"> </w:t>
            </w:r>
            <w:r>
              <w:rPr>
                <w:rFonts w:ascii="Arial" w:hAnsi="Arial" w:cs="Arial"/>
                <w:sz w:val="22"/>
                <w:szCs w:val="22"/>
              </w:rPr>
              <w:t>100μl TMB substrate to wells</w:t>
            </w:r>
          </w:p>
        </w:tc>
        <w:tc>
          <w:tcPr>
            <w:tcW w:w="1270" w:type="dxa"/>
            <w:vAlign w:val="bottom"/>
          </w:tcPr>
          <w:p w14:paraId="380FF35F" w14:textId="77777777" w:rsidR="00B95DFA" w:rsidRPr="001635AD" w:rsidRDefault="00B95DFA" w:rsidP="00CE3A37">
            <w:pPr>
              <w:spacing w:line="360" w:lineRule="auto"/>
              <w:jc w:val="center"/>
              <w:rPr>
                <w:rFonts w:ascii="Arial" w:hAnsi="Arial" w:cs="Arial"/>
                <w:b/>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56F862F8" w14:textId="77777777" w:rsidR="00B95DFA" w:rsidRPr="001635AD" w:rsidRDefault="00B95DFA" w:rsidP="00CE3A37">
            <w:pPr>
              <w:spacing w:line="360" w:lineRule="auto"/>
              <w:jc w:val="center"/>
              <w:rPr>
                <w:rFonts w:ascii="Arial" w:hAnsi="Arial" w:cs="Arial"/>
                <w:b/>
                <w:sz w:val="22"/>
                <w:szCs w:val="22"/>
              </w:rPr>
            </w:pPr>
            <w:r>
              <w:rPr>
                <w:rFonts w:ascii="Arial" w:hAnsi="Arial" w:cs="Arial"/>
                <w:sz w:val="22"/>
                <w:szCs w:val="22"/>
              </w:rPr>
              <w:t>5</w:t>
            </w:r>
            <w:r w:rsidRPr="005B164A">
              <w:rPr>
                <w:rFonts w:ascii="Arial" w:hAnsi="Arial" w:cs="Arial"/>
                <w:sz w:val="22"/>
                <w:szCs w:val="22"/>
              </w:rPr>
              <w:t>min</w:t>
            </w:r>
          </w:p>
        </w:tc>
        <w:tc>
          <w:tcPr>
            <w:tcW w:w="833" w:type="dxa"/>
          </w:tcPr>
          <w:p w14:paraId="11F9ADAC" w14:textId="77777777" w:rsidR="00B95DFA" w:rsidRPr="001635AD" w:rsidRDefault="00B95DFA" w:rsidP="00CE3A37">
            <w:pPr>
              <w:spacing w:line="480" w:lineRule="auto"/>
              <w:jc w:val="center"/>
              <w:rPr>
                <w:rFonts w:ascii="Arial" w:hAnsi="Arial" w:cs="Arial"/>
                <w:b/>
                <w:sz w:val="22"/>
                <w:szCs w:val="22"/>
              </w:rPr>
            </w:pPr>
          </w:p>
        </w:tc>
        <w:tc>
          <w:tcPr>
            <w:tcW w:w="816" w:type="dxa"/>
          </w:tcPr>
          <w:p w14:paraId="32885057"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327EDD91" w14:textId="77777777" w:rsidR="00B95DFA" w:rsidRPr="001635AD" w:rsidRDefault="00B95DFA" w:rsidP="00CE3A37">
            <w:pPr>
              <w:spacing w:line="480" w:lineRule="auto"/>
              <w:jc w:val="center"/>
              <w:rPr>
                <w:rFonts w:ascii="Arial" w:hAnsi="Arial" w:cs="Arial"/>
                <w:b/>
                <w:sz w:val="22"/>
                <w:szCs w:val="22"/>
              </w:rPr>
            </w:pPr>
          </w:p>
        </w:tc>
      </w:tr>
      <w:tr w:rsidR="00B95DFA" w14:paraId="3D57A885" w14:textId="77777777" w:rsidTr="00CE3A37">
        <w:tc>
          <w:tcPr>
            <w:tcW w:w="959" w:type="dxa"/>
            <w:tcBorders>
              <w:left w:val="single" w:sz="18" w:space="0" w:color="auto"/>
            </w:tcBorders>
            <w:vAlign w:val="bottom"/>
          </w:tcPr>
          <w:p w14:paraId="48FA134F" w14:textId="77777777" w:rsidR="00B95DFA" w:rsidRPr="001635AD" w:rsidRDefault="00B95DFA" w:rsidP="00CE3A37">
            <w:pPr>
              <w:spacing w:line="360" w:lineRule="auto"/>
              <w:jc w:val="center"/>
              <w:rPr>
                <w:rFonts w:ascii="Arial" w:hAnsi="Arial" w:cs="Arial"/>
                <w:b/>
                <w:sz w:val="22"/>
                <w:szCs w:val="22"/>
              </w:rPr>
            </w:pPr>
            <w:r>
              <w:rPr>
                <w:rFonts w:ascii="Arial" w:hAnsi="Arial" w:cs="Arial"/>
                <w:b/>
                <w:sz w:val="22"/>
                <w:szCs w:val="22"/>
              </w:rPr>
              <w:t>10</w:t>
            </w:r>
          </w:p>
        </w:tc>
        <w:tc>
          <w:tcPr>
            <w:tcW w:w="3685" w:type="dxa"/>
            <w:vAlign w:val="center"/>
          </w:tcPr>
          <w:p w14:paraId="3CC3919F" w14:textId="77777777" w:rsidR="00B95DFA" w:rsidRPr="00874ECF" w:rsidRDefault="00B95DFA" w:rsidP="00CE3A37">
            <w:pPr>
              <w:rPr>
                <w:rFonts w:ascii="Arial" w:hAnsi="Arial" w:cs="Arial"/>
                <w:sz w:val="22"/>
                <w:szCs w:val="22"/>
              </w:rPr>
            </w:pPr>
            <w:r>
              <w:rPr>
                <w:rFonts w:ascii="Arial" w:hAnsi="Arial" w:cs="Arial"/>
                <w:sz w:val="22"/>
                <w:szCs w:val="22"/>
              </w:rPr>
              <w:t>Incubate</w:t>
            </w:r>
          </w:p>
        </w:tc>
        <w:tc>
          <w:tcPr>
            <w:tcW w:w="1270" w:type="dxa"/>
            <w:vAlign w:val="bottom"/>
          </w:tcPr>
          <w:p w14:paraId="35B64506" w14:textId="77777777" w:rsidR="00B95DFA" w:rsidRPr="001635AD" w:rsidRDefault="00B95DFA" w:rsidP="00CE3A37">
            <w:pPr>
              <w:spacing w:line="360" w:lineRule="auto"/>
              <w:jc w:val="center"/>
              <w:rPr>
                <w:rFonts w:ascii="Arial" w:hAnsi="Arial" w:cs="Arial"/>
                <w:b/>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2C82BCDD" w14:textId="77777777" w:rsidR="00B95DFA" w:rsidRPr="001635AD" w:rsidRDefault="00B95DFA" w:rsidP="00CE3A37">
            <w:pPr>
              <w:spacing w:line="360" w:lineRule="auto"/>
              <w:jc w:val="center"/>
              <w:rPr>
                <w:rFonts w:ascii="Arial" w:hAnsi="Arial" w:cs="Arial"/>
                <w:b/>
                <w:sz w:val="22"/>
                <w:szCs w:val="22"/>
              </w:rPr>
            </w:pPr>
            <w:r>
              <w:rPr>
                <w:rFonts w:ascii="Arial" w:hAnsi="Arial" w:cs="Arial"/>
                <w:sz w:val="22"/>
                <w:szCs w:val="22"/>
              </w:rPr>
              <w:t>15</w:t>
            </w:r>
            <w:r w:rsidRPr="005B164A">
              <w:rPr>
                <w:rFonts w:ascii="Arial" w:hAnsi="Arial" w:cs="Arial"/>
                <w:sz w:val="22"/>
                <w:szCs w:val="22"/>
              </w:rPr>
              <w:t>min</w:t>
            </w:r>
          </w:p>
        </w:tc>
        <w:tc>
          <w:tcPr>
            <w:tcW w:w="833" w:type="dxa"/>
          </w:tcPr>
          <w:p w14:paraId="2E944147" w14:textId="77777777" w:rsidR="00B95DFA" w:rsidRPr="001635AD" w:rsidRDefault="00B95DFA" w:rsidP="00CE3A37">
            <w:pPr>
              <w:spacing w:line="480" w:lineRule="auto"/>
              <w:jc w:val="center"/>
              <w:rPr>
                <w:rFonts w:ascii="Arial" w:hAnsi="Arial" w:cs="Arial"/>
                <w:b/>
                <w:sz w:val="22"/>
                <w:szCs w:val="22"/>
              </w:rPr>
            </w:pPr>
          </w:p>
        </w:tc>
        <w:tc>
          <w:tcPr>
            <w:tcW w:w="816" w:type="dxa"/>
          </w:tcPr>
          <w:p w14:paraId="08991637"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73F5F227" w14:textId="77777777" w:rsidR="00B95DFA" w:rsidRPr="001635AD" w:rsidRDefault="00B95DFA" w:rsidP="00CE3A37">
            <w:pPr>
              <w:spacing w:line="480" w:lineRule="auto"/>
              <w:jc w:val="center"/>
              <w:rPr>
                <w:rFonts w:ascii="Arial" w:hAnsi="Arial" w:cs="Arial"/>
                <w:b/>
                <w:sz w:val="22"/>
                <w:szCs w:val="22"/>
              </w:rPr>
            </w:pPr>
          </w:p>
        </w:tc>
      </w:tr>
      <w:tr w:rsidR="00B95DFA" w14:paraId="51773DA8" w14:textId="77777777" w:rsidTr="00CE3A37">
        <w:tc>
          <w:tcPr>
            <w:tcW w:w="959" w:type="dxa"/>
            <w:tcBorders>
              <w:left w:val="single" w:sz="18" w:space="0" w:color="auto"/>
            </w:tcBorders>
            <w:vAlign w:val="bottom"/>
          </w:tcPr>
          <w:p w14:paraId="66E8D4F3" w14:textId="77777777" w:rsidR="00B95DFA" w:rsidRDefault="00B95DFA" w:rsidP="00CE3A37">
            <w:pPr>
              <w:spacing w:line="360" w:lineRule="auto"/>
              <w:jc w:val="center"/>
              <w:rPr>
                <w:rFonts w:ascii="Arial" w:hAnsi="Arial" w:cs="Arial"/>
                <w:b/>
                <w:sz w:val="22"/>
                <w:szCs w:val="22"/>
              </w:rPr>
            </w:pPr>
            <w:r>
              <w:rPr>
                <w:rFonts w:ascii="Arial" w:hAnsi="Arial" w:cs="Arial"/>
                <w:b/>
                <w:sz w:val="22"/>
                <w:szCs w:val="22"/>
              </w:rPr>
              <w:t>11</w:t>
            </w:r>
          </w:p>
        </w:tc>
        <w:tc>
          <w:tcPr>
            <w:tcW w:w="3685" w:type="dxa"/>
          </w:tcPr>
          <w:p w14:paraId="0D3E57EE" w14:textId="77777777" w:rsidR="00B95DFA" w:rsidRPr="00F327C0" w:rsidRDefault="00B95DFA" w:rsidP="00CE3A37">
            <w:pPr>
              <w:rPr>
                <w:rFonts w:ascii="Arial" w:hAnsi="Arial" w:cs="Arial"/>
                <w:sz w:val="22"/>
                <w:szCs w:val="22"/>
              </w:rPr>
            </w:pPr>
            <w:r>
              <w:rPr>
                <w:rFonts w:ascii="Arial" w:hAnsi="Arial" w:cs="Arial"/>
                <w:sz w:val="22"/>
                <w:szCs w:val="22"/>
              </w:rPr>
              <w:t>Add</w:t>
            </w:r>
            <w:r w:rsidRPr="00487D87">
              <w:rPr>
                <w:rFonts w:ascii="Arial" w:hAnsi="Arial" w:cs="Arial"/>
                <w:sz w:val="22"/>
                <w:szCs w:val="22"/>
              </w:rPr>
              <w:t xml:space="preserve"> </w:t>
            </w:r>
            <w:r>
              <w:rPr>
                <w:rFonts w:ascii="Arial" w:hAnsi="Arial" w:cs="Arial"/>
                <w:sz w:val="22"/>
                <w:szCs w:val="22"/>
              </w:rPr>
              <w:t>50μl Stop solution to wells and shake gently to mix the solution</w:t>
            </w:r>
          </w:p>
        </w:tc>
        <w:tc>
          <w:tcPr>
            <w:tcW w:w="1270" w:type="dxa"/>
            <w:vAlign w:val="bottom"/>
          </w:tcPr>
          <w:p w14:paraId="2BBFFD49"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7F64995B"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5</w:t>
            </w:r>
            <w:r w:rsidRPr="005B164A">
              <w:rPr>
                <w:rFonts w:ascii="Arial" w:hAnsi="Arial" w:cs="Arial"/>
                <w:sz w:val="22"/>
                <w:szCs w:val="22"/>
              </w:rPr>
              <w:t>min</w:t>
            </w:r>
          </w:p>
        </w:tc>
        <w:tc>
          <w:tcPr>
            <w:tcW w:w="833" w:type="dxa"/>
          </w:tcPr>
          <w:p w14:paraId="515C2EF8" w14:textId="77777777" w:rsidR="00B95DFA" w:rsidRPr="001635AD" w:rsidRDefault="00B95DFA" w:rsidP="00CE3A37">
            <w:pPr>
              <w:spacing w:line="360" w:lineRule="auto"/>
              <w:jc w:val="center"/>
              <w:rPr>
                <w:rFonts w:ascii="Arial" w:hAnsi="Arial" w:cs="Arial"/>
                <w:b/>
                <w:sz w:val="22"/>
                <w:szCs w:val="22"/>
              </w:rPr>
            </w:pPr>
          </w:p>
        </w:tc>
        <w:tc>
          <w:tcPr>
            <w:tcW w:w="816" w:type="dxa"/>
          </w:tcPr>
          <w:p w14:paraId="5882C41F"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2BAAC5E9" w14:textId="77777777" w:rsidR="00B95DFA" w:rsidRPr="001635AD" w:rsidRDefault="00B95DFA" w:rsidP="00CE3A37">
            <w:pPr>
              <w:spacing w:line="480" w:lineRule="auto"/>
              <w:jc w:val="center"/>
              <w:rPr>
                <w:rFonts w:ascii="Arial" w:hAnsi="Arial" w:cs="Arial"/>
                <w:b/>
                <w:sz w:val="22"/>
                <w:szCs w:val="22"/>
              </w:rPr>
            </w:pPr>
          </w:p>
        </w:tc>
      </w:tr>
      <w:tr w:rsidR="00B95DFA" w14:paraId="52EEB3D9" w14:textId="77777777" w:rsidTr="00CE3A37">
        <w:tc>
          <w:tcPr>
            <w:tcW w:w="959" w:type="dxa"/>
            <w:tcBorders>
              <w:left w:val="single" w:sz="18" w:space="0" w:color="auto"/>
              <w:bottom w:val="single" w:sz="18" w:space="0" w:color="auto"/>
            </w:tcBorders>
            <w:vAlign w:val="bottom"/>
          </w:tcPr>
          <w:p w14:paraId="668530D8" w14:textId="77777777" w:rsidR="00B95DFA" w:rsidRPr="001635AD" w:rsidRDefault="00B95DFA" w:rsidP="00CE3A37">
            <w:pPr>
              <w:spacing w:line="360" w:lineRule="auto"/>
              <w:jc w:val="center"/>
              <w:rPr>
                <w:rFonts w:ascii="Arial" w:hAnsi="Arial" w:cs="Arial"/>
                <w:b/>
                <w:sz w:val="22"/>
                <w:szCs w:val="22"/>
              </w:rPr>
            </w:pPr>
            <w:r>
              <w:rPr>
                <w:rFonts w:ascii="Arial" w:hAnsi="Arial" w:cs="Arial"/>
                <w:b/>
                <w:sz w:val="22"/>
                <w:szCs w:val="22"/>
              </w:rPr>
              <w:t>12</w:t>
            </w:r>
          </w:p>
        </w:tc>
        <w:tc>
          <w:tcPr>
            <w:tcW w:w="3685" w:type="dxa"/>
            <w:tcBorders>
              <w:bottom w:val="single" w:sz="18" w:space="0" w:color="auto"/>
            </w:tcBorders>
          </w:tcPr>
          <w:p w14:paraId="1EAFAE01" w14:textId="77777777" w:rsidR="00B95DFA" w:rsidRPr="00F327C0" w:rsidRDefault="00B95DFA" w:rsidP="00CE3A37">
            <w:pPr>
              <w:rPr>
                <w:rFonts w:ascii="Arial" w:hAnsi="Arial" w:cs="Arial"/>
                <w:sz w:val="22"/>
                <w:szCs w:val="22"/>
              </w:rPr>
            </w:pPr>
            <w:r>
              <w:rPr>
                <w:rFonts w:ascii="Arial" w:hAnsi="Arial" w:cs="Arial"/>
                <w:sz w:val="22"/>
                <w:szCs w:val="22"/>
              </w:rPr>
              <w:t>Read absorbance on ELISA reader within 20min after the Step 11</w:t>
            </w:r>
          </w:p>
        </w:tc>
        <w:tc>
          <w:tcPr>
            <w:tcW w:w="1270" w:type="dxa"/>
            <w:tcBorders>
              <w:bottom w:val="single" w:sz="18" w:space="0" w:color="auto"/>
            </w:tcBorders>
            <w:vAlign w:val="bottom"/>
          </w:tcPr>
          <w:p w14:paraId="54B3268B" w14:textId="77777777" w:rsidR="00B95DFA" w:rsidRPr="001635AD" w:rsidRDefault="00B95DFA" w:rsidP="00CE3A37">
            <w:pPr>
              <w:spacing w:line="360" w:lineRule="auto"/>
              <w:jc w:val="center"/>
              <w:rPr>
                <w:rFonts w:ascii="Arial" w:hAnsi="Arial" w:cs="Arial"/>
                <w:b/>
                <w:sz w:val="22"/>
                <w:szCs w:val="22"/>
              </w:rPr>
            </w:pPr>
          </w:p>
        </w:tc>
        <w:tc>
          <w:tcPr>
            <w:tcW w:w="857" w:type="dxa"/>
            <w:tcBorders>
              <w:bottom w:val="single" w:sz="18" w:space="0" w:color="auto"/>
            </w:tcBorders>
            <w:vAlign w:val="bottom"/>
          </w:tcPr>
          <w:p w14:paraId="77DA7597" w14:textId="77777777" w:rsidR="00B95DFA" w:rsidRPr="001635AD" w:rsidRDefault="00B95DFA" w:rsidP="00CE3A37">
            <w:pPr>
              <w:spacing w:line="360" w:lineRule="auto"/>
              <w:jc w:val="center"/>
              <w:rPr>
                <w:rFonts w:ascii="Arial" w:hAnsi="Arial" w:cs="Arial"/>
                <w:b/>
                <w:sz w:val="22"/>
                <w:szCs w:val="22"/>
              </w:rPr>
            </w:pPr>
          </w:p>
        </w:tc>
        <w:tc>
          <w:tcPr>
            <w:tcW w:w="833" w:type="dxa"/>
            <w:tcBorders>
              <w:bottom w:val="single" w:sz="18" w:space="0" w:color="auto"/>
            </w:tcBorders>
          </w:tcPr>
          <w:p w14:paraId="12DE0C8E" w14:textId="77777777" w:rsidR="00B95DFA" w:rsidRPr="001635AD" w:rsidRDefault="00B95DFA" w:rsidP="00CE3A37">
            <w:pPr>
              <w:spacing w:line="360" w:lineRule="auto"/>
              <w:jc w:val="center"/>
              <w:rPr>
                <w:rFonts w:ascii="Arial" w:hAnsi="Arial" w:cs="Arial"/>
                <w:b/>
                <w:sz w:val="22"/>
                <w:szCs w:val="22"/>
              </w:rPr>
            </w:pPr>
          </w:p>
        </w:tc>
        <w:tc>
          <w:tcPr>
            <w:tcW w:w="816" w:type="dxa"/>
            <w:tcBorders>
              <w:bottom w:val="single" w:sz="18" w:space="0" w:color="auto"/>
            </w:tcBorders>
          </w:tcPr>
          <w:p w14:paraId="6B94703C" w14:textId="77777777" w:rsidR="00B95DFA" w:rsidRPr="001635AD" w:rsidRDefault="00B95DFA" w:rsidP="00CE3A37">
            <w:pPr>
              <w:spacing w:line="480" w:lineRule="auto"/>
              <w:jc w:val="center"/>
              <w:rPr>
                <w:rFonts w:ascii="Arial" w:hAnsi="Arial" w:cs="Arial"/>
                <w:b/>
                <w:sz w:val="22"/>
                <w:szCs w:val="22"/>
              </w:rPr>
            </w:pPr>
          </w:p>
        </w:tc>
        <w:tc>
          <w:tcPr>
            <w:tcW w:w="816" w:type="dxa"/>
            <w:tcBorders>
              <w:bottom w:val="single" w:sz="18" w:space="0" w:color="auto"/>
              <w:right w:val="single" w:sz="18" w:space="0" w:color="auto"/>
            </w:tcBorders>
          </w:tcPr>
          <w:p w14:paraId="38A2A708" w14:textId="77777777" w:rsidR="00B95DFA" w:rsidRPr="001635AD" w:rsidRDefault="00B95DFA" w:rsidP="00CE3A37">
            <w:pPr>
              <w:spacing w:line="480" w:lineRule="auto"/>
              <w:jc w:val="center"/>
              <w:rPr>
                <w:rFonts w:ascii="Arial" w:hAnsi="Arial" w:cs="Arial"/>
                <w:b/>
                <w:sz w:val="22"/>
                <w:szCs w:val="22"/>
              </w:rPr>
            </w:pPr>
          </w:p>
        </w:tc>
      </w:tr>
    </w:tbl>
    <w:p w14:paraId="2A7672C9" w14:textId="77777777" w:rsidR="00B95DFA" w:rsidRPr="00D86EEE" w:rsidRDefault="00700C7E" w:rsidP="00D40E59">
      <w:pPr>
        <w:pStyle w:val="Heading2"/>
      </w:pPr>
      <w:bookmarkStart w:id="191" w:name="_Toc383723946"/>
      <w:r>
        <w:lastRenderedPageBreak/>
        <w:t>Appendix 3</w:t>
      </w:r>
      <w:r w:rsidR="00B95DFA" w:rsidRPr="00BF2597">
        <w:t xml:space="preserve"> </w:t>
      </w:r>
      <w:r w:rsidR="005E327B">
        <w:t xml:space="preserve">- </w:t>
      </w:r>
      <w:r w:rsidR="00B95DFA">
        <w:t>Mouse Bio-Plex Pro multiplex metabolic hormone assay protocol</w:t>
      </w:r>
      <w:bookmarkEnd w:id="191"/>
      <w:r w:rsidR="00B95DFA">
        <w:t xml:space="preserve"> </w:t>
      </w:r>
    </w:p>
    <w:p w14:paraId="1D1E5287" w14:textId="77777777" w:rsidR="00B95DFA" w:rsidRDefault="00B95DFA" w:rsidP="00B95DFA">
      <w:pPr>
        <w:spacing w:line="480" w:lineRule="auto"/>
        <w:jc w:val="both"/>
        <w:rPr>
          <w:rFonts w:ascii="Arial" w:hAnsi="Arial" w:cs="Arial"/>
        </w:rPr>
      </w:pPr>
      <w:r w:rsidRPr="00840207">
        <w:rPr>
          <w:rFonts w:ascii="Arial" w:hAnsi="Arial" w:cs="Arial"/>
        </w:rPr>
        <w:t>Components</w:t>
      </w:r>
    </w:p>
    <w:tbl>
      <w:tblPr>
        <w:tblStyle w:val="TableGrid"/>
        <w:tblW w:w="0" w:type="auto"/>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4644"/>
        <w:gridCol w:w="2127"/>
      </w:tblGrid>
      <w:tr w:rsidR="00B95DFA" w14:paraId="2158BDB2" w14:textId="77777777" w:rsidTr="00CE3A37">
        <w:trPr>
          <w:trHeight w:val="503"/>
        </w:trPr>
        <w:tc>
          <w:tcPr>
            <w:tcW w:w="4644" w:type="dxa"/>
            <w:vAlign w:val="bottom"/>
          </w:tcPr>
          <w:p w14:paraId="2F50BFCA" w14:textId="77777777" w:rsidR="00B95DFA" w:rsidRDefault="00B95DFA" w:rsidP="00CE3A37">
            <w:pPr>
              <w:spacing w:line="480" w:lineRule="auto"/>
              <w:rPr>
                <w:rFonts w:ascii="Arial" w:hAnsi="Arial" w:cs="Arial"/>
              </w:rPr>
            </w:pPr>
            <w:r>
              <w:rPr>
                <w:rFonts w:ascii="Arial" w:hAnsi="Arial" w:cs="Arial"/>
              </w:rPr>
              <w:t>Flat bottom plate</w:t>
            </w:r>
          </w:p>
        </w:tc>
        <w:tc>
          <w:tcPr>
            <w:tcW w:w="2127" w:type="dxa"/>
            <w:vAlign w:val="bottom"/>
          </w:tcPr>
          <w:p w14:paraId="47DA6B72" w14:textId="77777777" w:rsidR="00B95DFA" w:rsidRDefault="00B95DFA" w:rsidP="00CE3A37">
            <w:pPr>
              <w:spacing w:line="480" w:lineRule="auto"/>
              <w:jc w:val="center"/>
              <w:rPr>
                <w:rFonts w:ascii="Arial" w:hAnsi="Arial" w:cs="Arial"/>
              </w:rPr>
            </w:pPr>
            <w:r>
              <w:rPr>
                <w:rFonts w:ascii="Arial" w:hAnsi="Arial" w:cs="Arial"/>
              </w:rPr>
              <w:t>12 x 8 x 1</w:t>
            </w:r>
          </w:p>
        </w:tc>
      </w:tr>
      <w:tr w:rsidR="00B95DFA" w14:paraId="10BDCE10" w14:textId="77777777" w:rsidTr="00CE3A37">
        <w:trPr>
          <w:trHeight w:val="503"/>
        </w:trPr>
        <w:tc>
          <w:tcPr>
            <w:tcW w:w="4644" w:type="dxa"/>
            <w:vAlign w:val="bottom"/>
          </w:tcPr>
          <w:p w14:paraId="647221DD" w14:textId="77777777" w:rsidR="00B95DFA" w:rsidRDefault="00B95DFA" w:rsidP="00CE3A37">
            <w:pPr>
              <w:spacing w:line="480" w:lineRule="auto"/>
              <w:rPr>
                <w:rFonts w:ascii="Arial" w:hAnsi="Arial" w:cs="Arial"/>
              </w:rPr>
            </w:pPr>
            <w:r>
              <w:rPr>
                <w:rFonts w:ascii="Arial" w:hAnsi="Arial" w:cs="Arial"/>
              </w:rPr>
              <w:t>Standard</w:t>
            </w:r>
          </w:p>
        </w:tc>
        <w:tc>
          <w:tcPr>
            <w:tcW w:w="2127" w:type="dxa"/>
            <w:vAlign w:val="bottom"/>
          </w:tcPr>
          <w:p w14:paraId="098A1113" w14:textId="77777777" w:rsidR="00B95DFA" w:rsidRDefault="00B95DFA" w:rsidP="00CE3A37">
            <w:pPr>
              <w:spacing w:line="480" w:lineRule="auto"/>
              <w:jc w:val="center"/>
              <w:rPr>
                <w:rFonts w:ascii="Arial" w:hAnsi="Arial" w:cs="Arial"/>
              </w:rPr>
            </w:pPr>
            <w:r>
              <w:rPr>
                <w:rFonts w:ascii="Arial" w:hAnsi="Arial" w:cs="Arial"/>
              </w:rPr>
              <w:t>1 vial</w:t>
            </w:r>
          </w:p>
        </w:tc>
      </w:tr>
      <w:tr w:rsidR="00B95DFA" w14:paraId="47EF1A75" w14:textId="77777777" w:rsidTr="00CE3A37">
        <w:trPr>
          <w:trHeight w:val="503"/>
        </w:trPr>
        <w:tc>
          <w:tcPr>
            <w:tcW w:w="4644" w:type="dxa"/>
            <w:vAlign w:val="bottom"/>
          </w:tcPr>
          <w:p w14:paraId="5C96EC37" w14:textId="77777777" w:rsidR="00B95DFA" w:rsidRDefault="00B95DFA" w:rsidP="00CE3A37">
            <w:pPr>
              <w:spacing w:line="480" w:lineRule="auto"/>
              <w:rPr>
                <w:rFonts w:ascii="Arial" w:hAnsi="Arial" w:cs="Arial"/>
              </w:rPr>
            </w:pPr>
            <w:r>
              <w:rPr>
                <w:rFonts w:ascii="Arial" w:hAnsi="Arial" w:cs="Arial"/>
              </w:rPr>
              <w:t>Coupled magnetic beads (20x)</w:t>
            </w:r>
          </w:p>
        </w:tc>
        <w:tc>
          <w:tcPr>
            <w:tcW w:w="2127" w:type="dxa"/>
            <w:vAlign w:val="bottom"/>
          </w:tcPr>
          <w:p w14:paraId="24F0E0DC" w14:textId="77777777" w:rsidR="00B95DFA" w:rsidRDefault="00B95DFA" w:rsidP="00CE3A37">
            <w:pPr>
              <w:spacing w:line="480" w:lineRule="auto"/>
              <w:jc w:val="center"/>
              <w:rPr>
                <w:rFonts w:ascii="Arial" w:hAnsi="Arial" w:cs="Arial"/>
              </w:rPr>
            </w:pPr>
            <w:r>
              <w:rPr>
                <w:rFonts w:ascii="Arial" w:hAnsi="Arial" w:cs="Arial"/>
              </w:rPr>
              <w:t>1 tube</w:t>
            </w:r>
          </w:p>
        </w:tc>
      </w:tr>
      <w:tr w:rsidR="00B95DFA" w14:paraId="42BD1D59" w14:textId="77777777" w:rsidTr="00CE3A37">
        <w:trPr>
          <w:trHeight w:val="503"/>
        </w:trPr>
        <w:tc>
          <w:tcPr>
            <w:tcW w:w="4644" w:type="dxa"/>
            <w:vAlign w:val="bottom"/>
          </w:tcPr>
          <w:p w14:paraId="3AD6DFBC" w14:textId="77777777" w:rsidR="00B95DFA" w:rsidRDefault="00B95DFA" w:rsidP="00CE3A37">
            <w:pPr>
              <w:spacing w:line="480" w:lineRule="auto"/>
              <w:rPr>
                <w:rFonts w:ascii="Arial" w:hAnsi="Arial" w:cs="Arial"/>
              </w:rPr>
            </w:pPr>
            <w:r>
              <w:rPr>
                <w:rFonts w:ascii="Arial" w:hAnsi="Arial" w:cs="Arial"/>
              </w:rPr>
              <w:t>Detection antibodies (20x)</w:t>
            </w:r>
          </w:p>
        </w:tc>
        <w:tc>
          <w:tcPr>
            <w:tcW w:w="2127" w:type="dxa"/>
            <w:vAlign w:val="bottom"/>
          </w:tcPr>
          <w:p w14:paraId="6051F1FB" w14:textId="77777777" w:rsidR="00B95DFA" w:rsidRDefault="00B95DFA" w:rsidP="00CE3A37">
            <w:pPr>
              <w:spacing w:line="480" w:lineRule="auto"/>
              <w:jc w:val="center"/>
              <w:rPr>
                <w:rFonts w:ascii="Arial" w:hAnsi="Arial" w:cs="Arial"/>
              </w:rPr>
            </w:pPr>
            <w:r>
              <w:rPr>
                <w:rFonts w:ascii="Arial" w:hAnsi="Arial" w:cs="Arial"/>
              </w:rPr>
              <w:t>1 tube</w:t>
            </w:r>
          </w:p>
        </w:tc>
      </w:tr>
      <w:tr w:rsidR="00B95DFA" w14:paraId="42B6E454" w14:textId="77777777" w:rsidTr="00CE3A37">
        <w:trPr>
          <w:trHeight w:val="503"/>
        </w:trPr>
        <w:tc>
          <w:tcPr>
            <w:tcW w:w="4644" w:type="dxa"/>
            <w:vAlign w:val="bottom"/>
          </w:tcPr>
          <w:p w14:paraId="6C1BC023" w14:textId="77777777" w:rsidR="00B95DFA" w:rsidRDefault="00B95DFA" w:rsidP="00CE3A37">
            <w:pPr>
              <w:spacing w:line="480" w:lineRule="auto"/>
              <w:rPr>
                <w:rFonts w:ascii="Arial" w:hAnsi="Arial" w:cs="Arial"/>
              </w:rPr>
            </w:pPr>
            <w:r>
              <w:rPr>
                <w:rFonts w:ascii="Arial" w:hAnsi="Arial" w:cs="Arial"/>
              </w:rPr>
              <w:t>Standard diluent</w:t>
            </w:r>
          </w:p>
        </w:tc>
        <w:tc>
          <w:tcPr>
            <w:tcW w:w="2127" w:type="dxa"/>
            <w:vAlign w:val="bottom"/>
          </w:tcPr>
          <w:p w14:paraId="7FA6F2A0" w14:textId="77777777" w:rsidR="00B95DFA" w:rsidRDefault="00B95DFA" w:rsidP="00CE3A37">
            <w:pPr>
              <w:spacing w:line="480" w:lineRule="auto"/>
              <w:jc w:val="center"/>
              <w:rPr>
                <w:rFonts w:ascii="Arial" w:hAnsi="Arial" w:cs="Arial"/>
              </w:rPr>
            </w:pPr>
            <w:r>
              <w:rPr>
                <w:rFonts w:ascii="Arial" w:hAnsi="Arial" w:cs="Arial"/>
              </w:rPr>
              <w:t>10ml</w:t>
            </w:r>
          </w:p>
        </w:tc>
      </w:tr>
      <w:tr w:rsidR="00B95DFA" w14:paraId="15A3BB49" w14:textId="77777777" w:rsidTr="00CE3A37">
        <w:trPr>
          <w:trHeight w:val="503"/>
        </w:trPr>
        <w:tc>
          <w:tcPr>
            <w:tcW w:w="4644" w:type="dxa"/>
            <w:vAlign w:val="bottom"/>
          </w:tcPr>
          <w:p w14:paraId="7D623C42" w14:textId="77777777" w:rsidR="00B95DFA" w:rsidRDefault="00B95DFA" w:rsidP="00CE3A37">
            <w:pPr>
              <w:spacing w:line="480" w:lineRule="auto"/>
              <w:rPr>
                <w:rFonts w:ascii="Arial" w:hAnsi="Arial" w:cs="Arial"/>
              </w:rPr>
            </w:pPr>
            <w:r>
              <w:rPr>
                <w:rFonts w:ascii="Arial" w:hAnsi="Arial" w:cs="Arial"/>
              </w:rPr>
              <w:t>Sample diluent</w:t>
            </w:r>
          </w:p>
        </w:tc>
        <w:tc>
          <w:tcPr>
            <w:tcW w:w="2127" w:type="dxa"/>
            <w:vAlign w:val="bottom"/>
          </w:tcPr>
          <w:p w14:paraId="3CAEB6B3" w14:textId="77777777" w:rsidR="00B95DFA" w:rsidRDefault="00B95DFA" w:rsidP="00CE3A37">
            <w:pPr>
              <w:spacing w:line="480" w:lineRule="auto"/>
              <w:jc w:val="center"/>
              <w:rPr>
                <w:rFonts w:ascii="Arial" w:hAnsi="Arial" w:cs="Arial"/>
              </w:rPr>
            </w:pPr>
            <w:r>
              <w:rPr>
                <w:rFonts w:ascii="Arial" w:hAnsi="Arial" w:cs="Arial"/>
              </w:rPr>
              <w:t>40ml</w:t>
            </w:r>
          </w:p>
        </w:tc>
      </w:tr>
      <w:tr w:rsidR="00B95DFA" w14:paraId="27D677C3" w14:textId="77777777" w:rsidTr="00CE3A37">
        <w:trPr>
          <w:trHeight w:val="503"/>
        </w:trPr>
        <w:tc>
          <w:tcPr>
            <w:tcW w:w="4644" w:type="dxa"/>
            <w:vAlign w:val="bottom"/>
          </w:tcPr>
          <w:p w14:paraId="45549338" w14:textId="77777777" w:rsidR="00B95DFA" w:rsidRDefault="00B95DFA" w:rsidP="00CE3A37">
            <w:pPr>
              <w:spacing w:line="480" w:lineRule="auto"/>
              <w:rPr>
                <w:rFonts w:ascii="Arial" w:hAnsi="Arial" w:cs="Arial"/>
              </w:rPr>
            </w:pPr>
            <w:r>
              <w:rPr>
                <w:rFonts w:ascii="Arial" w:hAnsi="Arial" w:cs="Arial"/>
              </w:rPr>
              <w:t>Detection antibody diluent</w:t>
            </w:r>
          </w:p>
        </w:tc>
        <w:tc>
          <w:tcPr>
            <w:tcW w:w="2127" w:type="dxa"/>
            <w:vAlign w:val="bottom"/>
          </w:tcPr>
          <w:p w14:paraId="58A0B1EB" w14:textId="77777777" w:rsidR="00B95DFA" w:rsidRDefault="00B95DFA" w:rsidP="00CE3A37">
            <w:pPr>
              <w:spacing w:line="480" w:lineRule="auto"/>
              <w:jc w:val="center"/>
              <w:rPr>
                <w:rFonts w:ascii="Arial" w:hAnsi="Arial" w:cs="Arial"/>
              </w:rPr>
            </w:pPr>
            <w:r>
              <w:rPr>
                <w:rFonts w:ascii="Arial" w:hAnsi="Arial" w:cs="Arial"/>
              </w:rPr>
              <w:t>5ml</w:t>
            </w:r>
          </w:p>
        </w:tc>
      </w:tr>
      <w:tr w:rsidR="00B95DFA" w14:paraId="2A2017CD" w14:textId="77777777" w:rsidTr="00CE3A37">
        <w:trPr>
          <w:trHeight w:val="503"/>
        </w:trPr>
        <w:tc>
          <w:tcPr>
            <w:tcW w:w="4644" w:type="dxa"/>
            <w:vAlign w:val="bottom"/>
          </w:tcPr>
          <w:p w14:paraId="69BD4330" w14:textId="77777777" w:rsidR="00B95DFA" w:rsidRDefault="00B95DFA" w:rsidP="00CE3A37">
            <w:pPr>
              <w:spacing w:line="480" w:lineRule="auto"/>
              <w:rPr>
                <w:rFonts w:ascii="Arial" w:hAnsi="Arial" w:cs="Arial"/>
              </w:rPr>
            </w:pPr>
            <w:r>
              <w:rPr>
                <w:rFonts w:ascii="Arial" w:hAnsi="Arial" w:cs="Arial"/>
              </w:rPr>
              <w:t>Assay buffer</w:t>
            </w:r>
          </w:p>
        </w:tc>
        <w:tc>
          <w:tcPr>
            <w:tcW w:w="2127" w:type="dxa"/>
            <w:vAlign w:val="bottom"/>
          </w:tcPr>
          <w:p w14:paraId="1CC76FFE" w14:textId="77777777" w:rsidR="00B95DFA" w:rsidRDefault="00B95DFA" w:rsidP="00CE3A37">
            <w:pPr>
              <w:spacing w:line="480" w:lineRule="auto"/>
              <w:jc w:val="center"/>
              <w:rPr>
                <w:rFonts w:ascii="Arial" w:hAnsi="Arial" w:cs="Arial"/>
              </w:rPr>
            </w:pPr>
            <w:r>
              <w:rPr>
                <w:rFonts w:ascii="Arial" w:hAnsi="Arial" w:cs="Arial"/>
              </w:rPr>
              <w:t>50ml</w:t>
            </w:r>
          </w:p>
        </w:tc>
      </w:tr>
      <w:tr w:rsidR="00B95DFA" w14:paraId="29001031" w14:textId="77777777" w:rsidTr="00CE3A37">
        <w:trPr>
          <w:trHeight w:val="503"/>
        </w:trPr>
        <w:tc>
          <w:tcPr>
            <w:tcW w:w="4644" w:type="dxa"/>
            <w:vAlign w:val="bottom"/>
          </w:tcPr>
          <w:p w14:paraId="2C3DD39D" w14:textId="77777777" w:rsidR="00B95DFA" w:rsidRDefault="00B95DFA" w:rsidP="00CE3A37">
            <w:pPr>
              <w:spacing w:line="480" w:lineRule="auto"/>
              <w:rPr>
                <w:rFonts w:ascii="Arial" w:hAnsi="Arial" w:cs="Arial"/>
              </w:rPr>
            </w:pPr>
            <w:r>
              <w:rPr>
                <w:rFonts w:ascii="Arial" w:hAnsi="Arial" w:cs="Arial"/>
              </w:rPr>
              <w:t>Wash buffer</w:t>
            </w:r>
          </w:p>
        </w:tc>
        <w:tc>
          <w:tcPr>
            <w:tcW w:w="2127" w:type="dxa"/>
            <w:vAlign w:val="bottom"/>
          </w:tcPr>
          <w:p w14:paraId="5AEBF417" w14:textId="77777777" w:rsidR="00B95DFA" w:rsidRDefault="00B95DFA" w:rsidP="00CE3A37">
            <w:pPr>
              <w:spacing w:line="480" w:lineRule="auto"/>
              <w:jc w:val="center"/>
              <w:rPr>
                <w:rFonts w:ascii="Arial" w:hAnsi="Arial" w:cs="Arial"/>
              </w:rPr>
            </w:pPr>
            <w:r>
              <w:rPr>
                <w:rFonts w:ascii="Arial" w:hAnsi="Arial" w:cs="Arial"/>
              </w:rPr>
              <w:t>200ml</w:t>
            </w:r>
          </w:p>
        </w:tc>
      </w:tr>
      <w:tr w:rsidR="00B95DFA" w14:paraId="6853C328" w14:textId="77777777" w:rsidTr="00CE3A37">
        <w:trPr>
          <w:trHeight w:val="517"/>
        </w:trPr>
        <w:tc>
          <w:tcPr>
            <w:tcW w:w="4644" w:type="dxa"/>
            <w:vAlign w:val="bottom"/>
          </w:tcPr>
          <w:p w14:paraId="0279E89E" w14:textId="77777777" w:rsidR="00B95DFA" w:rsidRDefault="00B95DFA" w:rsidP="00CE3A37">
            <w:pPr>
              <w:spacing w:line="480" w:lineRule="auto"/>
              <w:rPr>
                <w:rFonts w:ascii="Arial" w:hAnsi="Arial" w:cs="Arial"/>
              </w:rPr>
            </w:pPr>
            <w:r>
              <w:rPr>
                <w:rFonts w:ascii="Arial" w:hAnsi="Arial" w:cs="Arial"/>
              </w:rPr>
              <w:t>Streptavidin-PE (100x)</w:t>
            </w:r>
          </w:p>
        </w:tc>
        <w:tc>
          <w:tcPr>
            <w:tcW w:w="2127" w:type="dxa"/>
            <w:vAlign w:val="bottom"/>
          </w:tcPr>
          <w:p w14:paraId="19DDAD73" w14:textId="77777777" w:rsidR="00B95DFA" w:rsidRDefault="00B95DFA" w:rsidP="00CE3A37">
            <w:pPr>
              <w:spacing w:line="480" w:lineRule="auto"/>
              <w:jc w:val="center"/>
              <w:rPr>
                <w:rFonts w:ascii="Arial" w:hAnsi="Arial" w:cs="Arial"/>
              </w:rPr>
            </w:pPr>
            <w:r>
              <w:rPr>
                <w:rFonts w:ascii="Arial" w:hAnsi="Arial" w:cs="Arial"/>
              </w:rPr>
              <w:t>1 tube</w:t>
            </w:r>
          </w:p>
        </w:tc>
      </w:tr>
      <w:tr w:rsidR="00B95DFA" w14:paraId="4C019B84" w14:textId="77777777" w:rsidTr="00CE3A37">
        <w:trPr>
          <w:trHeight w:val="517"/>
        </w:trPr>
        <w:tc>
          <w:tcPr>
            <w:tcW w:w="4644" w:type="dxa"/>
            <w:vAlign w:val="bottom"/>
          </w:tcPr>
          <w:p w14:paraId="7072D714" w14:textId="77777777" w:rsidR="00B95DFA" w:rsidRDefault="00B95DFA" w:rsidP="00CE3A37">
            <w:pPr>
              <w:spacing w:line="480" w:lineRule="auto"/>
              <w:rPr>
                <w:rFonts w:ascii="Arial" w:hAnsi="Arial" w:cs="Arial"/>
              </w:rPr>
            </w:pPr>
            <w:r>
              <w:rPr>
                <w:rFonts w:ascii="Arial" w:hAnsi="Arial" w:cs="Arial"/>
              </w:rPr>
              <w:t>Sealing tape</w:t>
            </w:r>
          </w:p>
        </w:tc>
        <w:tc>
          <w:tcPr>
            <w:tcW w:w="2127" w:type="dxa"/>
            <w:vAlign w:val="bottom"/>
          </w:tcPr>
          <w:p w14:paraId="00B21CA5" w14:textId="77777777" w:rsidR="00B95DFA" w:rsidRDefault="00B95DFA" w:rsidP="00CE3A37">
            <w:pPr>
              <w:spacing w:line="480" w:lineRule="auto"/>
              <w:jc w:val="center"/>
              <w:rPr>
                <w:rFonts w:ascii="Arial" w:hAnsi="Arial" w:cs="Arial"/>
              </w:rPr>
            </w:pPr>
            <w:r>
              <w:rPr>
                <w:rFonts w:ascii="Arial" w:hAnsi="Arial" w:cs="Arial"/>
              </w:rPr>
              <w:t>1 pack of 4</w:t>
            </w:r>
          </w:p>
        </w:tc>
      </w:tr>
    </w:tbl>
    <w:p w14:paraId="74B7EBEC" w14:textId="77777777" w:rsidR="00B95DFA" w:rsidRPr="00D540A9" w:rsidRDefault="00B95DFA" w:rsidP="00B95DFA">
      <w:pPr>
        <w:spacing w:line="480" w:lineRule="auto"/>
        <w:jc w:val="both"/>
        <w:rPr>
          <w:rFonts w:ascii="Arial" w:hAnsi="Arial" w:cs="Arial"/>
          <w:sz w:val="22"/>
          <w:szCs w:val="22"/>
        </w:rPr>
      </w:pPr>
      <w:r w:rsidRPr="001F32CD">
        <w:rPr>
          <w:rFonts w:ascii="Arial" w:hAnsi="Arial" w:cs="Arial"/>
          <w:sz w:val="22"/>
          <w:szCs w:val="22"/>
        </w:rPr>
        <w:t xml:space="preserve">Reproduced from </w:t>
      </w:r>
      <w:r>
        <w:rPr>
          <w:rFonts w:ascii="Arial" w:hAnsi="Arial" w:cs="Arial"/>
          <w:sz w:val="22"/>
          <w:szCs w:val="22"/>
        </w:rPr>
        <w:t>Bio-Rad Laboratories, Inc. 2017</w:t>
      </w:r>
    </w:p>
    <w:p w14:paraId="4EE2A14A" w14:textId="77777777" w:rsidR="00B95DFA" w:rsidRPr="006F2449" w:rsidRDefault="00B95DFA" w:rsidP="00B95DFA">
      <w:pPr>
        <w:spacing w:line="480" w:lineRule="auto"/>
        <w:jc w:val="both"/>
        <w:rPr>
          <w:rFonts w:ascii="Arial" w:hAnsi="Arial" w:cs="Arial"/>
        </w:rPr>
      </w:pPr>
    </w:p>
    <w:p w14:paraId="675264BA" w14:textId="77777777" w:rsidR="00B95DFA" w:rsidRDefault="00B95DFA" w:rsidP="00B95DFA">
      <w:pPr>
        <w:spacing w:line="480" w:lineRule="auto"/>
        <w:jc w:val="both"/>
        <w:rPr>
          <w:rFonts w:ascii="Arial" w:hAnsi="Arial" w:cs="Arial"/>
          <w:b/>
        </w:rPr>
      </w:pPr>
    </w:p>
    <w:p w14:paraId="5EEF3365" w14:textId="77777777" w:rsidR="00B95DFA" w:rsidRDefault="00B95DFA" w:rsidP="00B95DFA">
      <w:pPr>
        <w:spacing w:line="480" w:lineRule="auto"/>
        <w:jc w:val="both"/>
        <w:rPr>
          <w:rFonts w:ascii="Arial" w:hAnsi="Arial" w:cs="Arial"/>
          <w:b/>
        </w:rPr>
      </w:pPr>
    </w:p>
    <w:p w14:paraId="1993A540" w14:textId="77777777" w:rsidR="00B95DFA" w:rsidRDefault="00B95DFA" w:rsidP="00B95DFA">
      <w:pPr>
        <w:spacing w:line="480" w:lineRule="auto"/>
        <w:jc w:val="both"/>
        <w:rPr>
          <w:rFonts w:ascii="Arial" w:hAnsi="Arial" w:cs="Arial"/>
          <w:b/>
        </w:rPr>
      </w:pPr>
    </w:p>
    <w:p w14:paraId="50374FE1" w14:textId="77777777" w:rsidR="00B95DFA" w:rsidRDefault="00B95DFA" w:rsidP="00B95DFA">
      <w:pPr>
        <w:spacing w:line="480" w:lineRule="auto"/>
        <w:jc w:val="both"/>
        <w:rPr>
          <w:rFonts w:ascii="Arial" w:hAnsi="Arial" w:cs="Arial"/>
          <w:b/>
        </w:rPr>
      </w:pPr>
    </w:p>
    <w:p w14:paraId="75005D73" w14:textId="77777777" w:rsidR="00B95DFA" w:rsidRDefault="00B95DFA" w:rsidP="00B95DFA">
      <w:pPr>
        <w:spacing w:line="480" w:lineRule="auto"/>
        <w:jc w:val="both"/>
        <w:rPr>
          <w:rFonts w:ascii="Arial" w:hAnsi="Arial" w:cs="Arial"/>
          <w:b/>
        </w:rPr>
      </w:pPr>
    </w:p>
    <w:p w14:paraId="2A0E0881" w14:textId="77777777" w:rsidR="00B95DFA" w:rsidRDefault="00B95DFA" w:rsidP="00B95DFA">
      <w:pPr>
        <w:spacing w:line="480" w:lineRule="auto"/>
        <w:jc w:val="both"/>
        <w:rPr>
          <w:rFonts w:ascii="Arial" w:hAnsi="Arial" w:cs="Arial"/>
          <w:b/>
        </w:rPr>
      </w:pPr>
    </w:p>
    <w:p w14:paraId="7768FCED" w14:textId="77777777" w:rsidR="00B95DFA" w:rsidRDefault="00B95DFA" w:rsidP="00B95DFA">
      <w:pPr>
        <w:spacing w:line="480" w:lineRule="auto"/>
        <w:jc w:val="both"/>
        <w:rPr>
          <w:rFonts w:ascii="Arial" w:hAnsi="Arial" w:cs="Arial"/>
          <w:b/>
        </w:rPr>
      </w:pPr>
    </w:p>
    <w:p w14:paraId="11BBF58E" w14:textId="77777777" w:rsidR="00B95DFA" w:rsidRDefault="00B95DFA" w:rsidP="00B95DFA">
      <w:pPr>
        <w:spacing w:line="480" w:lineRule="auto"/>
        <w:jc w:val="both"/>
        <w:rPr>
          <w:rFonts w:ascii="Arial" w:hAnsi="Arial" w:cs="Arial"/>
          <w:b/>
        </w:rPr>
      </w:pPr>
    </w:p>
    <w:p w14:paraId="72C7F9F6" w14:textId="77777777" w:rsidR="00B95DFA" w:rsidRDefault="00B95DFA" w:rsidP="00B95DFA">
      <w:pPr>
        <w:spacing w:line="480" w:lineRule="auto"/>
        <w:jc w:val="both"/>
        <w:rPr>
          <w:rFonts w:ascii="Arial" w:hAnsi="Arial" w:cs="Arial"/>
          <w:b/>
        </w:rPr>
      </w:pPr>
    </w:p>
    <w:p w14:paraId="7CCD471A" w14:textId="77777777" w:rsidR="00B95DFA" w:rsidRPr="006F2449" w:rsidRDefault="00B95DFA" w:rsidP="00B95DFA">
      <w:pPr>
        <w:spacing w:line="480" w:lineRule="auto"/>
        <w:jc w:val="both"/>
        <w:rPr>
          <w:rFonts w:ascii="Arial" w:hAnsi="Arial" w:cs="Arial"/>
        </w:rPr>
      </w:pPr>
    </w:p>
    <w:tbl>
      <w:tblPr>
        <w:tblStyle w:val="TableGrid"/>
        <w:tblW w:w="0" w:type="auto"/>
        <w:tblLook w:val="00A0" w:firstRow="1" w:lastRow="0" w:firstColumn="1" w:lastColumn="0" w:noHBand="0" w:noVBand="0"/>
      </w:tblPr>
      <w:tblGrid>
        <w:gridCol w:w="959"/>
        <w:gridCol w:w="3685"/>
        <w:gridCol w:w="1270"/>
        <w:gridCol w:w="857"/>
        <w:gridCol w:w="833"/>
        <w:gridCol w:w="816"/>
        <w:gridCol w:w="816"/>
      </w:tblGrid>
      <w:tr w:rsidR="00B95DFA" w14:paraId="75DEA20C" w14:textId="77777777" w:rsidTr="00CE3A37">
        <w:tc>
          <w:tcPr>
            <w:tcW w:w="9236" w:type="dxa"/>
            <w:gridSpan w:val="7"/>
            <w:tcBorders>
              <w:top w:val="single" w:sz="12" w:space="0" w:color="auto"/>
              <w:left w:val="single" w:sz="18" w:space="0" w:color="auto"/>
              <w:bottom w:val="single" w:sz="18" w:space="0" w:color="auto"/>
              <w:right w:val="single" w:sz="18" w:space="0" w:color="auto"/>
            </w:tcBorders>
          </w:tcPr>
          <w:p w14:paraId="6A2DB0A5" w14:textId="77777777" w:rsidR="00B95DFA" w:rsidRDefault="00B95DFA" w:rsidP="00CE3A37">
            <w:pPr>
              <w:spacing w:line="480" w:lineRule="auto"/>
              <w:jc w:val="center"/>
              <w:rPr>
                <w:rFonts w:ascii="Arial" w:hAnsi="Arial" w:cs="Arial"/>
                <w:b/>
              </w:rPr>
            </w:pPr>
            <w:r>
              <w:rPr>
                <w:rFonts w:ascii="Arial" w:hAnsi="Arial" w:cs="Arial"/>
                <w:b/>
              </w:rPr>
              <w:lastRenderedPageBreak/>
              <w:t xml:space="preserve">Mouse diabetes assay workflow </w:t>
            </w:r>
          </w:p>
        </w:tc>
      </w:tr>
      <w:tr w:rsidR="00B95DFA" w14:paraId="07DECEBF" w14:textId="77777777" w:rsidTr="00CE3A37">
        <w:tc>
          <w:tcPr>
            <w:tcW w:w="959" w:type="dxa"/>
            <w:tcBorders>
              <w:top w:val="single" w:sz="12" w:space="0" w:color="auto"/>
              <w:left w:val="single" w:sz="18" w:space="0" w:color="auto"/>
              <w:bottom w:val="single" w:sz="24" w:space="0" w:color="auto"/>
            </w:tcBorders>
            <w:vAlign w:val="center"/>
          </w:tcPr>
          <w:p w14:paraId="78FBAD14" w14:textId="77777777" w:rsidR="00B95DFA" w:rsidRDefault="00B95DFA" w:rsidP="00CE3A37">
            <w:pPr>
              <w:spacing w:line="360" w:lineRule="auto"/>
              <w:jc w:val="center"/>
              <w:rPr>
                <w:rFonts w:ascii="Arial" w:hAnsi="Arial" w:cs="Arial"/>
                <w:b/>
              </w:rPr>
            </w:pPr>
            <w:r>
              <w:rPr>
                <w:rFonts w:ascii="Arial" w:hAnsi="Arial" w:cs="Arial"/>
                <w:b/>
              </w:rPr>
              <w:t>Step</w:t>
            </w:r>
          </w:p>
        </w:tc>
        <w:tc>
          <w:tcPr>
            <w:tcW w:w="3685" w:type="dxa"/>
            <w:tcBorders>
              <w:top w:val="single" w:sz="12" w:space="0" w:color="auto"/>
              <w:bottom w:val="single" w:sz="24" w:space="0" w:color="auto"/>
            </w:tcBorders>
            <w:vAlign w:val="center"/>
          </w:tcPr>
          <w:p w14:paraId="6A2BC8E1" w14:textId="77777777" w:rsidR="00B95DFA" w:rsidRDefault="00B95DFA" w:rsidP="00CE3A37">
            <w:pPr>
              <w:spacing w:line="360" w:lineRule="auto"/>
              <w:jc w:val="center"/>
              <w:rPr>
                <w:rFonts w:ascii="Arial" w:hAnsi="Arial" w:cs="Arial"/>
                <w:b/>
              </w:rPr>
            </w:pPr>
            <w:r>
              <w:rPr>
                <w:rFonts w:ascii="Arial" w:hAnsi="Arial" w:cs="Arial"/>
                <w:b/>
              </w:rPr>
              <w:t>Procedure</w:t>
            </w:r>
          </w:p>
        </w:tc>
        <w:tc>
          <w:tcPr>
            <w:tcW w:w="1270" w:type="dxa"/>
            <w:tcBorders>
              <w:top w:val="single" w:sz="12" w:space="0" w:color="auto"/>
              <w:bottom w:val="single" w:sz="24" w:space="0" w:color="auto"/>
            </w:tcBorders>
            <w:vAlign w:val="center"/>
          </w:tcPr>
          <w:p w14:paraId="2CC6603E" w14:textId="77777777" w:rsidR="00B95DFA" w:rsidRDefault="00B95DFA" w:rsidP="00CE3A37">
            <w:pPr>
              <w:spacing w:line="360" w:lineRule="auto"/>
              <w:jc w:val="center"/>
              <w:rPr>
                <w:rFonts w:ascii="Arial" w:hAnsi="Arial" w:cs="Arial"/>
                <w:b/>
              </w:rPr>
            </w:pPr>
            <w:r>
              <w:rPr>
                <w:rFonts w:ascii="Arial" w:hAnsi="Arial" w:cs="Arial"/>
                <w:b/>
              </w:rPr>
              <w:t>Temp</w:t>
            </w:r>
          </w:p>
        </w:tc>
        <w:tc>
          <w:tcPr>
            <w:tcW w:w="857" w:type="dxa"/>
            <w:tcBorders>
              <w:top w:val="single" w:sz="12" w:space="0" w:color="auto"/>
              <w:bottom w:val="single" w:sz="24" w:space="0" w:color="auto"/>
            </w:tcBorders>
            <w:vAlign w:val="center"/>
          </w:tcPr>
          <w:p w14:paraId="5166F1B4" w14:textId="77777777" w:rsidR="00B95DFA" w:rsidRDefault="00B95DFA" w:rsidP="00CE3A37">
            <w:pPr>
              <w:spacing w:line="360" w:lineRule="auto"/>
              <w:jc w:val="center"/>
              <w:rPr>
                <w:rFonts w:ascii="Arial" w:hAnsi="Arial" w:cs="Arial"/>
                <w:b/>
              </w:rPr>
            </w:pPr>
            <w:r>
              <w:rPr>
                <w:rFonts w:ascii="Arial" w:hAnsi="Arial" w:cs="Arial"/>
                <w:b/>
              </w:rPr>
              <w:t>Time</w:t>
            </w:r>
          </w:p>
        </w:tc>
        <w:tc>
          <w:tcPr>
            <w:tcW w:w="833" w:type="dxa"/>
            <w:tcBorders>
              <w:top w:val="single" w:sz="12" w:space="0" w:color="auto"/>
              <w:bottom w:val="single" w:sz="24" w:space="0" w:color="auto"/>
            </w:tcBorders>
            <w:vAlign w:val="center"/>
          </w:tcPr>
          <w:p w14:paraId="755375A8" w14:textId="77777777" w:rsidR="00B95DFA" w:rsidRDefault="00B95DFA" w:rsidP="00CE3A37">
            <w:pPr>
              <w:spacing w:line="360" w:lineRule="auto"/>
              <w:jc w:val="center"/>
              <w:rPr>
                <w:rFonts w:ascii="Arial" w:hAnsi="Arial" w:cs="Arial"/>
                <w:b/>
              </w:rPr>
            </w:pPr>
            <w:r>
              <w:rPr>
                <w:rFonts w:ascii="Arial" w:hAnsi="Arial" w:cs="Arial"/>
                <w:b/>
              </w:rPr>
              <w:t>Done</w:t>
            </w:r>
          </w:p>
        </w:tc>
        <w:tc>
          <w:tcPr>
            <w:tcW w:w="816" w:type="dxa"/>
            <w:tcBorders>
              <w:top w:val="single" w:sz="12" w:space="0" w:color="auto"/>
              <w:bottom w:val="single" w:sz="24" w:space="0" w:color="auto"/>
            </w:tcBorders>
            <w:vAlign w:val="center"/>
          </w:tcPr>
          <w:p w14:paraId="1DD5A41F" w14:textId="77777777" w:rsidR="00B95DFA" w:rsidRDefault="00B95DFA" w:rsidP="00CE3A37">
            <w:pPr>
              <w:spacing w:line="360" w:lineRule="auto"/>
              <w:jc w:val="center"/>
              <w:rPr>
                <w:rFonts w:ascii="Arial" w:hAnsi="Arial" w:cs="Arial"/>
                <w:b/>
              </w:rPr>
            </w:pPr>
            <w:r>
              <w:rPr>
                <w:rFonts w:ascii="Arial" w:hAnsi="Arial" w:cs="Arial"/>
                <w:b/>
              </w:rPr>
              <w:t>Done</w:t>
            </w:r>
          </w:p>
        </w:tc>
        <w:tc>
          <w:tcPr>
            <w:tcW w:w="816" w:type="dxa"/>
            <w:tcBorders>
              <w:top w:val="single" w:sz="12" w:space="0" w:color="auto"/>
              <w:bottom w:val="single" w:sz="24" w:space="0" w:color="auto"/>
              <w:right w:val="single" w:sz="18" w:space="0" w:color="auto"/>
            </w:tcBorders>
            <w:vAlign w:val="center"/>
          </w:tcPr>
          <w:p w14:paraId="2805F6EE" w14:textId="77777777" w:rsidR="00B95DFA" w:rsidRDefault="00B95DFA" w:rsidP="00CE3A37">
            <w:pPr>
              <w:spacing w:line="360" w:lineRule="auto"/>
              <w:jc w:val="center"/>
              <w:rPr>
                <w:rFonts w:ascii="Arial" w:hAnsi="Arial" w:cs="Arial"/>
                <w:b/>
              </w:rPr>
            </w:pPr>
            <w:r>
              <w:rPr>
                <w:rFonts w:ascii="Arial" w:hAnsi="Arial" w:cs="Arial"/>
                <w:b/>
              </w:rPr>
              <w:t>Done</w:t>
            </w:r>
          </w:p>
        </w:tc>
      </w:tr>
      <w:tr w:rsidR="00B95DFA" w14:paraId="1FD79CFD" w14:textId="77777777" w:rsidTr="00CE3A37">
        <w:trPr>
          <w:trHeight w:val="298"/>
        </w:trPr>
        <w:tc>
          <w:tcPr>
            <w:tcW w:w="959" w:type="dxa"/>
            <w:tcBorders>
              <w:top w:val="single" w:sz="12" w:space="0" w:color="auto"/>
              <w:left w:val="single" w:sz="18" w:space="0" w:color="auto"/>
            </w:tcBorders>
            <w:vAlign w:val="bottom"/>
          </w:tcPr>
          <w:p w14:paraId="09AE3767"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1</w:t>
            </w:r>
          </w:p>
        </w:tc>
        <w:tc>
          <w:tcPr>
            <w:tcW w:w="3685" w:type="dxa"/>
            <w:tcBorders>
              <w:top w:val="single" w:sz="12" w:space="0" w:color="auto"/>
            </w:tcBorders>
            <w:vAlign w:val="center"/>
          </w:tcPr>
          <w:p w14:paraId="7B901EDD" w14:textId="77777777" w:rsidR="00B95DFA" w:rsidRPr="001635AD" w:rsidRDefault="00B95DFA" w:rsidP="00CE3A37">
            <w:pPr>
              <w:rPr>
                <w:rFonts w:ascii="Arial" w:hAnsi="Arial" w:cs="Arial"/>
                <w:sz w:val="22"/>
                <w:szCs w:val="22"/>
              </w:rPr>
            </w:pPr>
            <w:r>
              <w:rPr>
                <w:rFonts w:ascii="Arial" w:hAnsi="Arial" w:cs="Arial"/>
                <w:sz w:val="22"/>
                <w:szCs w:val="22"/>
              </w:rPr>
              <w:t>Thaw Mouse serum samples and keep on ice</w:t>
            </w:r>
          </w:p>
        </w:tc>
        <w:tc>
          <w:tcPr>
            <w:tcW w:w="1270" w:type="dxa"/>
            <w:tcBorders>
              <w:top w:val="single" w:sz="12" w:space="0" w:color="auto"/>
            </w:tcBorders>
            <w:vAlign w:val="bottom"/>
          </w:tcPr>
          <w:p w14:paraId="62FD0A2E" w14:textId="77777777" w:rsidR="00B95DFA" w:rsidRPr="001635AD" w:rsidRDefault="00B95DFA" w:rsidP="00CE3A37">
            <w:pPr>
              <w:spacing w:line="360" w:lineRule="auto"/>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tcBorders>
              <w:top w:val="single" w:sz="12" w:space="0" w:color="auto"/>
            </w:tcBorders>
            <w:vAlign w:val="bottom"/>
          </w:tcPr>
          <w:p w14:paraId="207C7755" w14:textId="77777777" w:rsidR="00B95DFA" w:rsidRPr="001635AD" w:rsidRDefault="00B95DFA" w:rsidP="00CE3A37">
            <w:pPr>
              <w:spacing w:line="360" w:lineRule="auto"/>
              <w:jc w:val="center"/>
              <w:rPr>
                <w:rFonts w:ascii="Arial" w:hAnsi="Arial" w:cs="Arial"/>
                <w:sz w:val="22"/>
                <w:szCs w:val="22"/>
              </w:rPr>
            </w:pPr>
            <w:r>
              <w:rPr>
                <w:rFonts w:ascii="Arial" w:hAnsi="Arial" w:cs="Arial"/>
                <w:sz w:val="22"/>
                <w:szCs w:val="22"/>
              </w:rPr>
              <w:t>1</w:t>
            </w:r>
            <w:r w:rsidRPr="001635AD">
              <w:rPr>
                <w:rFonts w:ascii="Arial" w:hAnsi="Arial" w:cs="Arial"/>
                <w:sz w:val="22"/>
                <w:szCs w:val="22"/>
              </w:rPr>
              <w:t>h</w:t>
            </w:r>
            <w:r>
              <w:rPr>
                <w:rFonts w:ascii="Arial" w:hAnsi="Arial" w:cs="Arial"/>
                <w:sz w:val="22"/>
                <w:szCs w:val="22"/>
              </w:rPr>
              <w:t>our</w:t>
            </w:r>
          </w:p>
        </w:tc>
        <w:tc>
          <w:tcPr>
            <w:tcW w:w="833" w:type="dxa"/>
            <w:tcBorders>
              <w:top w:val="single" w:sz="12" w:space="0" w:color="auto"/>
            </w:tcBorders>
          </w:tcPr>
          <w:p w14:paraId="61FAAB94" w14:textId="77777777" w:rsidR="00B95DFA" w:rsidRPr="001635AD" w:rsidRDefault="00B95DFA" w:rsidP="00CE3A37">
            <w:pPr>
              <w:spacing w:line="480" w:lineRule="auto"/>
              <w:jc w:val="center"/>
              <w:rPr>
                <w:rFonts w:ascii="Arial" w:hAnsi="Arial" w:cs="Arial"/>
                <w:b/>
                <w:sz w:val="22"/>
                <w:szCs w:val="22"/>
              </w:rPr>
            </w:pPr>
          </w:p>
        </w:tc>
        <w:tc>
          <w:tcPr>
            <w:tcW w:w="816" w:type="dxa"/>
            <w:tcBorders>
              <w:top w:val="single" w:sz="12" w:space="0" w:color="auto"/>
            </w:tcBorders>
          </w:tcPr>
          <w:p w14:paraId="68953357" w14:textId="77777777" w:rsidR="00B95DFA" w:rsidRPr="001635AD" w:rsidRDefault="00B95DFA" w:rsidP="00CE3A37">
            <w:pPr>
              <w:spacing w:line="480" w:lineRule="auto"/>
              <w:jc w:val="center"/>
              <w:rPr>
                <w:rFonts w:ascii="Arial" w:hAnsi="Arial" w:cs="Arial"/>
                <w:b/>
                <w:sz w:val="22"/>
                <w:szCs w:val="22"/>
              </w:rPr>
            </w:pPr>
          </w:p>
        </w:tc>
        <w:tc>
          <w:tcPr>
            <w:tcW w:w="816" w:type="dxa"/>
            <w:tcBorders>
              <w:top w:val="single" w:sz="12" w:space="0" w:color="auto"/>
              <w:right w:val="single" w:sz="18" w:space="0" w:color="auto"/>
            </w:tcBorders>
          </w:tcPr>
          <w:p w14:paraId="3EDF83FF" w14:textId="77777777" w:rsidR="00B95DFA" w:rsidRPr="001635AD" w:rsidRDefault="00B95DFA" w:rsidP="00CE3A37">
            <w:pPr>
              <w:spacing w:line="480" w:lineRule="auto"/>
              <w:jc w:val="center"/>
              <w:rPr>
                <w:rFonts w:ascii="Arial" w:hAnsi="Arial" w:cs="Arial"/>
                <w:b/>
                <w:sz w:val="22"/>
                <w:szCs w:val="22"/>
              </w:rPr>
            </w:pPr>
          </w:p>
        </w:tc>
      </w:tr>
      <w:tr w:rsidR="00B95DFA" w14:paraId="16993C67" w14:textId="77777777" w:rsidTr="00CE3A37">
        <w:tc>
          <w:tcPr>
            <w:tcW w:w="959" w:type="dxa"/>
            <w:tcBorders>
              <w:left w:val="single" w:sz="18" w:space="0" w:color="auto"/>
            </w:tcBorders>
            <w:vAlign w:val="bottom"/>
          </w:tcPr>
          <w:p w14:paraId="2DAE5719"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2</w:t>
            </w:r>
          </w:p>
        </w:tc>
        <w:tc>
          <w:tcPr>
            <w:tcW w:w="3685" w:type="dxa"/>
          </w:tcPr>
          <w:p w14:paraId="145034F9" w14:textId="77777777" w:rsidR="00B95DFA" w:rsidRPr="00A00C0B" w:rsidRDefault="00B95DFA" w:rsidP="00CE3A37">
            <w:pPr>
              <w:rPr>
                <w:rFonts w:ascii="Arial" w:hAnsi="Arial" w:cs="Arial"/>
                <w:b/>
                <w:sz w:val="22"/>
                <w:szCs w:val="22"/>
              </w:rPr>
            </w:pPr>
            <w:r w:rsidRPr="005E3D20">
              <w:rPr>
                <w:rFonts w:ascii="Arial" w:hAnsi="Arial" w:cs="Arial"/>
                <w:b/>
                <w:sz w:val="22"/>
                <w:szCs w:val="22"/>
              </w:rPr>
              <w:t xml:space="preserve">Prepare </w:t>
            </w:r>
            <w:r>
              <w:rPr>
                <w:rFonts w:ascii="Arial" w:hAnsi="Arial" w:cs="Arial"/>
                <w:b/>
                <w:sz w:val="22"/>
                <w:szCs w:val="22"/>
              </w:rPr>
              <w:t>Standards</w:t>
            </w:r>
            <w:r w:rsidRPr="005E3D20">
              <w:rPr>
                <w:rFonts w:ascii="Arial" w:hAnsi="Arial" w:cs="Arial"/>
                <w:b/>
                <w:sz w:val="22"/>
                <w:szCs w:val="22"/>
              </w:rPr>
              <w:t>:</w:t>
            </w:r>
            <w:r>
              <w:rPr>
                <w:rFonts w:ascii="Arial" w:hAnsi="Arial" w:cs="Arial"/>
                <w:b/>
                <w:sz w:val="22"/>
                <w:szCs w:val="22"/>
              </w:rPr>
              <w:t xml:space="preserve"> </w:t>
            </w:r>
            <w:r>
              <w:rPr>
                <w:rFonts w:ascii="Arial" w:hAnsi="Arial" w:cs="Arial"/>
                <w:sz w:val="22"/>
                <w:szCs w:val="22"/>
              </w:rPr>
              <w:t>Produce an eight-point standard curve with a 1:4 (fourfold) dilution series of standards with standard diluent</w:t>
            </w:r>
          </w:p>
        </w:tc>
        <w:tc>
          <w:tcPr>
            <w:tcW w:w="1270" w:type="dxa"/>
            <w:vAlign w:val="bottom"/>
          </w:tcPr>
          <w:p w14:paraId="640CF498"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601057A3" w14:textId="77777777" w:rsidR="00B95DFA" w:rsidRPr="005B164A" w:rsidRDefault="00B95DFA" w:rsidP="00CE3A37">
            <w:pPr>
              <w:spacing w:line="360" w:lineRule="auto"/>
              <w:jc w:val="center"/>
              <w:rPr>
                <w:rFonts w:ascii="Arial" w:hAnsi="Arial" w:cs="Arial"/>
                <w:sz w:val="22"/>
                <w:szCs w:val="22"/>
              </w:rPr>
            </w:pPr>
          </w:p>
        </w:tc>
        <w:tc>
          <w:tcPr>
            <w:tcW w:w="833" w:type="dxa"/>
          </w:tcPr>
          <w:p w14:paraId="6DFF020C" w14:textId="77777777" w:rsidR="00B95DFA" w:rsidRPr="001635AD" w:rsidRDefault="00B95DFA" w:rsidP="00CE3A37">
            <w:pPr>
              <w:spacing w:line="480" w:lineRule="auto"/>
              <w:jc w:val="center"/>
              <w:rPr>
                <w:rFonts w:ascii="Arial" w:hAnsi="Arial" w:cs="Arial"/>
                <w:b/>
                <w:sz w:val="22"/>
                <w:szCs w:val="22"/>
              </w:rPr>
            </w:pPr>
          </w:p>
        </w:tc>
        <w:tc>
          <w:tcPr>
            <w:tcW w:w="816" w:type="dxa"/>
          </w:tcPr>
          <w:p w14:paraId="6AFE6D89"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3DBCFF41" w14:textId="77777777" w:rsidR="00B95DFA" w:rsidRPr="001635AD" w:rsidRDefault="00B95DFA" w:rsidP="00CE3A37">
            <w:pPr>
              <w:spacing w:line="480" w:lineRule="auto"/>
              <w:jc w:val="center"/>
              <w:rPr>
                <w:rFonts w:ascii="Arial" w:hAnsi="Arial" w:cs="Arial"/>
                <w:b/>
                <w:sz w:val="22"/>
                <w:szCs w:val="22"/>
              </w:rPr>
            </w:pPr>
          </w:p>
        </w:tc>
      </w:tr>
      <w:tr w:rsidR="00B95DFA" w14:paraId="0A945B0D" w14:textId="77777777" w:rsidTr="00CE3A37">
        <w:tc>
          <w:tcPr>
            <w:tcW w:w="959" w:type="dxa"/>
            <w:tcBorders>
              <w:left w:val="single" w:sz="18" w:space="0" w:color="auto"/>
            </w:tcBorders>
            <w:vAlign w:val="bottom"/>
          </w:tcPr>
          <w:p w14:paraId="0FAF0274"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3</w:t>
            </w:r>
          </w:p>
        </w:tc>
        <w:tc>
          <w:tcPr>
            <w:tcW w:w="3685" w:type="dxa"/>
          </w:tcPr>
          <w:p w14:paraId="47FDD71C" w14:textId="77777777" w:rsidR="00B95DFA" w:rsidRPr="005E3D20" w:rsidRDefault="00B95DFA" w:rsidP="00CE3A37">
            <w:pPr>
              <w:rPr>
                <w:rFonts w:ascii="Arial" w:hAnsi="Arial" w:cs="Arial"/>
                <w:b/>
                <w:sz w:val="22"/>
                <w:szCs w:val="22"/>
              </w:rPr>
            </w:pPr>
            <w:r w:rsidRPr="005E3D20">
              <w:rPr>
                <w:rFonts w:ascii="Arial" w:hAnsi="Arial" w:cs="Arial"/>
                <w:b/>
                <w:sz w:val="22"/>
                <w:szCs w:val="22"/>
              </w:rPr>
              <w:t xml:space="preserve">Prepare 1x </w:t>
            </w:r>
            <w:r>
              <w:rPr>
                <w:rFonts w:ascii="Arial" w:hAnsi="Arial" w:cs="Arial"/>
                <w:b/>
                <w:sz w:val="22"/>
                <w:szCs w:val="22"/>
              </w:rPr>
              <w:t>Magnetic beads</w:t>
            </w:r>
            <w:r w:rsidRPr="005E3D20">
              <w:rPr>
                <w:rFonts w:ascii="Arial" w:hAnsi="Arial" w:cs="Arial"/>
                <w:b/>
                <w:sz w:val="22"/>
                <w:szCs w:val="22"/>
              </w:rPr>
              <w:t>:</w:t>
            </w:r>
          </w:p>
          <w:p w14:paraId="70322523" w14:textId="77777777" w:rsidR="00B95DFA" w:rsidRPr="005E3D20" w:rsidRDefault="00B95DFA" w:rsidP="00CE3A37">
            <w:pPr>
              <w:rPr>
                <w:rFonts w:ascii="Arial" w:hAnsi="Arial" w:cs="Arial"/>
                <w:b/>
                <w:sz w:val="22"/>
                <w:szCs w:val="22"/>
              </w:rPr>
            </w:pPr>
            <w:r>
              <w:rPr>
                <w:rFonts w:ascii="Arial" w:hAnsi="Arial" w:cs="Arial"/>
                <w:sz w:val="22"/>
                <w:szCs w:val="22"/>
              </w:rPr>
              <w:t>288μl 20x beads in 5472μl assay buffer, protect from light, mix 30sec</w:t>
            </w:r>
          </w:p>
        </w:tc>
        <w:tc>
          <w:tcPr>
            <w:tcW w:w="1270" w:type="dxa"/>
            <w:vAlign w:val="bottom"/>
          </w:tcPr>
          <w:p w14:paraId="4EC792FF"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595F0E09" w14:textId="77777777" w:rsidR="00B95DFA" w:rsidRPr="005B164A" w:rsidRDefault="00B95DFA" w:rsidP="00CE3A37">
            <w:pPr>
              <w:spacing w:line="360" w:lineRule="auto"/>
              <w:jc w:val="center"/>
              <w:rPr>
                <w:rFonts w:ascii="Arial" w:hAnsi="Arial" w:cs="Arial"/>
                <w:sz w:val="22"/>
                <w:szCs w:val="22"/>
              </w:rPr>
            </w:pPr>
          </w:p>
        </w:tc>
        <w:tc>
          <w:tcPr>
            <w:tcW w:w="833" w:type="dxa"/>
          </w:tcPr>
          <w:p w14:paraId="2EAA6176" w14:textId="77777777" w:rsidR="00B95DFA" w:rsidRPr="001635AD" w:rsidRDefault="00B95DFA" w:rsidP="00CE3A37">
            <w:pPr>
              <w:spacing w:line="480" w:lineRule="auto"/>
              <w:jc w:val="center"/>
              <w:rPr>
                <w:rFonts w:ascii="Arial" w:hAnsi="Arial" w:cs="Arial"/>
                <w:b/>
                <w:sz w:val="22"/>
                <w:szCs w:val="22"/>
              </w:rPr>
            </w:pPr>
          </w:p>
        </w:tc>
        <w:tc>
          <w:tcPr>
            <w:tcW w:w="816" w:type="dxa"/>
          </w:tcPr>
          <w:p w14:paraId="5969BED0"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48CA0E53" w14:textId="77777777" w:rsidR="00B95DFA" w:rsidRPr="001635AD" w:rsidRDefault="00B95DFA" w:rsidP="00CE3A37">
            <w:pPr>
              <w:spacing w:line="480" w:lineRule="auto"/>
              <w:jc w:val="center"/>
              <w:rPr>
                <w:rFonts w:ascii="Arial" w:hAnsi="Arial" w:cs="Arial"/>
                <w:b/>
                <w:sz w:val="22"/>
                <w:szCs w:val="22"/>
              </w:rPr>
            </w:pPr>
          </w:p>
        </w:tc>
      </w:tr>
      <w:tr w:rsidR="00B95DFA" w14:paraId="681A776A" w14:textId="77777777" w:rsidTr="00CE3A37">
        <w:tc>
          <w:tcPr>
            <w:tcW w:w="959" w:type="dxa"/>
            <w:tcBorders>
              <w:left w:val="single" w:sz="18" w:space="0" w:color="auto"/>
            </w:tcBorders>
            <w:vAlign w:val="bottom"/>
          </w:tcPr>
          <w:p w14:paraId="7875AD7A"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4</w:t>
            </w:r>
          </w:p>
        </w:tc>
        <w:tc>
          <w:tcPr>
            <w:tcW w:w="3685" w:type="dxa"/>
            <w:vAlign w:val="center"/>
          </w:tcPr>
          <w:p w14:paraId="558D2485" w14:textId="77777777" w:rsidR="00B95DFA" w:rsidRPr="005E3D20" w:rsidRDefault="00B95DFA" w:rsidP="00CE3A37">
            <w:pPr>
              <w:rPr>
                <w:rFonts w:ascii="Arial" w:hAnsi="Arial" w:cs="Arial"/>
                <w:b/>
                <w:sz w:val="22"/>
                <w:szCs w:val="22"/>
              </w:rPr>
            </w:pPr>
            <w:r>
              <w:rPr>
                <w:rFonts w:ascii="Arial" w:hAnsi="Arial" w:cs="Arial"/>
                <w:sz w:val="22"/>
                <w:szCs w:val="22"/>
              </w:rPr>
              <w:t>Add 50μl 1x beads to each well of the assay plate</w:t>
            </w:r>
          </w:p>
        </w:tc>
        <w:tc>
          <w:tcPr>
            <w:tcW w:w="1270" w:type="dxa"/>
            <w:vAlign w:val="bottom"/>
          </w:tcPr>
          <w:p w14:paraId="22BEDE41"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0F613896"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5min</w:t>
            </w:r>
          </w:p>
        </w:tc>
        <w:tc>
          <w:tcPr>
            <w:tcW w:w="833" w:type="dxa"/>
          </w:tcPr>
          <w:p w14:paraId="1FC48539" w14:textId="77777777" w:rsidR="00B95DFA" w:rsidRPr="001635AD" w:rsidRDefault="00B95DFA" w:rsidP="00CE3A37">
            <w:pPr>
              <w:spacing w:line="480" w:lineRule="auto"/>
              <w:jc w:val="center"/>
              <w:rPr>
                <w:rFonts w:ascii="Arial" w:hAnsi="Arial" w:cs="Arial"/>
                <w:b/>
                <w:sz w:val="22"/>
                <w:szCs w:val="22"/>
              </w:rPr>
            </w:pPr>
          </w:p>
        </w:tc>
        <w:tc>
          <w:tcPr>
            <w:tcW w:w="816" w:type="dxa"/>
          </w:tcPr>
          <w:p w14:paraId="51378E0F"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5B51B1AF" w14:textId="77777777" w:rsidR="00B95DFA" w:rsidRPr="001635AD" w:rsidRDefault="00B95DFA" w:rsidP="00CE3A37">
            <w:pPr>
              <w:spacing w:line="480" w:lineRule="auto"/>
              <w:jc w:val="center"/>
              <w:rPr>
                <w:rFonts w:ascii="Arial" w:hAnsi="Arial" w:cs="Arial"/>
                <w:b/>
                <w:sz w:val="22"/>
                <w:szCs w:val="22"/>
              </w:rPr>
            </w:pPr>
          </w:p>
        </w:tc>
      </w:tr>
      <w:tr w:rsidR="00B95DFA" w14:paraId="3A3C6B19" w14:textId="77777777" w:rsidTr="00CE3A37">
        <w:tc>
          <w:tcPr>
            <w:tcW w:w="959" w:type="dxa"/>
            <w:tcBorders>
              <w:left w:val="single" w:sz="18" w:space="0" w:color="auto"/>
            </w:tcBorders>
            <w:vAlign w:val="bottom"/>
          </w:tcPr>
          <w:p w14:paraId="5A640C7A"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5</w:t>
            </w:r>
          </w:p>
        </w:tc>
        <w:tc>
          <w:tcPr>
            <w:tcW w:w="3685" w:type="dxa"/>
          </w:tcPr>
          <w:p w14:paraId="4B3F7E89" w14:textId="77777777" w:rsidR="00B95DFA" w:rsidRPr="005E3D20" w:rsidRDefault="00B95DFA" w:rsidP="00CE3A37">
            <w:pPr>
              <w:rPr>
                <w:rFonts w:ascii="Arial" w:hAnsi="Arial" w:cs="Arial"/>
                <w:b/>
                <w:sz w:val="22"/>
                <w:szCs w:val="22"/>
              </w:rPr>
            </w:pPr>
            <w:r>
              <w:rPr>
                <w:rFonts w:ascii="Arial" w:hAnsi="Arial" w:cs="Arial"/>
                <w:sz w:val="22"/>
                <w:szCs w:val="22"/>
              </w:rPr>
              <w:t>Wash the plate (2x) with 100μl wash buffer</w:t>
            </w:r>
          </w:p>
        </w:tc>
        <w:tc>
          <w:tcPr>
            <w:tcW w:w="1270" w:type="dxa"/>
            <w:vAlign w:val="bottom"/>
          </w:tcPr>
          <w:p w14:paraId="5DE61BEB"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5FC9F184"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5</w:t>
            </w:r>
            <w:r w:rsidRPr="005B164A">
              <w:rPr>
                <w:rFonts w:ascii="Arial" w:hAnsi="Arial" w:cs="Arial"/>
                <w:sz w:val="22"/>
                <w:szCs w:val="22"/>
              </w:rPr>
              <w:t>min</w:t>
            </w:r>
          </w:p>
        </w:tc>
        <w:tc>
          <w:tcPr>
            <w:tcW w:w="833" w:type="dxa"/>
          </w:tcPr>
          <w:p w14:paraId="61434B6A" w14:textId="77777777" w:rsidR="00B95DFA" w:rsidRPr="001635AD" w:rsidRDefault="00B95DFA" w:rsidP="00CE3A37">
            <w:pPr>
              <w:spacing w:line="480" w:lineRule="auto"/>
              <w:jc w:val="center"/>
              <w:rPr>
                <w:rFonts w:ascii="Arial" w:hAnsi="Arial" w:cs="Arial"/>
                <w:b/>
                <w:sz w:val="22"/>
                <w:szCs w:val="22"/>
              </w:rPr>
            </w:pPr>
          </w:p>
        </w:tc>
        <w:tc>
          <w:tcPr>
            <w:tcW w:w="816" w:type="dxa"/>
          </w:tcPr>
          <w:p w14:paraId="6DB10203"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3AA72B7F" w14:textId="77777777" w:rsidR="00B95DFA" w:rsidRPr="001635AD" w:rsidRDefault="00B95DFA" w:rsidP="00CE3A37">
            <w:pPr>
              <w:spacing w:line="480" w:lineRule="auto"/>
              <w:jc w:val="center"/>
              <w:rPr>
                <w:rFonts w:ascii="Arial" w:hAnsi="Arial" w:cs="Arial"/>
                <w:b/>
                <w:sz w:val="22"/>
                <w:szCs w:val="22"/>
              </w:rPr>
            </w:pPr>
          </w:p>
        </w:tc>
      </w:tr>
      <w:tr w:rsidR="00B95DFA" w14:paraId="0A1365A1" w14:textId="77777777" w:rsidTr="00CE3A37">
        <w:tc>
          <w:tcPr>
            <w:tcW w:w="959" w:type="dxa"/>
            <w:tcBorders>
              <w:left w:val="single" w:sz="18" w:space="0" w:color="auto"/>
            </w:tcBorders>
            <w:vAlign w:val="bottom"/>
          </w:tcPr>
          <w:p w14:paraId="3AE56E42" w14:textId="77777777" w:rsidR="00B95DFA" w:rsidRPr="001635AD" w:rsidRDefault="00B95DFA" w:rsidP="00CE3A37">
            <w:pPr>
              <w:spacing w:line="360" w:lineRule="auto"/>
              <w:jc w:val="center"/>
              <w:rPr>
                <w:rFonts w:ascii="Arial" w:hAnsi="Arial" w:cs="Arial"/>
                <w:b/>
                <w:sz w:val="22"/>
                <w:szCs w:val="22"/>
              </w:rPr>
            </w:pPr>
            <w:r w:rsidRPr="001635AD">
              <w:rPr>
                <w:rFonts w:ascii="Arial" w:hAnsi="Arial" w:cs="Arial"/>
                <w:b/>
                <w:sz w:val="22"/>
                <w:szCs w:val="22"/>
              </w:rPr>
              <w:t>6</w:t>
            </w:r>
          </w:p>
        </w:tc>
        <w:tc>
          <w:tcPr>
            <w:tcW w:w="3685" w:type="dxa"/>
          </w:tcPr>
          <w:p w14:paraId="0EC39B18" w14:textId="77777777" w:rsidR="00B95DFA" w:rsidRPr="005E3D20" w:rsidRDefault="00B95DFA" w:rsidP="00CE3A37">
            <w:pPr>
              <w:rPr>
                <w:rFonts w:ascii="Arial" w:hAnsi="Arial" w:cs="Arial"/>
                <w:b/>
                <w:sz w:val="22"/>
                <w:szCs w:val="22"/>
              </w:rPr>
            </w:pPr>
            <w:r w:rsidRPr="00F327C0">
              <w:rPr>
                <w:rFonts w:ascii="Arial" w:hAnsi="Arial" w:cs="Arial"/>
                <w:sz w:val="22"/>
                <w:szCs w:val="22"/>
              </w:rPr>
              <w:t xml:space="preserve">Add </w:t>
            </w:r>
            <w:r>
              <w:rPr>
                <w:rFonts w:ascii="Arial" w:hAnsi="Arial" w:cs="Arial"/>
                <w:sz w:val="22"/>
                <w:szCs w:val="22"/>
              </w:rPr>
              <w:t>50μl diluted standards, blanks and samples to wells, cover plate with sealing tape and protect from light with aluminium foil</w:t>
            </w:r>
          </w:p>
        </w:tc>
        <w:tc>
          <w:tcPr>
            <w:tcW w:w="1270" w:type="dxa"/>
            <w:vAlign w:val="bottom"/>
          </w:tcPr>
          <w:p w14:paraId="01219548"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0068890F"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5min</w:t>
            </w:r>
          </w:p>
        </w:tc>
        <w:tc>
          <w:tcPr>
            <w:tcW w:w="833" w:type="dxa"/>
          </w:tcPr>
          <w:p w14:paraId="455EA3C5" w14:textId="77777777" w:rsidR="00B95DFA" w:rsidRPr="001635AD" w:rsidRDefault="00B95DFA" w:rsidP="00CE3A37">
            <w:pPr>
              <w:spacing w:line="480" w:lineRule="auto"/>
              <w:jc w:val="center"/>
              <w:rPr>
                <w:rFonts w:ascii="Arial" w:hAnsi="Arial" w:cs="Arial"/>
                <w:b/>
                <w:sz w:val="22"/>
                <w:szCs w:val="22"/>
              </w:rPr>
            </w:pPr>
          </w:p>
        </w:tc>
        <w:tc>
          <w:tcPr>
            <w:tcW w:w="816" w:type="dxa"/>
          </w:tcPr>
          <w:p w14:paraId="5ABD9F0E"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378BD266" w14:textId="77777777" w:rsidR="00B95DFA" w:rsidRPr="001635AD" w:rsidRDefault="00B95DFA" w:rsidP="00CE3A37">
            <w:pPr>
              <w:spacing w:line="480" w:lineRule="auto"/>
              <w:jc w:val="center"/>
              <w:rPr>
                <w:rFonts w:ascii="Arial" w:hAnsi="Arial" w:cs="Arial"/>
                <w:b/>
                <w:sz w:val="22"/>
                <w:szCs w:val="22"/>
              </w:rPr>
            </w:pPr>
          </w:p>
        </w:tc>
      </w:tr>
      <w:tr w:rsidR="00B95DFA" w14:paraId="0A260677" w14:textId="77777777" w:rsidTr="00CE3A37">
        <w:tc>
          <w:tcPr>
            <w:tcW w:w="959" w:type="dxa"/>
            <w:tcBorders>
              <w:left w:val="single" w:sz="18" w:space="0" w:color="auto"/>
            </w:tcBorders>
            <w:vAlign w:val="bottom"/>
          </w:tcPr>
          <w:p w14:paraId="252E8B69" w14:textId="77777777" w:rsidR="00B95DFA" w:rsidRPr="001635AD" w:rsidRDefault="00B95DFA" w:rsidP="00CE3A37">
            <w:pPr>
              <w:spacing w:line="360" w:lineRule="auto"/>
              <w:jc w:val="center"/>
              <w:rPr>
                <w:rFonts w:ascii="Arial" w:hAnsi="Arial" w:cs="Arial"/>
                <w:b/>
                <w:sz w:val="22"/>
                <w:szCs w:val="22"/>
              </w:rPr>
            </w:pPr>
            <w:r>
              <w:rPr>
                <w:rFonts w:ascii="Arial" w:hAnsi="Arial" w:cs="Arial"/>
                <w:b/>
                <w:sz w:val="22"/>
                <w:szCs w:val="22"/>
              </w:rPr>
              <w:t>7</w:t>
            </w:r>
          </w:p>
        </w:tc>
        <w:tc>
          <w:tcPr>
            <w:tcW w:w="3685" w:type="dxa"/>
            <w:vAlign w:val="bottom"/>
          </w:tcPr>
          <w:p w14:paraId="05A6FE49" w14:textId="77777777" w:rsidR="00B95DFA" w:rsidRPr="00005E19" w:rsidRDefault="00B95DFA" w:rsidP="00CE3A37">
            <w:pPr>
              <w:rPr>
                <w:rFonts w:ascii="Arial" w:hAnsi="Arial" w:cs="Arial"/>
                <w:sz w:val="22"/>
                <w:szCs w:val="22"/>
              </w:rPr>
            </w:pPr>
            <w:r>
              <w:rPr>
                <w:rFonts w:ascii="Arial" w:hAnsi="Arial" w:cs="Arial"/>
                <w:sz w:val="22"/>
                <w:szCs w:val="22"/>
              </w:rPr>
              <w:t>Incubate with shaking at 850±50rpm</w:t>
            </w:r>
          </w:p>
        </w:tc>
        <w:tc>
          <w:tcPr>
            <w:tcW w:w="1270" w:type="dxa"/>
            <w:vAlign w:val="bottom"/>
          </w:tcPr>
          <w:p w14:paraId="7275E067" w14:textId="77777777" w:rsidR="00B95DFA" w:rsidRPr="001635AD" w:rsidRDefault="00B95DFA" w:rsidP="00CE3A37">
            <w:pPr>
              <w:spacing w:line="360" w:lineRule="auto"/>
              <w:jc w:val="center"/>
              <w:rPr>
                <w:rFonts w:ascii="Arial" w:hAnsi="Arial" w:cs="Arial"/>
                <w:b/>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2F2EBDDD"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1hour</w:t>
            </w:r>
          </w:p>
        </w:tc>
        <w:tc>
          <w:tcPr>
            <w:tcW w:w="833" w:type="dxa"/>
          </w:tcPr>
          <w:p w14:paraId="2F36973C" w14:textId="77777777" w:rsidR="00B95DFA" w:rsidRPr="001635AD" w:rsidRDefault="00B95DFA" w:rsidP="00CE3A37">
            <w:pPr>
              <w:spacing w:line="480" w:lineRule="auto"/>
              <w:jc w:val="center"/>
              <w:rPr>
                <w:rFonts w:ascii="Arial" w:hAnsi="Arial" w:cs="Arial"/>
                <w:b/>
                <w:sz w:val="22"/>
                <w:szCs w:val="22"/>
              </w:rPr>
            </w:pPr>
          </w:p>
        </w:tc>
        <w:tc>
          <w:tcPr>
            <w:tcW w:w="816" w:type="dxa"/>
          </w:tcPr>
          <w:p w14:paraId="5C54AB5E"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373F156F" w14:textId="77777777" w:rsidR="00B95DFA" w:rsidRPr="001635AD" w:rsidRDefault="00B95DFA" w:rsidP="00CE3A37">
            <w:pPr>
              <w:spacing w:line="480" w:lineRule="auto"/>
              <w:jc w:val="center"/>
              <w:rPr>
                <w:rFonts w:ascii="Arial" w:hAnsi="Arial" w:cs="Arial"/>
                <w:b/>
                <w:sz w:val="22"/>
                <w:szCs w:val="22"/>
              </w:rPr>
            </w:pPr>
          </w:p>
        </w:tc>
      </w:tr>
      <w:tr w:rsidR="00B95DFA" w14:paraId="3BFD854A" w14:textId="77777777" w:rsidTr="00CE3A37">
        <w:tc>
          <w:tcPr>
            <w:tcW w:w="959" w:type="dxa"/>
            <w:tcBorders>
              <w:left w:val="single" w:sz="18" w:space="0" w:color="auto"/>
            </w:tcBorders>
            <w:vAlign w:val="bottom"/>
          </w:tcPr>
          <w:p w14:paraId="6FD2AD1D" w14:textId="77777777" w:rsidR="00B95DFA" w:rsidRDefault="00B95DFA" w:rsidP="00CE3A37">
            <w:pPr>
              <w:spacing w:line="360" w:lineRule="auto"/>
              <w:jc w:val="center"/>
              <w:rPr>
                <w:rFonts w:ascii="Arial" w:hAnsi="Arial" w:cs="Arial"/>
                <w:b/>
                <w:sz w:val="22"/>
                <w:szCs w:val="22"/>
              </w:rPr>
            </w:pPr>
            <w:r>
              <w:rPr>
                <w:rFonts w:ascii="Arial" w:hAnsi="Arial" w:cs="Arial"/>
                <w:b/>
                <w:sz w:val="22"/>
                <w:szCs w:val="22"/>
              </w:rPr>
              <w:t>8</w:t>
            </w:r>
          </w:p>
        </w:tc>
        <w:tc>
          <w:tcPr>
            <w:tcW w:w="3685" w:type="dxa"/>
            <w:vAlign w:val="bottom"/>
          </w:tcPr>
          <w:p w14:paraId="00481FFC" w14:textId="77777777" w:rsidR="00B95DFA" w:rsidRDefault="00B95DFA" w:rsidP="00CE3A37">
            <w:pPr>
              <w:rPr>
                <w:rFonts w:ascii="Arial" w:hAnsi="Arial" w:cs="Arial"/>
                <w:b/>
                <w:sz w:val="22"/>
                <w:szCs w:val="22"/>
              </w:rPr>
            </w:pPr>
            <w:r w:rsidRPr="005E3D20">
              <w:rPr>
                <w:rFonts w:ascii="Arial" w:hAnsi="Arial" w:cs="Arial"/>
                <w:b/>
                <w:sz w:val="22"/>
                <w:szCs w:val="22"/>
              </w:rPr>
              <w:t xml:space="preserve">Prepare 1x </w:t>
            </w:r>
            <w:r>
              <w:rPr>
                <w:rFonts w:ascii="Arial" w:hAnsi="Arial" w:cs="Arial"/>
                <w:b/>
                <w:sz w:val="22"/>
                <w:szCs w:val="22"/>
              </w:rPr>
              <w:t>Detection antibodies</w:t>
            </w:r>
            <w:r w:rsidRPr="005E3D20">
              <w:rPr>
                <w:rFonts w:ascii="Arial" w:hAnsi="Arial" w:cs="Arial"/>
                <w:b/>
                <w:sz w:val="22"/>
                <w:szCs w:val="22"/>
              </w:rPr>
              <w:t>:</w:t>
            </w:r>
          </w:p>
          <w:p w14:paraId="69FFB021" w14:textId="77777777" w:rsidR="00B95DFA" w:rsidRPr="00FF49BF" w:rsidRDefault="00B95DFA" w:rsidP="00CE3A37">
            <w:pPr>
              <w:rPr>
                <w:rFonts w:ascii="Arial" w:hAnsi="Arial" w:cs="Arial"/>
                <w:b/>
                <w:sz w:val="22"/>
                <w:szCs w:val="22"/>
              </w:rPr>
            </w:pPr>
            <w:r>
              <w:rPr>
                <w:rFonts w:ascii="Arial" w:hAnsi="Arial" w:cs="Arial"/>
                <w:sz w:val="22"/>
                <w:szCs w:val="22"/>
              </w:rPr>
              <w:t>150μl 20x detection antibodies in 2850μl detection antibody diluent</w:t>
            </w:r>
          </w:p>
        </w:tc>
        <w:tc>
          <w:tcPr>
            <w:tcW w:w="1270" w:type="dxa"/>
            <w:vAlign w:val="bottom"/>
          </w:tcPr>
          <w:p w14:paraId="1114DAED"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681F7E67" w14:textId="77777777" w:rsidR="00B95DFA" w:rsidRDefault="00B95DFA" w:rsidP="00CE3A37">
            <w:pPr>
              <w:spacing w:line="360" w:lineRule="auto"/>
              <w:jc w:val="center"/>
              <w:rPr>
                <w:rFonts w:ascii="Arial" w:hAnsi="Arial" w:cs="Arial"/>
                <w:sz w:val="22"/>
                <w:szCs w:val="22"/>
              </w:rPr>
            </w:pPr>
          </w:p>
        </w:tc>
        <w:tc>
          <w:tcPr>
            <w:tcW w:w="833" w:type="dxa"/>
          </w:tcPr>
          <w:p w14:paraId="1B411A20" w14:textId="77777777" w:rsidR="00B95DFA" w:rsidRPr="001635AD" w:rsidRDefault="00B95DFA" w:rsidP="00CE3A37">
            <w:pPr>
              <w:spacing w:line="480" w:lineRule="auto"/>
              <w:jc w:val="center"/>
              <w:rPr>
                <w:rFonts w:ascii="Arial" w:hAnsi="Arial" w:cs="Arial"/>
                <w:b/>
                <w:sz w:val="22"/>
                <w:szCs w:val="22"/>
              </w:rPr>
            </w:pPr>
          </w:p>
        </w:tc>
        <w:tc>
          <w:tcPr>
            <w:tcW w:w="816" w:type="dxa"/>
          </w:tcPr>
          <w:p w14:paraId="2B93F5E6"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664D3BD7" w14:textId="77777777" w:rsidR="00B95DFA" w:rsidRPr="001635AD" w:rsidRDefault="00B95DFA" w:rsidP="00CE3A37">
            <w:pPr>
              <w:spacing w:line="480" w:lineRule="auto"/>
              <w:jc w:val="center"/>
              <w:rPr>
                <w:rFonts w:ascii="Arial" w:hAnsi="Arial" w:cs="Arial"/>
                <w:b/>
                <w:sz w:val="22"/>
                <w:szCs w:val="22"/>
              </w:rPr>
            </w:pPr>
          </w:p>
        </w:tc>
      </w:tr>
      <w:tr w:rsidR="00B95DFA" w14:paraId="28F74B25" w14:textId="77777777" w:rsidTr="00CE3A37">
        <w:tc>
          <w:tcPr>
            <w:tcW w:w="959" w:type="dxa"/>
            <w:tcBorders>
              <w:left w:val="single" w:sz="18" w:space="0" w:color="auto"/>
            </w:tcBorders>
            <w:vAlign w:val="bottom"/>
          </w:tcPr>
          <w:p w14:paraId="07EF4E17" w14:textId="77777777" w:rsidR="00B95DFA" w:rsidRPr="001635AD" w:rsidRDefault="00B95DFA" w:rsidP="00CE3A37">
            <w:pPr>
              <w:spacing w:line="360" w:lineRule="auto"/>
              <w:jc w:val="center"/>
              <w:rPr>
                <w:rFonts w:ascii="Arial" w:hAnsi="Arial" w:cs="Arial"/>
                <w:b/>
                <w:sz w:val="22"/>
                <w:szCs w:val="22"/>
              </w:rPr>
            </w:pPr>
            <w:r>
              <w:rPr>
                <w:rFonts w:ascii="Arial" w:hAnsi="Arial" w:cs="Arial"/>
                <w:b/>
                <w:sz w:val="22"/>
                <w:szCs w:val="22"/>
              </w:rPr>
              <w:t>9</w:t>
            </w:r>
          </w:p>
        </w:tc>
        <w:tc>
          <w:tcPr>
            <w:tcW w:w="3685" w:type="dxa"/>
          </w:tcPr>
          <w:p w14:paraId="0293728B" w14:textId="77777777" w:rsidR="00B95DFA" w:rsidRPr="00581E73" w:rsidRDefault="00B95DFA" w:rsidP="00CE3A37">
            <w:pPr>
              <w:rPr>
                <w:rFonts w:ascii="Arial" w:hAnsi="Arial" w:cs="Arial"/>
                <w:sz w:val="22"/>
                <w:szCs w:val="22"/>
              </w:rPr>
            </w:pPr>
            <w:r>
              <w:rPr>
                <w:rFonts w:ascii="Arial" w:hAnsi="Arial" w:cs="Arial"/>
                <w:sz w:val="22"/>
                <w:szCs w:val="22"/>
              </w:rPr>
              <w:t xml:space="preserve">Wash the wells (3x) with 100μl wash buffer </w:t>
            </w:r>
          </w:p>
        </w:tc>
        <w:tc>
          <w:tcPr>
            <w:tcW w:w="1270" w:type="dxa"/>
            <w:vAlign w:val="bottom"/>
          </w:tcPr>
          <w:p w14:paraId="6D9DFC16" w14:textId="77777777" w:rsidR="00B95DFA" w:rsidRPr="001635AD" w:rsidRDefault="00B95DFA" w:rsidP="00CE3A37">
            <w:pPr>
              <w:spacing w:line="360" w:lineRule="auto"/>
              <w:jc w:val="center"/>
              <w:rPr>
                <w:rFonts w:ascii="Arial" w:hAnsi="Arial" w:cs="Arial"/>
                <w:b/>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60DCBDAC" w14:textId="77777777" w:rsidR="00B95DFA" w:rsidRPr="00E53D10" w:rsidRDefault="00B95DFA" w:rsidP="00CE3A37">
            <w:pPr>
              <w:spacing w:line="360" w:lineRule="auto"/>
              <w:jc w:val="center"/>
              <w:rPr>
                <w:rFonts w:ascii="Arial" w:hAnsi="Arial" w:cs="Arial"/>
                <w:sz w:val="22"/>
                <w:szCs w:val="22"/>
              </w:rPr>
            </w:pPr>
            <w:r>
              <w:rPr>
                <w:rFonts w:ascii="Arial" w:hAnsi="Arial" w:cs="Arial"/>
                <w:sz w:val="22"/>
                <w:szCs w:val="22"/>
              </w:rPr>
              <w:t>10</w:t>
            </w:r>
            <w:r w:rsidRPr="00E53D10">
              <w:rPr>
                <w:rFonts w:ascii="Arial" w:hAnsi="Arial" w:cs="Arial"/>
                <w:sz w:val="22"/>
                <w:szCs w:val="22"/>
              </w:rPr>
              <w:t>min</w:t>
            </w:r>
          </w:p>
        </w:tc>
        <w:tc>
          <w:tcPr>
            <w:tcW w:w="833" w:type="dxa"/>
          </w:tcPr>
          <w:p w14:paraId="0F654CA0" w14:textId="77777777" w:rsidR="00B95DFA" w:rsidRPr="001635AD" w:rsidRDefault="00B95DFA" w:rsidP="00CE3A37">
            <w:pPr>
              <w:spacing w:line="480" w:lineRule="auto"/>
              <w:jc w:val="center"/>
              <w:rPr>
                <w:rFonts w:ascii="Arial" w:hAnsi="Arial" w:cs="Arial"/>
                <w:b/>
                <w:sz w:val="22"/>
                <w:szCs w:val="22"/>
              </w:rPr>
            </w:pPr>
          </w:p>
        </w:tc>
        <w:tc>
          <w:tcPr>
            <w:tcW w:w="816" w:type="dxa"/>
          </w:tcPr>
          <w:p w14:paraId="3C394122"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7B84993A" w14:textId="77777777" w:rsidR="00B95DFA" w:rsidRPr="001635AD" w:rsidRDefault="00B95DFA" w:rsidP="00CE3A37">
            <w:pPr>
              <w:spacing w:line="480" w:lineRule="auto"/>
              <w:jc w:val="center"/>
              <w:rPr>
                <w:rFonts w:ascii="Arial" w:hAnsi="Arial" w:cs="Arial"/>
                <w:b/>
                <w:sz w:val="22"/>
                <w:szCs w:val="22"/>
              </w:rPr>
            </w:pPr>
          </w:p>
        </w:tc>
      </w:tr>
      <w:tr w:rsidR="00B95DFA" w14:paraId="6CC55F4E" w14:textId="77777777" w:rsidTr="00CE3A37">
        <w:tc>
          <w:tcPr>
            <w:tcW w:w="959" w:type="dxa"/>
            <w:tcBorders>
              <w:left w:val="single" w:sz="18" w:space="0" w:color="auto"/>
            </w:tcBorders>
            <w:vAlign w:val="bottom"/>
          </w:tcPr>
          <w:p w14:paraId="320A94B2" w14:textId="77777777" w:rsidR="00B95DFA" w:rsidRPr="001635AD" w:rsidRDefault="00B95DFA" w:rsidP="00CE3A37">
            <w:pPr>
              <w:spacing w:line="360" w:lineRule="auto"/>
              <w:jc w:val="center"/>
              <w:rPr>
                <w:rFonts w:ascii="Arial" w:hAnsi="Arial" w:cs="Arial"/>
                <w:b/>
                <w:sz w:val="22"/>
                <w:szCs w:val="22"/>
              </w:rPr>
            </w:pPr>
            <w:r>
              <w:rPr>
                <w:rFonts w:ascii="Arial" w:hAnsi="Arial" w:cs="Arial"/>
                <w:b/>
                <w:sz w:val="22"/>
                <w:szCs w:val="22"/>
              </w:rPr>
              <w:t>10</w:t>
            </w:r>
          </w:p>
        </w:tc>
        <w:tc>
          <w:tcPr>
            <w:tcW w:w="3685" w:type="dxa"/>
            <w:vAlign w:val="center"/>
          </w:tcPr>
          <w:p w14:paraId="5AF74ABA" w14:textId="77777777" w:rsidR="00B95DFA" w:rsidRPr="00487D87" w:rsidRDefault="00B95DFA" w:rsidP="00CE3A37">
            <w:pPr>
              <w:rPr>
                <w:rFonts w:ascii="Arial" w:hAnsi="Arial" w:cs="Arial"/>
                <w:sz w:val="22"/>
                <w:szCs w:val="22"/>
              </w:rPr>
            </w:pPr>
            <w:r>
              <w:rPr>
                <w:rFonts w:ascii="Arial" w:hAnsi="Arial" w:cs="Arial"/>
                <w:sz w:val="22"/>
                <w:szCs w:val="22"/>
              </w:rPr>
              <w:t>Add</w:t>
            </w:r>
            <w:r w:rsidRPr="00487D87">
              <w:rPr>
                <w:rFonts w:ascii="Arial" w:hAnsi="Arial" w:cs="Arial"/>
                <w:sz w:val="22"/>
                <w:szCs w:val="22"/>
              </w:rPr>
              <w:t xml:space="preserve"> </w:t>
            </w:r>
            <w:r>
              <w:rPr>
                <w:rFonts w:ascii="Arial" w:hAnsi="Arial" w:cs="Arial"/>
                <w:sz w:val="22"/>
                <w:szCs w:val="22"/>
              </w:rPr>
              <w:t>25μl 1x detection antibodies to wells, cover plate with sealing tape and protect from light with aluminium foil</w:t>
            </w:r>
          </w:p>
        </w:tc>
        <w:tc>
          <w:tcPr>
            <w:tcW w:w="1270" w:type="dxa"/>
            <w:vAlign w:val="bottom"/>
          </w:tcPr>
          <w:p w14:paraId="5BFAA825" w14:textId="77777777" w:rsidR="00B95DFA" w:rsidRPr="001635AD" w:rsidRDefault="00B95DFA" w:rsidP="00CE3A37">
            <w:pPr>
              <w:spacing w:line="360" w:lineRule="auto"/>
              <w:jc w:val="center"/>
              <w:rPr>
                <w:rFonts w:ascii="Arial" w:hAnsi="Arial" w:cs="Arial"/>
                <w:b/>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3A1186D5" w14:textId="77777777" w:rsidR="00B95DFA" w:rsidRPr="001635AD" w:rsidRDefault="00B95DFA" w:rsidP="00CE3A37">
            <w:pPr>
              <w:spacing w:line="360" w:lineRule="auto"/>
              <w:jc w:val="center"/>
              <w:rPr>
                <w:rFonts w:ascii="Arial" w:hAnsi="Arial" w:cs="Arial"/>
                <w:b/>
                <w:sz w:val="22"/>
                <w:szCs w:val="22"/>
              </w:rPr>
            </w:pPr>
            <w:r>
              <w:rPr>
                <w:rFonts w:ascii="Arial" w:hAnsi="Arial" w:cs="Arial"/>
                <w:sz w:val="22"/>
                <w:szCs w:val="22"/>
              </w:rPr>
              <w:t>5</w:t>
            </w:r>
            <w:r w:rsidRPr="005B164A">
              <w:rPr>
                <w:rFonts w:ascii="Arial" w:hAnsi="Arial" w:cs="Arial"/>
                <w:sz w:val="22"/>
                <w:szCs w:val="22"/>
              </w:rPr>
              <w:t>min</w:t>
            </w:r>
          </w:p>
        </w:tc>
        <w:tc>
          <w:tcPr>
            <w:tcW w:w="833" w:type="dxa"/>
          </w:tcPr>
          <w:p w14:paraId="4D6E68BA" w14:textId="77777777" w:rsidR="00B95DFA" w:rsidRPr="001635AD" w:rsidRDefault="00B95DFA" w:rsidP="00CE3A37">
            <w:pPr>
              <w:spacing w:line="480" w:lineRule="auto"/>
              <w:jc w:val="center"/>
              <w:rPr>
                <w:rFonts w:ascii="Arial" w:hAnsi="Arial" w:cs="Arial"/>
                <w:b/>
                <w:sz w:val="22"/>
                <w:szCs w:val="22"/>
              </w:rPr>
            </w:pPr>
          </w:p>
        </w:tc>
        <w:tc>
          <w:tcPr>
            <w:tcW w:w="816" w:type="dxa"/>
          </w:tcPr>
          <w:p w14:paraId="1FB48F20"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6CE37326" w14:textId="77777777" w:rsidR="00B95DFA" w:rsidRPr="001635AD" w:rsidRDefault="00B95DFA" w:rsidP="00CE3A37">
            <w:pPr>
              <w:spacing w:line="480" w:lineRule="auto"/>
              <w:jc w:val="center"/>
              <w:rPr>
                <w:rFonts w:ascii="Arial" w:hAnsi="Arial" w:cs="Arial"/>
                <w:b/>
                <w:sz w:val="22"/>
                <w:szCs w:val="22"/>
              </w:rPr>
            </w:pPr>
          </w:p>
        </w:tc>
      </w:tr>
      <w:tr w:rsidR="00B95DFA" w14:paraId="630AAD16" w14:textId="77777777" w:rsidTr="00CE3A37">
        <w:tc>
          <w:tcPr>
            <w:tcW w:w="959" w:type="dxa"/>
            <w:tcBorders>
              <w:left w:val="single" w:sz="18" w:space="0" w:color="auto"/>
            </w:tcBorders>
            <w:vAlign w:val="bottom"/>
          </w:tcPr>
          <w:p w14:paraId="6AE61FC1" w14:textId="77777777" w:rsidR="00B95DFA" w:rsidRPr="001635AD" w:rsidRDefault="00B95DFA" w:rsidP="00CE3A37">
            <w:pPr>
              <w:spacing w:line="360" w:lineRule="auto"/>
              <w:jc w:val="center"/>
              <w:rPr>
                <w:rFonts w:ascii="Arial" w:hAnsi="Arial" w:cs="Arial"/>
                <w:b/>
                <w:sz w:val="22"/>
                <w:szCs w:val="22"/>
              </w:rPr>
            </w:pPr>
            <w:r>
              <w:rPr>
                <w:rFonts w:ascii="Arial" w:hAnsi="Arial" w:cs="Arial"/>
                <w:b/>
                <w:sz w:val="22"/>
                <w:szCs w:val="22"/>
              </w:rPr>
              <w:t>11</w:t>
            </w:r>
          </w:p>
        </w:tc>
        <w:tc>
          <w:tcPr>
            <w:tcW w:w="3685" w:type="dxa"/>
            <w:vAlign w:val="center"/>
          </w:tcPr>
          <w:p w14:paraId="195D2906" w14:textId="77777777" w:rsidR="00B95DFA" w:rsidRPr="00874ECF" w:rsidRDefault="00B95DFA" w:rsidP="00CE3A37">
            <w:pPr>
              <w:rPr>
                <w:rFonts w:ascii="Arial" w:hAnsi="Arial" w:cs="Arial"/>
                <w:sz w:val="22"/>
                <w:szCs w:val="22"/>
              </w:rPr>
            </w:pPr>
            <w:r>
              <w:rPr>
                <w:rFonts w:ascii="Arial" w:hAnsi="Arial" w:cs="Arial"/>
                <w:sz w:val="22"/>
                <w:szCs w:val="22"/>
              </w:rPr>
              <w:t>Incubate with shaking at 850±50rpm</w:t>
            </w:r>
          </w:p>
        </w:tc>
        <w:tc>
          <w:tcPr>
            <w:tcW w:w="1270" w:type="dxa"/>
            <w:vAlign w:val="bottom"/>
          </w:tcPr>
          <w:p w14:paraId="25FB930A" w14:textId="77777777" w:rsidR="00B95DFA" w:rsidRPr="001635AD" w:rsidRDefault="00B95DFA" w:rsidP="00CE3A37">
            <w:pPr>
              <w:spacing w:line="360" w:lineRule="auto"/>
              <w:jc w:val="center"/>
              <w:rPr>
                <w:rFonts w:ascii="Arial" w:hAnsi="Arial" w:cs="Arial"/>
                <w:b/>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3F44A187" w14:textId="77777777" w:rsidR="00B95DFA" w:rsidRPr="001635AD" w:rsidRDefault="00B95DFA" w:rsidP="00CE3A37">
            <w:pPr>
              <w:spacing w:line="360" w:lineRule="auto"/>
              <w:jc w:val="center"/>
              <w:rPr>
                <w:rFonts w:ascii="Arial" w:hAnsi="Arial" w:cs="Arial"/>
                <w:b/>
                <w:sz w:val="22"/>
                <w:szCs w:val="22"/>
              </w:rPr>
            </w:pPr>
            <w:r>
              <w:rPr>
                <w:rFonts w:ascii="Arial" w:hAnsi="Arial" w:cs="Arial"/>
                <w:sz w:val="22"/>
                <w:szCs w:val="22"/>
              </w:rPr>
              <w:t>30</w:t>
            </w:r>
            <w:r w:rsidRPr="005B164A">
              <w:rPr>
                <w:rFonts w:ascii="Arial" w:hAnsi="Arial" w:cs="Arial"/>
                <w:sz w:val="22"/>
                <w:szCs w:val="22"/>
              </w:rPr>
              <w:t>min</w:t>
            </w:r>
          </w:p>
        </w:tc>
        <w:tc>
          <w:tcPr>
            <w:tcW w:w="833" w:type="dxa"/>
          </w:tcPr>
          <w:p w14:paraId="46F5890A" w14:textId="77777777" w:rsidR="00B95DFA" w:rsidRPr="001635AD" w:rsidRDefault="00B95DFA" w:rsidP="00CE3A37">
            <w:pPr>
              <w:spacing w:line="480" w:lineRule="auto"/>
              <w:jc w:val="center"/>
              <w:rPr>
                <w:rFonts w:ascii="Arial" w:hAnsi="Arial" w:cs="Arial"/>
                <w:b/>
                <w:sz w:val="22"/>
                <w:szCs w:val="22"/>
              </w:rPr>
            </w:pPr>
          </w:p>
        </w:tc>
        <w:tc>
          <w:tcPr>
            <w:tcW w:w="816" w:type="dxa"/>
          </w:tcPr>
          <w:p w14:paraId="54972C08"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46812239" w14:textId="77777777" w:rsidR="00B95DFA" w:rsidRPr="001635AD" w:rsidRDefault="00B95DFA" w:rsidP="00CE3A37">
            <w:pPr>
              <w:spacing w:line="480" w:lineRule="auto"/>
              <w:jc w:val="center"/>
              <w:rPr>
                <w:rFonts w:ascii="Arial" w:hAnsi="Arial" w:cs="Arial"/>
                <w:b/>
                <w:sz w:val="22"/>
                <w:szCs w:val="22"/>
              </w:rPr>
            </w:pPr>
          </w:p>
        </w:tc>
      </w:tr>
      <w:tr w:rsidR="00B95DFA" w14:paraId="3CF7FD78" w14:textId="77777777" w:rsidTr="00CE3A37">
        <w:tc>
          <w:tcPr>
            <w:tcW w:w="959" w:type="dxa"/>
            <w:tcBorders>
              <w:left w:val="single" w:sz="18" w:space="0" w:color="auto"/>
            </w:tcBorders>
            <w:vAlign w:val="bottom"/>
          </w:tcPr>
          <w:p w14:paraId="2B9F10AA" w14:textId="77777777" w:rsidR="00B95DFA" w:rsidRDefault="00B95DFA" w:rsidP="00CE3A37">
            <w:pPr>
              <w:spacing w:line="360" w:lineRule="auto"/>
              <w:jc w:val="center"/>
              <w:rPr>
                <w:rFonts w:ascii="Arial" w:hAnsi="Arial" w:cs="Arial"/>
                <w:b/>
                <w:sz w:val="22"/>
                <w:szCs w:val="22"/>
              </w:rPr>
            </w:pPr>
            <w:r>
              <w:rPr>
                <w:rFonts w:ascii="Arial" w:hAnsi="Arial" w:cs="Arial"/>
                <w:b/>
                <w:sz w:val="22"/>
                <w:szCs w:val="22"/>
              </w:rPr>
              <w:t>12</w:t>
            </w:r>
          </w:p>
        </w:tc>
        <w:tc>
          <w:tcPr>
            <w:tcW w:w="3685" w:type="dxa"/>
            <w:vAlign w:val="center"/>
          </w:tcPr>
          <w:p w14:paraId="104F2446" w14:textId="77777777" w:rsidR="00B95DFA" w:rsidRPr="00B537AB" w:rsidRDefault="00B95DFA" w:rsidP="00CE3A37">
            <w:pPr>
              <w:rPr>
                <w:rFonts w:ascii="Arial" w:hAnsi="Arial" w:cs="Arial"/>
                <w:b/>
                <w:sz w:val="22"/>
                <w:szCs w:val="22"/>
              </w:rPr>
            </w:pPr>
            <w:r w:rsidRPr="005E3D20">
              <w:rPr>
                <w:rFonts w:ascii="Arial" w:hAnsi="Arial" w:cs="Arial"/>
                <w:b/>
                <w:sz w:val="22"/>
                <w:szCs w:val="22"/>
              </w:rPr>
              <w:t xml:space="preserve">Prepare 1x </w:t>
            </w:r>
            <w:r>
              <w:rPr>
                <w:rFonts w:ascii="Arial" w:hAnsi="Arial" w:cs="Arial"/>
                <w:b/>
                <w:sz w:val="22"/>
                <w:szCs w:val="22"/>
              </w:rPr>
              <w:t>Streptavidin-PE (SA-PE)</w:t>
            </w:r>
            <w:r w:rsidRPr="005E3D20">
              <w:rPr>
                <w:rFonts w:ascii="Arial" w:hAnsi="Arial" w:cs="Arial"/>
                <w:b/>
                <w:sz w:val="22"/>
                <w:szCs w:val="22"/>
              </w:rPr>
              <w:t>:</w:t>
            </w:r>
            <w:r>
              <w:rPr>
                <w:rFonts w:ascii="Arial" w:hAnsi="Arial" w:cs="Arial"/>
                <w:b/>
                <w:sz w:val="22"/>
                <w:szCs w:val="22"/>
              </w:rPr>
              <w:t xml:space="preserve"> </w:t>
            </w:r>
            <w:r>
              <w:rPr>
                <w:rFonts w:ascii="Arial" w:hAnsi="Arial" w:cs="Arial"/>
                <w:sz w:val="22"/>
                <w:szCs w:val="22"/>
              </w:rPr>
              <w:t>60μl 100x SA-PE in 5940μl assay buffer, mix, protect from light</w:t>
            </w:r>
          </w:p>
        </w:tc>
        <w:tc>
          <w:tcPr>
            <w:tcW w:w="1270" w:type="dxa"/>
            <w:vAlign w:val="bottom"/>
          </w:tcPr>
          <w:p w14:paraId="472F5517"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7DE02E04" w14:textId="77777777" w:rsidR="00B95DFA" w:rsidRDefault="00B95DFA" w:rsidP="00CE3A37">
            <w:pPr>
              <w:spacing w:line="360" w:lineRule="auto"/>
              <w:jc w:val="center"/>
              <w:rPr>
                <w:rFonts w:ascii="Arial" w:hAnsi="Arial" w:cs="Arial"/>
                <w:sz w:val="22"/>
                <w:szCs w:val="22"/>
              </w:rPr>
            </w:pPr>
          </w:p>
        </w:tc>
        <w:tc>
          <w:tcPr>
            <w:tcW w:w="833" w:type="dxa"/>
          </w:tcPr>
          <w:p w14:paraId="1C52476A" w14:textId="77777777" w:rsidR="00B95DFA" w:rsidRPr="001635AD" w:rsidRDefault="00B95DFA" w:rsidP="00CE3A37">
            <w:pPr>
              <w:spacing w:line="480" w:lineRule="auto"/>
              <w:jc w:val="center"/>
              <w:rPr>
                <w:rFonts w:ascii="Arial" w:hAnsi="Arial" w:cs="Arial"/>
                <w:b/>
                <w:sz w:val="22"/>
                <w:szCs w:val="22"/>
              </w:rPr>
            </w:pPr>
          </w:p>
        </w:tc>
        <w:tc>
          <w:tcPr>
            <w:tcW w:w="816" w:type="dxa"/>
          </w:tcPr>
          <w:p w14:paraId="1B8A8002"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2B5D7FAE" w14:textId="77777777" w:rsidR="00B95DFA" w:rsidRPr="001635AD" w:rsidRDefault="00B95DFA" w:rsidP="00CE3A37">
            <w:pPr>
              <w:spacing w:line="480" w:lineRule="auto"/>
              <w:jc w:val="center"/>
              <w:rPr>
                <w:rFonts w:ascii="Arial" w:hAnsi="Arial" w:cs="Arial"/>
                <w:b/>
                <w:sz w:val="22"/>
                <w:szCs w:val="22"/>
              </w:rPr>
            </w:pPr>
          </w:p>
        </w:tc>
      </w:tr>
      <w:tr w:rsidR="00B95DFA" w14:paraId="246A86F1" w14:textId="77777777" w:rsidTr="00CE3A37">
        <w:tc>
          <w:tcPr>
            <w:tcW w:w="959" w:type="dxa"/>
            <w:tcBorders>
              <w:left w:val="single" w:sz="18" w:space="0" w:color="auto"/>
            </w:tcBorders>
            <w:vAlign w:val="bottom"/>
          </w:tcPr>
          <w:p w14:paraId="10C3B478" w14:textId="77777777" w:rsidR="00B95DFA" w:rsidRDefault="00B95DFA" w:rsidP="00CE3A37">
            <w:pPr>
              <w:spacing w:line="360" w:lineRule="auto"/>
              <w:jc w:val="center"/>
              <w:rPr>
                <w:rFonts w:ascii="Arial" w:hAnsi="Arial" w:cs="Arial"/>
                <w:b/>
                <w:sz w:val="22"/>
                <w:szCs w:val="22"/>
              </w:rPr>
            </w:pPr>
            <w:r>
              <w:rPr>
                <w:rFonts w:ascii="Arial" w:hAnsi="Arial" w:cs="Arial"/>
                <w:b/>
                <w:sz w:val="22"/>
                <w:szCs w:val="22"/>
              </w:rPr>
              <w:t>13</w:t>
            </w:r>
          </w:p>
        </w:tc>
        <w:tc>
          <w:tcPr>
            <w:tcW w:w="3685" w:type="dxa"/>
            <w:vAlign w:val="center"/>
          </w:tcPr>
          <w:p w14:paraId="3EEF2B32" w14:textId="77777777" w:rsidR="00B95DFA" w:rsidRDefault="00B95DFA" w:rsidP="00CE3A37">
            <w:pPr>
              <w:rPr>
                <w:rFonts w:ascii="Arial" w:hAnsi="Arial" w:cs="Arial"/>
                <w:sz w:val="22"/>
                <w:szCs w:val="22"/>
              </w:rPr>
            </w:pPr>
            <w:r>
              <w:rPr>
                <w:rFonts w:ascii="Arial" w:hAnsi="Arial" w:cs="Arial"/>
                <w:sz w:val="22"/>
                <w:szCs w:val="22"/>
              </w:rPr>
              <w:t>Wash the wells (3x) with 100μl wash buffer</w:t>
            </w:r>
          </w:p>
        </w:tc>
        <w:tc>
          <w:tcPr>
            <w:tcW w:w="1270" w:type="dxa"/>
            <w:vAlign w:val="bottom"/>
          </w:tcPr>
          <w:p w14:paraId="78590191"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099E00CE" w14:textId="77777777" w:rsidR="00B95DFA" w:rsidRDefault="00B95DFA" w:rsidP="00CE3A37">
            <w:pPr>
              <w:spacing w:line="360" w:lineRule="auto"/>
              <w:jc w:val="center"/>
              <w:rPr>
                <w:rFonts w:ascii="Arial" w:hAnsi="Arial" w:cs="Arial"/>
                <w:sz w:val="22"/>
                <w:szCs w:val="22"/>
              </w:rPr>
            </w:pPr>
            <w:r>
              <w:rPr>
                <w:rFonts w:ascii="Arial" w:hAnsi="Arial" w:cs="Arial"/>
                <w:sz w:val="22"/>
                <w:szCs w:val="22"/>
              </w:rPr>
              <w:t>10min</w:t>
            </w:r>
          </w:p>
        </w:tc>
        <w:tc>
          <w:tcPr>
            <w:tcW w:w="833" w:type="dxa"/>
          </w:tcPr>
          <w:p w14:paraId="0D918C52" w14:textId="77777777" w:rsidR="00B95DFA" w:rsidRPr="001635AD" w:rsidRDefault="00B95DFA" w:rsidP="00CE3A37">
            <w:pPr>
              <w:spacing w:line="480" w:lineRule="auto"/>
              <w:jc w:val="center"/>
              <w:rPr>
                <w:rFonts w:ascii="Arial" w:hAnsi="Arial" w:cs="Arial"/>
                <w:b/>
                <w:sz w:val="22"/>
                <w:szCs w:val="22"/>
              </w:rPr>
            </w:pPr>
          </w:p>
        </w:tc>
        <w:tc>
          <w:tcPr>
            <w:tcW w:w="816" w:type="dxa"/>
          </w:tcPr>
          <w:p w14:paraId="23C0E315"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39D4666F" w14:textId="77777777" w:rsidR="00B95DFA" w:rsidRPr="001635AD" w:rsidRDefault="00B95DFA" w:rsidP="00CE3A37">
            <w:pPr>
              <w:spacing w:line="480" w:lineRule="auto"/>
              <w:jc w:val="center"/>
              <w:rPr>
                <w:rFonts w:ascii="Arial" w:hAnsi="Arial" w:cs="Arial"/>
                <w:b/>
                <w:sz w:val="22"/>
                <w:szCs w:val="22"/>
              </w:rPr>
            </w:pPr>
          </w:p>
        </w:tc>
      </w:tr>
      <w:tr w:rsidR="00B95DFA" w14:paraId="473F56E7" w14:textId="77777777" w:rsidTr="00CE3A37">
        <w:tc>
          <w:tcPr>
            <w:tcW w:w="959" w:type="dxa"/>
            <w:tcBorders>
              <w:left w:val="single" w:sz="18" w:space="0" w:color="auto"/>
            </w:tcBorders>
            <w:vAlign w:val="bottom"/>
          </w:tcPr>
          <w:p w14:paraId="25C7A47E" w14:textId="77777777" w:rsidR="00B95DFA" w:rsidRDefault="00B95DFA" w:rsidP="00CE3A37">
            <w:pPr>
              <w:spacing w:line="360" w:lineRule="auto"/>
              <w:jc w:val="center"/>
              <w:rPr>
                <w:rFonts w:ascii="Arial" w:hAnsi="Arial" w:cs="Arial"/>
                <w:b/>
                <w:sz w:val="22"/>
                <w:szCs w:val="22"/>
              </w:rPr>
            </w:pPr>
            <w:r>
              <w:rPr>
                <w:rFonts w:ascii="Arial" w:hAnsi="Arial" w:cs="Arial"/>
                <w:b/>
                <w:sz w:val="22"/>
                <w:szCs w:val="22"/>
              </w:rPr>
              <w:t>14</w:t>
            </w:r>
          </w:p>
        </w:tc>
        <w:tc>
          <w:tcPr>
            <w:tcW w:w="3685" w:type="dxa"/>
          </w:tcPr>
          <w:p w14:paraId="76FE408D" w14:textId="77777777" w:rsidR="00B95DFA" w:rsidRPr="00F327C0" w:rsidRDefault="00B95DFA" w:rsidP="00CE3A37">
            <w:pPr>
              <w:rPr>
                <w:rFonts w:ascii="Arial" w:hAnsi="Arial" w:cs="Arial"/>
                <w:sz w:val="22"/>
                <w:szCs w:val="22"/>
              </w:rPr>
            </w:pPr>
            <w:r>
              <w:rPr>
                <w:rFonts w:ascii="Arial" w:hAnsi="Arial" w:cs="Arial"/>
                <w:sz w:val="22"/>
                <w:szCs w:val="22"/>
              </w:rPr>
              <w:t>Add</w:t>
            </w:r>
            <w:r w:rsidRPr="00487D87">
              <w:rPr>
                <w:rFonts w:ascii="Arial" w:hAnsi="Arial" w:cs="Arial"/>
                <w:sz w:val="22"/>
                <w:szCs w:val="22"/>
              </w:rPr>
              <w:t xml:space="preserve"> </w:t>
            </w:r>
            <w:r>
              <w:rPr>
                <w:rFonts w:ascii="Arial" w:hAnsi="Arial" w:cs="Arial"/>
                <w:sz w:val="22"/>
                <w:szCs w:val="22"/>
              </w:rPr>
              <w:t>50μl 1x SA-PE to wells, cover plate with sealing tape and protect from light with aluminium foil</w:t>
            </w:r>
          </w:p>
        </w:tc>
        <w:tc>
          <w:tcPr>
            <w:tcW w:w="1270" w:type="dxa"/>
            <w:vAlign w:val="bottom"/>
          </w:tcPr>
          <w:p w14:paraId="12FF45B4"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6621D431" w14:textId="77777777" w:rsidR="00B95DFA" w:rsidRPr="005B164A" w:rsidRDefault="00B95DFA" w:rsidP="00CE3A37">
            <w:pPr>
              <w:spacing w:line="360" w:lineRule="auto"/>
              <w:jc w:val="center"/>
              <w:rPr>
                <w:rFonts w:ascii="Arial" w:hAnsi="Arial" w:cs="Arial"/>
                <w:sz w:val="22"/>
                <w:szCs w:val="22"/>
              </w:rPr>
            </w:pPr>
            <w:r w:rsidRPr="005B164A">
              <w:rPr>
                <w:rFonts w:ascii="Arial" w:hAnsi="Arial" w:cs="Arial"/>
                <w:sz w:val="22"/>
                <w:szCs w:val="22"/>
              </w:rPr>
              <w:t>5 min</w:t>
            </w:r>
          </w:p>
        </w:tc>
        <w:tc>
          <w:tcPr>
            <w:tcW w:w="833" w:type="dxa"/>
          </w:tcPr>
          <w:p w14:paraId="3AD658C8" w14:textId="77777777" w:rsidR="00B95DFA" w:rsidRPr="001635AD" w:rsidRDefault="00B95DFA" w:rsidP="00CE3A37">
            <w:pPr>
              <w:spacing w:line="360" w:lineRule="auto"/>
              <w:jc w:val="center"/>
              <w:rPr>
                <w:rFonts w:ascii="Arial" w:hAnsi="Arial" w:cs="Arial"/>
                <w:b/>
                <w:sz w:val="22"/>
                <w:szCs w:val="22"/>
              </w:rPr>
            </w:pPr>
          </w:p>
        </w:tc>
        <w:tc>
          <w:tcPr>
            <w:tcW w:w="816" w:type="dxa"/>
          </w:tcPr>
          <w:p w14:paraId="4C18C999"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6DFABD5C" w14:textId="77777777" w:rsidR="00B95DFA" w:rsidRPr="001635AD" w:rsidRDefault="00B95DFA" w:rsidP="00CE3A37">
            <w:pPr>
              <w:spacing w:line="480" w:lineRule="auto"/>
              <w:jc w:val="center"/>
              <w:rPr>
                <w:rFonts w:ascii="Arial" w:hAnsi="Arial" w:cs="Arial"/>
                <w:b/>
                <w:sz w:val="22"/>
                <w:szCs w:val="22"/>
              </w:rPr>
            </w:pPr>
          </w:p>
        </w:tc>
      </w:tr>
      <w:tr w:rsidR="00B95DFA" w14:paraId="1AAD072F" w14:textId="77777777" w:rsidTr="00CE3A37">
        <w:tc>
          <w:tcPr>
            <w:tcW w:w="959" w:type="dxa"/>
            <w:tcBorders>
              <w:left w:val="single" w:sz="18" w:space="0" w:color="auto"/>
            </w:tcBorders>
            <w:vAlign w:val="bottom"/>
          </w:tcPr>
          <w:p w14:paraId="63F5A5B8" w14:textId="77777777" w:rsidR="00B95DFA" w:rsidRDefault="00B95DFA" w:rsidP="00CE3A37">
            <w:pPr>
              <w:spacing w:line="360" w:lineRule="auto"/>
              <w:jc w:val="center"/>
              <w:rPr>
                <w:rFonts w:ascii="Arial" w:hAnsi="Arial" w:cs="Arial"/>
                <w:b/>
                <w:sz w:val="22"/>
                <w:szCs w:val="22"/>
              </w:rPr>
            </w:pPr>
            <w:r>
              <w:rPr>
                <w:rFonts w:ascii="Arial" w:hAnsi="Arial" w:cs="Arial"/>
                <w:b/>
                <w:sz w:val="22"/>
                <w:szCs w:val="22"/>
              </w:rPr>
              <w:t>15</w:t>
            </w:r>
          </w:p>
        </w:tc>
        <w:tc>
          <w:tcPr>
            <w:tcW w:w="3685" w:type="dxa"/>
          </w:tcPr>
          <w:p w14:paraId="61E380D3" w14:textId="77777777" w:rsidR="00B95DFA" w:rsidRDefault="00B95DFA" w:rsidP="00CE3A37">
            <w:pPr>
              <w:rPr>
                <w:rFonts w:ascii="Arial" w:hAnsi="Arial" w:cs="Arial"/>
                <w:sz w:val="22"/>
                <w:szCs w:val="22"/>
              </w:rPr>
            </w:pPr>
            <w:r>
              <w:rPr>
                <w:rFonts w:ascii="Arial" w:hAnsi="Arial" w:cs="Arial"/>
                <w:sz w:val="22"/>
                <w:szCs w:val="22"/>
              </w:rPr>
              <w:t>Incubate with shaking at 850±50rpm</w:t>
            </w:r>
          </w:p>
        </w:tc>
        <w:tc>
          <w:tcPr>
            <w:tcW w:w="1270" w:type="dxa"/>
            <w:vAlign w:val="bottom"/>
          </w:tcPr>
          <w:p w14:paraId="6FD1F797"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65144CFF" w14:textId="77777777" w:rsidR="00B95DFA" w:rsidRPr="005B164A" w:rsidRDefault="00B95DFA" w:rsidP="00CE3A37">
            <w:pPr>
              <w:spacing w:line="360" w:lineRule="auto"/>
              <w:jc w:val="center"/>
              <w:rPr>
                <w:rFonts w:ascii="Arial" w:hAnsi="Arial" w:cs="Arial"/>
                <w:sz w:val="22"/>
                <w:szCs w:val="22"/>
              </w:rPr>
            </w:pPr>
            <w:r>
              <w:rPr>
                <w:rFonts w:ascii="Arial" w:hAnsi="Arial" w:cs="Arial"/>
                <w:sz w:val="22"/>
                <w:szCs w:val="22"/>
              </w:rPr>
              <w:t>10min</w:t>
            </w:r>
          </w:p>
        </w:tc>
        <w:tc>
          <w:tcPr>
            <w:tcW w:w="833" w:type="dxa"/>
          </w:tcPr>
          <w:p w14:paraId="56DAB744" w14:textId="77777777" w:rsidR="00B95DFA" w:rsidRPr="001635AD" w:rsidRDefault="00B95DFA" w:rsidP="00CE3A37">
            <w:pPr>
              <w:spacing w:line="360" w:lineRule="auto"/>
              <w:jc w:val="center"/>
              <w:rPr>
                <w:rFonts w:ascii="Arial" w:hAnsi="Arial" w:cs="Arial"/>
                <w:b/>
                <w:sz w:val="22"/>
                <w:szCs w:val="22"/>
              </w:rPr>
            </w:pPr>
          </w:p>
        </w:tc>
        <w:tc>
          <w:tcPr>
            <w:tcW w:w="816" w:type="dxa"/>
          </w:tcPr>
          <w:p w14:paraId="1FB5835F"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117D9AEC" w14:textId="77777777" w:rsidR="00B95DFA" w:rsidRPr="001635AD" w:rsidRDefault="00B95DFA" w:rsidP="00CE3A37">
            <w:pPr>
              <w:spacing w:line="480" w:lineRule="auto"/>
              <w:jc w:val="center"/>
              <w:rPr>
                <w:rFonts w:ascii="Arial" w:hAnsi="Arial" w:cs="Arial"/>
                <w:b/>
                <w:sz w:val="22"/>
                <w:szCs w:val="22"/>
              </w:rPr>
            </w:pPr>
          </w:p>
        </w:tc>
      </w:tr>
      <w:tr w:rsidR="00B95DFA" w14:paraId="61A3DC5F" w14:textId="77777777" w:rsidTr="00CE3A37">
        <w:tc>
          <w:tcPr>
            <w:tcW w:w="959" w:type="dxa"/>
            <w:tcBorders>
              <w:left w:val="single" w:sz="18" w:space="0" w:color="auto"/>
            </w:tcBorders>
            <w:vAlign w:val="bottom"/>
          </w:tcPr>
          <w:p w14:paraId="7AF9596E" w14:textId="77777777" w:rsidR="00B95DFA" w:rsidRDefault="00B95DFA" w:rsidP="00CE3A37">
            <w:pPr>
              <w:spacing w:line="360" w:lineRule="auto"/>
              <w:jc w:val="center"/>
              <w:rPr>
                <w:rFonts w:ascii="Arial" w:hAnsi="Arial" w:cs="Arial"/>
                <w:b/>
                <w:sz w:val="22"/>
                <w:szCs w:val="22"/>
              </w:rPr>
            </w:pPr>
            <w:r>
              <w:rPr>
                <w:rFonts w:ascii="Arial" w:hAnsi="Arial" w:cs="Arial"/>
                <w:b/>
                <w:sz w:val="22"/>
                <w:szCs w:val="22"/>
              </w:rPr>
              <w:t>16</w:t>
            </w:r>
          </w:p>
        </w:tc>
        <w:tc>
          <w:tcPr>
            <w:tcW w:w="3685" w:type="dxa"/>
          </w:tcPr>
          <w:p w14:paraId="4AE8DC7A" w14:textId="77777777" w:rsidR="00B95DFA" w:rsidRDefault="00B95DFA" w:rsidP="00CE3A37">
            <w:pPr>
              <w:rPr>
                <w:rFonts w:ascii="Arial" w:hAnsi="Arial" w:cs="Arial"/>
                <w:sz w:val="22"/>
                <w:szCs w:val="22"/>
              </w:rPr>
            </w:pPr>
            <w:r>
              <w:rPr>
                <w:rFonts w:ascii="Arial" w:hAnsi="Arial" w:cs="Arial"/>
                <w:sz w:val="22"/>
                <w:szCs w:val="22"/>
              </w:rPr>
              <w:t>Wash the wells (3x) with 100μl wash buffer</w:t>
            </w:r>
          </w:p>
        </w:tc>
        <w:tc>
          <w:tcPr>
            <w:tcW w:w="1270" w:type="dxa"/>
            <w:vAlign w:val="bottom"/>
          </w:tcPr>
          <w:p w14:paraId="625F168D"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74F0FE14" w14:textId="77777777" w:rsidR="00B95DFA" w:rsidRDefault="00B95DFA" w:rsidP="00CE3A37">
            <w:pPr>
              <w:spacing w:line="360" w:lineRule="auto"/>
              <w:jc w:val="center"/>
              <w:rPr>
                <w:rFonts w:ascii="Arial" w:hAnsi="Arial" w:cs="Arial"/>
                <w:sz w:val="22"/>
                <w:szCs w:val="22"/>
              </w:rPr>
            </w:pPr>
            <w:r>
              <w:rPr>
                <w:rFonts w:ascii="Arial" w:hAnsi="Arial" w:cs="Arial"/>
                <w:sz w:val="22"/>
                <w:szCs w:val="22"/>
              </w:rPr>
              <w:t>10min</w:t>
            </w:r>
          </w:p>
        </w:tc>
        <w:tc>
          <w:tcPr>
            <w:tcW w:w="833" w:type="dxa"/>
          </w:tcPr>
          <w:p w14:paraId="5C5043D1" w14:textId="77777777" w:rsidR="00B95DFA" w:rsidRPr="001635AD" w:rsidRDefault="00B95DFA" w:rsidP="00CE3A37">
            <w:pPr>
              <w:spacing w:line="360" w:lineRule="auto"/>
              <w:jc w:val="center"/>
              <w:rPr>
                <w:rFonts w:ascii="Arial" w:hAnsi="Arial" w:cs="Arial"/>
                <w:b/>
                <w:sz w:val="22"/>
                <w:szCs w:val="22"/>
              </w:rPr>
            </w:pPr>
          </w:p>
        </w:tc>
        <w:tc>
          <w:tcPr>
            <w:tcW w:w="816" w:type="dxa"/>
          </w:tcPr>
          <w:p w14:paraId="0E46A130"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46A2765E" w14:textId="77777777" w:rsidR="00B95DFA" w:rsidRPr="001635AD" w:rsidRDefault="00B95DFA" w:rsidP="00CE3A37">
            <w:pPr>
              <w:spacing w:line="480" w:lineRule="auto"/>
              <w:jc w:val="center"/>
              <w:rPr>
                <w:rFonts w:ascii="Arial" w:hAnsi="Arial" w:cs="Arial"/>
                <w:b/>
                <w:sz w:val="22"/>
                <w:szCs w:val="22"/>
              </w:rPr>
            </w:pPr>
          </w:p>
        </w:tc>
      </w:tr>
      <w:tr w:rsidR="00B95DFA" w14:paraId="117E21B9" w14:textId="77777777" w:rsidTr="00CE3A37">
        <w:tc>
          <w:tcPr>
            <w:tcW w:w="959" w:type="dxa"/>
            <w:tcBorders>
              <w:left w:val="single" w:sz="18" w:space="0" w:color="auto"/>
            </w:tcBorders>
            <w:vAlign w:val="bottom"/>
          </w:tcPr>
          <w:p w14:paraId="664A1BC0" w14:textId="77777777" w:rsidR="00B95DFA" w:rsidRDefault="00B95DFA" w:rsidP="00CE3A37">
            <w:pPr>
              <w:spacing w:line="360" w:lineRule="auto"/>
              <w:jc w:val="center"/>
              <w:rPr>
                <w:rFonts w:ascii="Arial" w:hAnsi="Arial" w:cs="Arial"/>
                <w:b/>
                <w:sz w:val="22"/>
                <w:szCs w:val="22"/>
              </w:rPr>
            </w:pPr>
            <w:r>
              <w:rPr>
                <w:rFonts w:ascii="Arial" w:hAnsi="Arial" w:cs="Arial"/>
                <w:b/>
                <w:sz w:val="22"/>
                <w:szCs w:val="22"/>
              </w:rPr>
              <w:t>17</w:t>
            </w:r>
          </w:p>
        </w:tc>
        <w:tc>
          <w:tcPr>
            <w:tcW w:w="3685" w:type="dxa"/>
          </w:tcPr>
          <w:p w14:paraId="44177C87" w14:textId="77777777" w:rsidR="00B95DFA" w:rsidRDefault="00B95DFA" w:rsidP="00CE3A37">
            <w:pPr>
              <w:rPr>
                <w:rFonts w:ascii="Arial" w:hAnsi="Arial" w:cs="Arial"/>
                <w:sz w:val="22"/>
                <w:szCs w:val="22"/>
              </w:rPr>
            </w:pPr>
            <w:r>
              <w:rPr>
                <w:rFonts w:ascii="Arial" w:hAnsi="Arial" w:cs="Arial"/>
                <w:sz w:val="22"/>
                <w:szCs w:val="22"/>
              </w:rPr>
              <w:t>Resuspend beads in wells with 125μl assay buffer and cover plate with sealing tape</w:t>
            </w:r>
          </w:p>
        </w:tc>
        <w:tc>
          <w:tcPr>
            <w:tcW w:w="1270" w:type="dxa"/>
            <w:vAlign w:val="bottom"/>
          </w:tcPr>
          <w:p w14:paraId="54111079"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2DB1CC19" w14:textId="77777777" w:rsidR="00B95DFA" w:rsidRDefault="00B95DFA" w:rsidP="00CE3A37">
            <w:pPr>
              <w:spacing w:line="360" w:lineRule="auto"/>
              <w:jc w:val="center"/>
              <w:rPr>
                <w:rFonts w:ascii="Arial" w:hAnsi="Arial" w:cs="Arial"/>
                <w:sz w:val="22"/>
                <w:szCs w:val="22"/>
              </w:rPr>
            </w:pPr>
            <w:r>
              <w:rPr>
                <w:rFonts w:ascii="Arial" w:hAnsi="Arial" w:cs="Arial"/>
                <w:sz w:val="22"/>
                <w:szCs w:val="22"/>
              </w:rPr>
              <w:t>5min</w:t>
            </w:r>
          </w:p>
        </w:tc>
        <w:tc>
          <w:tcPr>
            <w:tcW w:w="833" w:type="dxa"/>
          </w:tcPr>
          <w:p w14:paraId="18EFA244" w14:textId="77777777" w:rsidR="00B95DFA" w:rsidRPr="001635AD" w:rsidRDefault="00B95DFA" w:rsidP="00CE3A37">
            <w:pPr>
              <w:spacing w:line="360" w:lineRule="auto"/>
              <w:jc w:val="center"/>
              <w:rPr>
                <w:rFonts w:ascii="Arial" w:hAnsi="Arial" w:cs="Arial"/>
                <w:b/>
                <w:sz w:val="22"/>
                <w:szCs w:val="22"/>
              </w:rPr>
            </w:pPr>
          </w:p>
        </w:tc>
        <w:tc>
          <w:tcPr>
            <w:tcW w:w="816" w:type="dxa"/>
          </w:tcPr>
          <w:p w14:paraId="3C30D39C"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3832D765" w14:textId="77777777" w:rsidR="00B95DFA" w:rsidRPr="001635AD" w:rsidRDefault="00B95DFA" w:rsidP="00CE3A37">
            <w:pPr>
              <w:spacing w:line="480" w:lineRule="auto"/>
              <w:jc w:val="center"/>
              <w:rPr>
                <w:rFonts w:ascii="Arial" w:hAnsi="Arial" w:cs="Arial"/>
                <w:b/>
                <w:sz w:val="22"/>
                <w:szCs w:val="22"/>
              </w:rPr>
            </w:pPr>
          </w:p>
        </w:tc>
      </w:tr>
      <w:tr w:rsidR="00B95DFA" w14:paraId="69D46575" w14:textId="77777777" w:rsidTr="00CE3A37">
        <w:tc>
          <w:tcPr>
            <w:tcW w:w="959" w:type="dxa"/>
            <w:tcBorders>
              <w:left w:val="single" w:sz="18" w:space="0" w:color="auto"/>
            </w:tcBorders>
            <w:vAlign w:val="bottom"/>
          </w:tcPr>
          <w:p w14:paraId="2EE07C7E" w14:textId="77777777" w:rsidR="00B95DFA" w:rsidRDefault="00B95DFA" w:rsidP="00CE3A37">
            <w:pPr>
              <w:spacing w:line="360" w:lineRule="auto"/>
              <w:jc w:val="center"/>
              <w:rPr>
                <w:rFonts w:ascii="Arial" w:hAnsi="Arial" w:cs="Arial"/>
                <w:b/>
                <w:sz w:val="22"/>
                <w:szCs w:val="22"/>
              </w:rPr>
            </w:pPr>
            <w:r>
              <w:rPr>
                <w:rFonts w:ascii="Arial" w:hAnsi="Arial" w:cs="Arial"/>
                <w:b/>
                <w:sz w:val="22"/>
                <w:szCs w:val="22"/>
              </w:rPr>
              <w:t>18</w:t>
            </w:r>
          </w:p>
        </w:tc>
        <w:tc>
          <w:tcPr>
            <w:tcW w:w="3685" w:type="dxa"/>
          </w:tcPr>
          <w:p w14:paraId="7514AFC8" w14:textId="77777777" w:rsidR="00B95DFA" w:rsidRDefault="00B95DFA" w:rsidP="00CE3A37">
            <w:pPr>
              <w:rPr>
                <w:rFonts w:ascii="Arial" w:hAnsi="Arial" w:cs="Arial"/>
                <w:sz w:val="22"/>
                <w:szCs w:val="22"/>
              </w:rPr>
            </w:pPr>
            <w:r>
              <w:rPr>
                <w:rFonts w:ascii="Arial" w:hAnsi="Arial" w:cs="Arial"/>
                <w:sz w:val="22"/>
                <w:szCs w:val="22"/>
              </w:rPr>
              <w:t>Shake the plate at 850±50rpm</w:t>
            </w:r>
          </w:p>
        </w:tc>
        <w:tc>
          <w:tcPr>
            <w:tcW w:w="1270" w:type="dxa"/>
            <w:vAlign w:val="bottom"/>
          </w:tcPr>
          <w:p w14:paraId="35A88CD5" w14:textId="77777777" w:rsidR="00B95DFA" w:rsidRPr="001635AD" w:rsidRDefault="00B95DFA" w:rsidP="00CE3A37">
            <w:pPr>
              <w:spacing w:line="360" w:lineRule="auto"/>
              <w:jc w:val="center"/>
              <w:rPr>
                <w:rFonts w:ascii="Arial" w:hAnsi="Arial" w:cs="Arial"/>
                <w:sz w:val="22"/>
                <w:szCs w:val="22"/>
              </w:rPr>
            </w:pPr>
            <w:proofErr w:type="gramStart"/>
            <w:r w:rsidRPr="001635AD">
              <w:rPr>
                <w:rFonts w:ascii="Arial" w:hAnsi="Arial" w:cs="Arial"/>
                <w:sz w:val="22"/>
                <w:szCs w:val="22"/>
              </w:rPr>
              <w:t>room</w:t>
            </w:r>
            <w:proofErr w:type="gramEnd"/>
            <w:r w:rsidRPr="001635AD">
              <w:rPr>
                <w:rFonts w:ascii="Arial" w:hAnsi="Arial" w:cs="Arial"/>
                <w:sz w:val="22"/>
                <w:szCs w:val="22"/>
              </w:rPr>
              <w:t xml:space="preserve"> temp</w:t>
            </w:r>
          </w:p>
        </w:tc>
        <w:tc>
          <w:tcPr>
            <w:tcW w:w="857" w:type="dxa"/>
            <w:vAlign w:val="bottom"/>
          </w:tcPr>
          <w:p w14:paraId="1E2FA6EA" w14:textId="77777777" w:rsidR="00B95DFA" w:rsidRDefault="00B95DFA" w:rsidP="00CE3A37">
            <w:pPr>
              <w:spacing w:line="360" w:lineRule="auto"/>
              <w:jc w:val="center"/>
              <w:rPr>
                <w:rFonts w:ascii="Arial" w:hAnsi="Arial" w:cs="Arial"/>
                <w:sz w:val="22"/>
                <w:szCs w:val="22"/>
              </w:rPr>
            </w:pPr>
            <w:r>
              <w:rPr>
                <w:rFonts w:ascii="Arial" w:hAnsi="Arial" w:cs="Arial"/>
                <w:sz w:val="22"/>
                <w:szCs w:val="22"/>
              </w:rPr>
              <w:t>30sec</w:t>
            </w:r>
          </w:p>
        </w:tc>
        <w:tc>
          <w:tcPr>
            <w:tcW w:w="833" w:type="dxa"/>
          </w:tcPr>
          <w:p w14:paraId="25232930" w14:textId="77777777" w:rsidR="00B95DFA" w:rsidRPr="001635AD" w:rsidRDefault="00B95DFA" w:rsidP="00CE3A37">
            <w:pPr>
              <w:spacing w:line="360" w:lineRule="auto"/>
              <w:jc w:val="center"/>
              <w:rPr>
                <w:rFonts w:ascii="Arial" w:hAnsi="Arial" w:cs="Arial"/>
                <w:b/>
                <w:sz w:val="22"/>
                <w:szCs w:val="22"/>
              </w:rPr>
            </w:pPr>
          </w:p>
        </w:tc>
        <w:tc>
          <w:tcPr>
            <w:tcW w:w="816" w:type="dxa"/>
          </w:tcPr>
          <w:p w14:paraId="50EFE988" w14:textId="77777777" w:rsidR="00B95DFA" w:rsidRPr="001635AD" w:rsidRDefault="00B95DFA" w:rsidP="00CE3A37">
            <w:pPr>
              <w:spacing w:line="480" w:lineRule="auto"/>
              <w:jc w:val="center"/>
              <w:rPr>
                <w:rFonts w:ascii="Arial" w:hAnsi="Arial" w:cs="Arial"/>
                <w:b/>
                <w:sz w:val="22"/>
                <w:szCs w:val="22"/>
              </w:rPr>
            </w:pPr>
          </w:p>
        </w:tc>
        <w:tc>
          <w:tcPr>
            <w:tcW w:w="816" w:type="dxa"/>
            <w:tcBorders>
              <w:right w:val="single" w:sz="18" w:space="0" w:color="auto"/>
            </w:tcBorders>
          </w:tcPr>
          <w:p w14:paraId="1EDEF11B" w14:textId="77777777" w:rsidR="00B95DFA" w:rsidRPr="001635AD" w:rsidRDefault="00B95DFA" w:rsidP="00CE3A37">
            <w:pPr>
              <w:spacing w:line="480" w:lineRule="auto"/>
              <w:jc w:val="center"/>
              <w:rPr>
                <w:rFonts w:ascii="Arial" w:hAnsi="Arial" w:cs="Arial"/>
                <w:b/>
                <w:sz w:val="22"/>
                <w:szCs w:val="22"/>
              </w:rPr>
            </w:pPr>
          </w:p>
        </w:tc>
      </w:tr>
      <w:tr w:rsidR="00B95DFA" w14:paraId="733AF267" w14:textId="77777777" w:rsidTr="00CE3A37">
        <w:tc>
          <w:tcPr>
            <w:tcW w:w="959" w:type="dxa"/>
            <w:tcBorders>
              <w:left w:val="single" w:sz="18" w:space="0" w:color="auto"/>
              <w:bottom w:val="single" w:sz="18" w:space="0" w:color="auto"/>
            </w:tcBorders>
            <w:vAlign w:val="bottom"/>
          </w:tcPr>
          <w:p w14:paraId="144532BE" w14:textId="77777777" w:rsidR="00B95DFA" w:rsidRPr="001635AD" w:rsidRDefault="00B95DFA" w:rsidP="00CE3A37">
            <w:pPr>
              <w:spacing w:line="360" w:lineRule="auto"/>
              <w:jc w:val="center"/>
              <w:rPr>
                <w:rFonts w:ascii="Arial" w:hAnsi="Arial" w:cs="Arial"/>
                <w:b/>
                <w:sz w:val="22"/>
                <w:szCs w:val="22"/>
              </w:rPr>
            </w:pPr>
            <w:r>
              <w:rPr>
                <w:rFonts w:ascii="Arial" w:hAnsi="Arial" w:cs="Arial"/>
                <w:b/>
                <w:sz w:val="22"/>
                <w:szCs w:val="22"/>
              </w:rPr>
              <w:t>19</w:t>
            </w:r>
          </w:p>
        </w:tc>
        <w:tc>
          <w:tcPr>
            <w:tcW w:w="3685" w:type="dxa"/>
            <w:tcBorders>
              <w:bottom w:val="single" w:sz="18" w:space="0" w:color="auto"/>
            </w:tcBorders>
          </w:tcPr>
          <w:p w14:paraId="3DB85274" w14:textId="77777777" w:rsidR="00B95DFA" w:rsidRPr="00F327C0" w:rsidRDefault="00B95DFA" w:rsidP="00CE3A37">
            <w:pPr>
              <w:rPr>
                <w:rFonts w:ascii="Arial" w:hAnsi="Arial" w:cs="Arial"/>
                <w:sz w:val="22"/>
                <w:szCs w:val="22"/>
              </w:rPr>
            </w:pPr>
            <w:r>
              <w:rPr>
                <w:rFonts w:ascii="Arial" w:hAnsi="Arial" w:cs="Arial"/>
                <w:sz w:val="22"/>
                <w:szCs w:val="22"/>
              </w:rPr>
              <w:t>Read the plate on Bio-Plex system</w:t>
            </w:r>
          </w:p>
        </w:tc>
        <w:tc>
          <w:tcPr>
            <w:tcW w:w="1270" w:type="dxa"/>
            <w:tcBorders>
              <w:bottom w:val="single" w:sz="18" w:space="0" w:color="auto"/>
            </w:tcBorders>
            <w:vAlign w:val="bottom"/>
          </w:tcPr>
          <w:p w14:paraId="63400527" w14:textId="77777777" w:rsidR="00B95DFA" w:rsidRPr="001635AD" w:rsidRDefault="00B95DFA" w:rsidP="00CE3A37">
            <w:pPr>
              <w:spacing w:line="360" w:lineRule="auto"/>
              <w:jc w:val="center"/>
              <w:rPr>
                <w:rFonts w:ascii="Arial" w:hAnsi="Arial" w:cs="Arial"/>
                <w:b/>
                <w:sz w:val="22"/>
                <w:szCs w:val="22"/>
              </w:rPr>
            </w:pPr>
          </w:p>
        </w:tc>
        <w:tc>
          <w:tcPr>
            <w:tcW w:w="857" w:type="dxa"/>
            <w:tcBorders>
              <w:bottom w:val="single" w:sz="18" w:space="0" w:color="auto"/>
            </w:tcBorders>
            <w:vAlign w:val="bottom"/>
          </w:tcPr>
          <w:p w14:paraId="2A12A148" w14:textId="77777777" w:rsidR="00B95DFA" w:rsidRPr="001635AD" w:rsidRDefault="00B95DFA" w:rsidP="00CE3A37">
            <w:pPr>
              <w:spacing w:line="360" w:lineRule="auto"/>
              <w:jc w:val="center"/>
              <w:rPr>
                <w:rFonts w:ascii="Arial" w:hAnsi="Arial" w:cs="Arial"/>
                <w:b/>
                <w:sz w:val="22"/>
                <w:szCs w:val="22"/>
              </w:rPr>
            </w:pPr>
          </w:p>
        </w:tc>
        <w:tc>
          <w:tcPr>
            <w:tcW w:w="833" w:type="dxa"/>
            <w:tcBorders>
              <w:bottom w:val="single" w:sz="18" w:space="0" w:color="auto"/>
            </w:tcBorders>
          </w:tcPr>
          <w:p w14:paraId="27C20127" w14:textId="77777777" w:rsidR="00B95DFA" w:rsidRPr="001635AD" w:rsidRDefault="00B95DFA" w:rsidP="00CE3A37">
            <w:pPr>
              <w:spacing w:line="360" w:lineRule="auto"/>
              <w:jc w:val="center"/>
              <w:rPr>
                <w:rFonts w:ascii="Arial" w:hAnsi="Arial" w:cs="Arial"/>
                <w:b/>
                <w:sz w:val="22"/>
                <w:szCs w:val="22"/>
              </w:rPr>
            </w:pPr>
          </w:p>
        </w:tc>
        <w:tc>
          <w:tcPr>
            <w:tcW w:w="816" w:type="dxa"/>
            <w:tcBorders>
              <w:bottom w:val="single" w:sz="18" w:space="0" w:color="auto"/>
            </w:tcBorders>
          </w:tcPr>
          <w:p w14:paraId="58B2FF45" w14:textId="77777777" w:rsidR="00B95DFA" w:rsidRPr="001635AD" w:rsidRDefault="00B95DFA" w:rsidP="00CE3A37">
            <w:pPr>
              <w:spacing w:line="480" w:lineRule="auto"/>
              <w:jc w:val="center"/>
              <w:rPr>
                <w:rFonts w:ascii="Arial" w:hAnsi="Arial" w:cs="Arial"/>
                <w:b/>
                <w:sz w:val="22"/>
                <w:szCs w:val="22"/>
              </w:rPr>
            </w:pPr>
          </w:p>
        </w:tc>
        <w:tc>
          <w:tcPr>
            <w:tcW w:w="816" w:type="dxa"/>
            <w:tcBorders>
              <w:bottom w:val="single" w:sz="18" w:space="0" w:color="auto"/>
              <w:right w:val="single" w:sz="18" w:space="0" w:color="auto"/>
            </w:tcBorders>
          </w:tcPr>
          <w:p w14:paraId="65F7EC8E" w14:textId="77777777" w:rsidR="00B95DFA" w:rsidRPr="001635AD" w:rsidRDefault="00B95DFA" w:rsidP="00CE3A37">
            <w:pPr>
              <w:spacing w:line="480" w:lineRule="auto"/>
              <w:jc w:val="center"/>
              <w:rPr>
                <w:rFonts w:ascii="Arial" w:hAnsi="Arial" w:cs="Arial"/>
                <w:b/>
                <w:sz w:val="22"/>
                <w:szCs w:val="22"/>
              </w:rPr>
            </w:pPr>
          </w:p>
        </w:tc>
      </w:tr>
    </w:tbl>
    <w:p w14:paraId="37724C0F" w14:textId="77777777" w:rsidR="00B95DFA" w:rsidRDefault="00B95DFA" w:rsidP="00204988">
      <w:pPr>
        <w:pStyle w:val="TOCHeading"/>
      </w:pPr>
    </w:p>
    <w:p w14:paraId="36DCB1FE" w14:textId="77777777" w:rsidR="00B95DFA" w:rsidRDefault="00B95DFA" w:rsidP="00204988">
      <w:pPr>
        <w:pStyle w:val="TOCHeading"/>
      </w:pPr>
    </w:p>
    <w:p w14:paraId="4BA52F3F" w14:textId="77777777" w:rsidR="00B95DFA" w:rsidRDefault="00B95DFA" w:rsidP="00204988">
      <w:pPr>
        <w:pStyle w:val="TOCHeading"/>
      </w:pPr>
    </w:p>
    <w:p w14:paraId="1B1252CA" w14:textId="77777777" w:rsidR="00B95DFA" w:rsidRDefault="00B95DFA" w:rsidP="00204988">
      <w:pPr>
        <w:pStyle w:val="TOCHeading"/>
      </w:pPr>
    </w:p>
    <w:p w14:paraId="28FECD20" w14:textId="77777777" w:rsidR="00B95DFA" w:rsidRDefault="00B95DFA" w:rsidP="00204988">
      <w:pPr>
        <w:pStyle w:val="TOCHeading"/>
      </w:pPr>
    </w:p>
    <w:p w14:paraId="521011E0" w14:textId="77777777" w:rsidR="00B95DFA" w:rsidRDefault="00B95DFA" w:rsidP="00204988">
      <w:pPr>
        <w:pStyle w:val="TOCHeading"/>
      </w:pPr>
    </w:p>
    <w:p w14:paraId="4D8AA2A1" w14:textId="77777777" w:rsidR="00B95DFA" w:rsidRDefault="00B95DFA" w:rsidP="00204988">
      <w:pPr>
        <w:pStyle w:val="TOCHeading"/>
      </w:pPr>
    </w:p>
    <w:p w14:paraId="5A8DD5AD" w14:textId="77777777" w:rsidR="00B95DFA" w:rsidRDefault="00B95DFA" w:rsidP="00204988">
      <w:pPr>
        <w:pStyle w:val="TOCHeading"/>
      </w:pPr>
    </w:p>
    <w:p w14:paraId="0E4B29DD" w14:textId="77777777" w:rsidR="00B95DFA" w:rsidRDefault="00B95DFA" w:rsidP="00B95DFA">
      <w:pPr>
        <w:tabs>
          <w:tab w:val="left" w:pos="3200"/>
        </w:tabs>
      </w:pPr>
      <w:r>
        <w:tab/>
      </w:r>
    </w:p>
    <w:p w14:paraId="7491B8DB" w14:textId="77777777" w:rsidR="00B95DFA" w:rsidRDefault="00B95DFA" w:rsidP="00B95DFA">
      <w:pPr>
        <w:tabs>
          <w:tab w:val="left" w:pos="3200"/>
        </w:tabs>
      </w:pPr>
    </w:p>
    <w:p w14:paraId="156DA4E5" w14:textId="77777777" w:rsidR="00B95DFA" w:rsidRDefault="00B95DFA" w:rsidP="00B95DFA">
      <w:pPr>
        <w:tabs>
          <w:tab w:val="left" w:pos="3200"/>
        </w:tabs>
      </w:pPr>
    </w:p>
    <w:p w14:paraId="2A5B9812" w14:textId="77777777" w:rsidR="00B95DFA" w:rsidRDefault="00B95DFA" w:rsidP="00B95DFA"/>
    <w:p w14:paraId="16E5AAD5" w14:textId="77777777" w:rsidR="00B95DFA" w:rsidRPr="00CE471D" w:rsidRDefault="00B95DFA" w:rsidP="00B95DFA">
      <w:pPr>
        <w:spacing w:line="360" w:lineRule="auto"/>
        <w:rPr>
          <w:sz w:val="36"/>
          <w:szCs w:val="36"/>
        </w:rPr>
      </w:pPr>
    </w:p>
    <w:sectPr w:rsidR="00B95DFA" w:rsidRPr="00CE471D" w:rsidSect="0091638B">
      <w:pgSz w:w="11900" w:h="16840"/>
      <w:pgMar w:top="1138" w:right="1138" w:bottom="1138" w:left="1138" w:header="432" w:footer="706" w:gutter="0"/>
      <w:pgNumType w:start="1" w:chapStyle="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136EDC" w14:textId="77777777" w:rsidR="003D0847" w:rsidRDefault="003D0847" w:rsidP="007B76C3">
      <w:r>
        <w:separator/>
      </w:r>
    </w:p>
  </w:endnote>
  <w:endnote w:type="continuationSeparator" w:id="0">
    <w:p w14:paraId="7DF0B0AB" w14:textId="77777777" w:rsidR="003D0847" w:rsidRDefault="003D0847" w:rsidP="007B76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TUOS Stephenson">
    <w:altName w:val="Luminari"/>
    <w:panose1 w:val="02070503080000020004"/>
    <w:charset w:val="00"/>
    <w:family w:val="auto"/>
    <w:pitch w:val="variable"/>
    <w:sig w:usb0="8000002F" w:usb1="4000004A" w:usb2="00000000" w:usb3="00000000" w:csb0="00000011" w:csb1="00000000"/>
  </w:font>
  <w:font w:name="Times">
    <w:altName w:val="Times Roman"/>
    <w:panose1 w:val="02000500000000000000"/>
    <w:charset w:val="4D"/>
    <w:family w:val="roman"/>
    <w:notTrueType/>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American Typewriter">
    <w:panose1 w:val="02090604020004020304"/>
    <w:charset w:val="00"/>
    <w:family w:val="auto"/>
    <w:pitch w:val="variable"/>
    <w:sig w:usb0="A000006F" w:usb1="00000019" w:usb2="00000000" w:usb3="00000000" w:csb0="00000111" w:csb1="00000000"/>
  </w:font>
  <w:font w:name="MS Gothic">
    <w:charset w:val="80"/>
    <w:family w:val="auto"/>
    <w:pitch w:val="variable"/>
    <w:sig w:usb0="E00002FF" w:usb1="6AC7FDFB" w:usb2="08000012" w:usb3="00000000" w:csb0="0002009F" w:csb1="00000000"/>
  </w:font>
  <w:font w:name="Verdana">
    <w:panose1 w:val="020B0604030504040204"/>
    <w:charset w:val="00"/>
    <w:family w:val="auto"/>
    <w:pitch w:val="variable"/>
    <w:sig w:usb0="00000003" w:usb1="00000000" w:usb2="00000000" w:usb3="00000000" w:csb0="00000001" w:csb1="00000000"/>
  </w:font>
  <w:font w:name="American Typewriter Condensed">
    <w:panose1 w:val="02090606020004020304"/>
    <w:charset w:val="00"/>
    <w:family w:val="auto"/>
    <w:pitch w:val="variable"/>
    <w:sig w:usb0="A000006F" w:usb1="00000019" w:usb2="00000000" w:usb3="00000000" w:csb0="0000011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0AFE8" w14:textId="77777777" w:rsidR="003D0847" w:rsidRDefault="003D0847" w:rsidP="00FF2EC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7D90E48" w14:textId="77777777" w:rsidR="003D0847" w:rsidRDefault="003D084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DAAA0E" w14:textId="77777777" w:rsidR="003D0847" w:rsidRPr="00855C95" w:rsidRDefault="003D0847" w:rsidP="009150C0">
    <w:pPr>
      <w:pStyle w:val="Footer"/>
      <w:framePr w:wrap="around" w:vAnchor="text" w:hAnchor="page" w:x="5815" w:y="39"/>
      <w:rPr>
        <w:rStyle w:val="PageNumber"/>
        <w:rFonts w:ascii="Arial" w:hAnsi="Arial" w:cs="Arial"/>
      </w:rPr>
    </w:pPr>
    <w:r w:rsidRPr="00855C95">
      <w:rPr>
        <w:rStyle w:val="PageNumber"/>
        <w:rFonts w:ascii="Arial" w:hAnsi="Arial" w:cs="Arial"/>
      </w:rPr>
      <w:fldChar w:fldCharType="begin"/>
    </w:r>
    <w:r w:rsidRPr="00855C95">
      <w:rPr>
        <w:rStyle w:val="PageNumber"/>
        <w:rFonts w:ascii="Arial" w:hAnsi="Arial" w:cs="Arial"/>
      </w:rPr>
      <w:instrText xml:space="preserve">PAGE  </w:instrText>
    </w:r>
    <w:r w:rsidRPr="00855C95">
      <w:rPr>
        <w:rStyle w:val="PageNumber"/>
        <w:rFonts w:ascii="Arial" w:hAnsi="Arial" w:cs="Arial"/>
      </w:rPr>
      <w:fldChar w:fldCharType="separate"/>
    </w:r>
    <w:r w:rsidR="000A5CB1">
      <w:rPr>
        <w:rStyle w:val="PageNumber"/>
        <w:rFonts w:ascii="Arial" w:hAnsi="Arial" w:cs="Arial"/>
        <w:noProof/>
      </w:rPr>
      <w:t>172</w:t>
    </w:r>
    <w:r w:rsidRPr="00855C95">
      <w:rPr>
        <w:rStyle w:val="PageNumber"/>
        <w:rFonts w:ascii="Arial" w:hAnsi="Arial" w:cs="Arial"/>
      </w:rPr>
      <w:fldChar w:fldCharType="end"/>
    </w:r>
  </w:p>
  <w:p w14:paraId="1EBABAEC" w14:textId="77777777" w:rsidR="003D0847" w:rsidRDefault="003D084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F9080D" w14:textId="77777777" w:rsidR="003D0847" w:rsidRDefault="003D0847" w:rsidP="007B76C3">
      <w:r>
        <w:separator/>
      </w:r>
    </w:p>
  </w:footnote>
  <w:footnote w:type="continuationSeparator" w:id="0">
    <w:p w14:paraId="1941BBB5" w14:textId="77777777" w:rsidR="003D0847" w:rsidRDefault="003D0847" w:rsidP="007B76C3">
      <w:r>
        <w:continuationSeparator/>
      </w:r>
    </w:p>
  </w:footnote>
  <w:footnote w:id="1">
    <w:p w14:paraId="105BFC87" w14:textId="77777777" w:rsidR="003D0847" w:rsidRPr="00350E13" w:rsidRDefault="003D0847" w:rsidP="007B76C3">
      <w:pPr>
        <w:pStyle w:val="FootnoteText"/>
        <w:jc w:val="both"/>
        <w:rPr>
          <w:rFonts w:ascii="Arial" w:hAnsi="Arial"/>
          <w:sz w:val="22"/>
          <w:szCs w:val="22"/>
          <w:lang w:val="en-US"/>
        </w:rPr>
      </w:pPr>
      <w:r>
        <w:rPr>
          <w:rStyle w:val="FootnoteReference"/>
        </w:rPr>
        <w:footnoteRef/>
      </w:r>
      <w:r>
        <w:t xml:space="preserve"> </w:t>
      </w:r>
      <w:r w:rsidRPr="00350E13">
        <w:rPr>
          <w:rFonts w:ascii="Arial" w:hAnsi="Arial"/>
          <w:sz w:val="22"/>
          <w:szCs w:val="22"/>
        </w:rPr>
        <w:t>Unitless measure, ratio defined as a deformation of bone per unit length in response to loading</w:t>
      </w:r>
    </w:p>
  </w:footnote>
  <w:footnote w:id="2">
    <w:p w14:paraId="33F38C94" w14:textId="77777777" w:rsidR="003D0847" w:rsidRPr="003A63CB" w:rsidRDefault="003D0847" w:rsidP="007B76C3">
      <w:pPr>
        <w:pStyle w:val="FootnoteText"/>
        <w:rPr>
          <w:lang w:val="en-US"/>
        </w:rPr>
      </w:pPr>
      <w:r>
        <w:rPr>
          <w:rStyle w:val="FootnoteReference"/>
        </w:rPr>
        <w:footnoteRef/>
      </w:r>
      <w:r>
        <w:t xml:space="preserve"> A g</w:t>
      </w:r>
      <w:r w:rsidRPr="003A63CB">
        <w:rPr>
          <w:rFonts w:ascii="Arial" w:hAnsi="Arial"/>
          <w:sz w:val="22"/>
          <w:szCs w:val="22"/>
        </w:rPr>
        <w:t>roup of gastrointestinal hormones</w:t>
      </w:r>
      <w:r>
        <w:rPr>
          <w:rFonts w:ascii="Arial" w:hAnsi="Arial"/>
          <w:sz w:val="22"/>
          <w:szCs w:val="22"/>
        </w:rPr>
        <w:t xml:space="preserve"> that</w:t>
      </w:r>
      <w:r w:rsidRPr="003A63CB">
        <w:rPr>
          <w:rFonts w:ascii="Arial" w:hAnsi="Arial"/>
          <w:sz w:val="22"/>
          <w:szCs w:val="22"/>
        </w:rPr>
        <w:t xml:space="preserve"> stimulate decrease in blood glucose </w:t>
      </w:r>
      <w:r>
        <w:rPr>
          <w:rFonts w:ascii="Arial" w:hAnsi="Arial"/>
          <w:sz w:val="22"/>
          <w:szCs w:val="22"/>
        </w:rPr>
        <w:t>concentrations</w:t>
      </w:r>
      <w: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55pt;height:14.55pt" o:bullet="t">
        <v:imagedata r:id="rId1" o:title="Word Work File L_1874702134"/>
      </v:shape>
    </w:pict>
  </w:numPicBullet>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75C748E"/>
    <w:multiLevelType w:val="hybridMultilevel"/>
    <w:tmpl w:val="6A581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9361B57"/>
    <w:multiLevelType w:val="hybridMultilevel"/>
    <w:tmpl w:val="B51C6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AEC1E45"/>
    <w:multiLevelType w:val="hybridMultilevel"/>
    <w:tmpl w:val="E10284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28F2A87"/>
    <w:multiLevelType w:val="hybridMultilevel"/>
    <w:tmpl w:val="408CA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E600F2F"/>
    <w:multiLevelType w:val="hybridMultilevel"/>
    <w:tmpl w:val="4DF871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F536902"/>
    <w:multiLevelType w:val="hybridMultilevel"/>
    <w:tmpl w:val="91001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3F06C84"/>
    <w:multiLevelType w:val="hybridMultilevel"/>
    <w:tmpl w:val="C9787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53C19AF"/>
    <w:multiLevelType w:val="hybridMultilevel"/>
    <w:tmpl w:val="3A5C3CE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7937BF7"/>
    <w:multiLevelType w:val="hybridMultilevel"/>
    <w:tmpl w:val="1FD0BEE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2D1391E"/>
    <w:multiLevelType w:val="hybridMultilevel"/>
    <w:tmpl w:val="E626C59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E001D3"/>
    <w:multiLevelType w:val="hybridMultilevel"/>
    <w:tmpl w:val="EADE0A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F975689"/>
    <w:multiLevelType w:val="hybridMultilevel"/>
    <w:tmpl w:val="1100A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9A3E3C"/>
    <w:multiLevelType w:val="hybridMultilevel"/>
    <w:tmpl w:val="A9161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4CD840E5"/>
    <w:multiLevelType w:val="hybridMultilevel"/>
    <w:tmpl w:val="81E6C29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29F5696"/>
    <w:multiLevelType w:val="hybridMultilevel"/>
    <w:tmpl w:val="E1EE10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551D0468"/>
    <w:multiLevelType w:val="hybridMultilevel"/>
    <w:tmpl w:val="C1881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8B559FB"/>
    <w:multiLevelType w:val="hybridMultilevel"/>
    <w:tmpl w:val="A7141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C5E5647"/>
    <w:multiLevelType w:val="multilevel"/>
    <w:tmpl w:val="3B6C0F10"/>
    <w:lvl w:ilvl="0">
      <w:start w:val="1"/>
      <w:numFmt w:val="decimal"/>
      <w:lvlText w:val="%1"/>
      <w:lvlJc w:val="left"/>
      <w:pPr>
        <w:ind w:left="400" w:hanging="400"/>
      </w:pPr>
      <w:rPr>
        <w:rFonts w:hint="default"/>
      </w:rPr>
    </w:lvl>
    <w:lvl w:ilvl="1">
      <w:start w:val="1"/>
      <w:numFmt w:val="decimal"/>
      <w:lvlText w:val="%1.%2"/>
      <w:lvlJc w:val="left"/>
      <w:pPr>
        <w:ind w:left="400" w:hanging="4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nsid w:val="5EB20D8C"/>
    <w:multiLevelType w:val="hybridMultilevel"/>
    <w:tmpl w:val="80E2017E"/>
    <w:lvl w:ilvl="0" w:tplc="0A06F39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603C367F"/>
    <w:multiLevelType w:val="hybridMultilevel"/>
    <w:tmpl w:val="DE645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12F0B54"/>
    <w:multiLevelType w:val="hybridMultilevel"/>
    <w:tmpl w:val="9C0C15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71A2092"/>
    <w:multiLevelType w:val="hybridMultilevel"/>
    <w:tmpl w:val="C974E5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AE34A3A"/>
    <w:multiLevelType w:val="hybridMultilevel"/>
    <w:tmpl w:val="C77C6CA4"/>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B9C0924"/>
    <w:multiLevelType w:val="hybridMultilevel"/>
    <w:tmpl w:val="A0AEA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D413195"/>
    <w:multiLevelType w:val="hybridMultilevel"/>
    <w:tmpl w:val="C248E2D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F044021"/>
    <w:multiLevelType w:val="hybridMultilevel"/>
    <w:tmpl w:val="00700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03203E7"/>
    <w:multiLevelType w:val="hybridMultilevel"/>
    <w:tmpl w:val="C13C9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A1C58E7"/>
    <w:multiLevelType w:val="hybridMultilevel"/>
    <w:tmpl w:val="95462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B00026E"/>
    <w:multiLevelType w:val="hybridMultilevel"/>
    <w:tmpl w:val="75EAF576"/>
    <w:lvl w:ilvl="0" w:tplc="19A2D0A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C022712"/>
    <w:multiLevelType w:val="hybridMultilevel"/>
    <w:tmpl w:val="4FCCB0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0"/>
  </w:num>
  <w:num w:numId="3">
    <w:abstractNumId w:val="18"/>
  </w:num>
  <w:num w:numId="4">
    <w:abstractNumId w:val="22"/>
  </w:num>
  <w:num w:numId="5">
    <w:abstractNumId w:val="30"/>
  </w:num>
  <w:num w:numId="6">
    <w:abstractNumId w:val="26"/>
  </w:num>
  <w:num w:numId="7">
    <w:abstractNumId w:val="9"/>
  </w:num>
  <w:num w:numId="8">
    <w:abstractNumId w:val="5"/>
  </w:num>
  <w:num w:numId="9">
    <w:abstractNumId w:val="14"/>
  </w:num>
  <w:num w:numId="10">
    <w:abstractNumId w:val="21"/>
  </w:num>
  <w:num w:numId="11">
    <w:abstractNumId w:val="27"/>
  </w:num>
  <w:num w:numId="12">
    <w:abstractNumId w:val="17"/>
  </w:num>
  <w:num w:numId="13">
    <w:abstractNumId w:val="28"/>
  </w:num>
  <w:num w:numId="14">
    <w:abstractNumId w:val="7"/>
  </w:num>
  <w:num w:numId="15">
    <w:abstractNumId w:val="23"/>
  </w:num>
  <w:num w:numId="16">
    <w:abstractNumId w:val="4"/>
  </w:num>
  <w:num w:numId="17">
    <w:abstractNumId w:val="15"/>
  </w:num>
  <w:num w:numId="18">
    <w:abstractNumId w:val="25"/>
  </w:num>
  <w:num w:numId="19">
    <w:abstractNumId w:val="10"/>
  </w:num>
  <w:num w:numId="20">
    <w:abstractNumId w:val="6"/>
  </w:num>
  <w:num w:numId="21">
    <w:abstractNumId w:val="12"/>
  </w:num>
  <w:num w:numId="22">
    <w:abstractNumId w:val="24"/>
  </w:num>
  <w:num w:numId="23">
    <w:abstractNumId w:val="16"/>
  </w:num>
  <w:num w:numId="24">
    <w:abstractNumId w:val="11"/>
  </w:num>
  <w:num w:numId="25">
    <w:abstractNumId w:val="13"/>
  </w:num>
  <w:num w:numId="26">
    <w:abstractNumId w:val="3"/>
  </w:num>
  <w:num w:numId="27">
    <w:abstractNumId w:val="1"/>
  </w:num>
  <w:num w:numId="28">
    <w:abstractNumId w:val="0"/>
  </w:num>
  <w:num w:numId="29">
    <w:abstractNumId w:val="29"/>
  </w:num>
  <w:num w:numId="30">
    <w:abstractNumId w:val="19"/>
  </w:num>
  <w:num w:numId="3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9"/>
  <w:embedSystemFonts/>
  <w:proofState w:grammar="clean"/>
  <w:defaultTabStop w:val="720"/>
  <w:drawingGridHorizontalSpacing w:val="12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Harvard Copy&lt;/Style&gt;&lt;LeftDelim&gt;{&lt;/LeftDelim&gt;&lt;RightDelim&gt;}&lt;/RightDelim&gt;&lt;FontName&gt;Arial&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ae9rewfrpdttrheppfxxv0p4950wpd25r09x&quot;&gt;My EndNote Library&lt;record-ids&gt;&lt;item&gt;1&lt;/item&gt;&lt;item&gt;2&lt;/item&gt;&lt;item&gt;3&lt;/item&gt;&lt;item&gt;4&lt;/item&gt;&lt;item&gt;5&lt;/item&gt;&lt;item&gt;9&lt;/item&gt;&lt;item&gt;10&lt;/item&gt;&lt;item&gt;12&lt;/item&gt;&lt;item&gt;14&lt;/item&gt;&lt;item&gt;15&lt;/item&gt;&lt;item&gt;16&lt;/item&gt;&lt;item&gt;18&lt;/item&gt;&lt;item&gt;19&lt;/item&gt;&lt;item&gt;21&lt;/item&gt;&lt;item&gt;32&lt;/item&gt;&lt;item&gt;46&lt;/item&gt;&lt;item&gt;48&lt;/item&gt;&lt;item&gt;50&lt;/item&gt;&lt;item&gt;51&lt;/item&gt;&lt;item&gt;52&lt;/item&gt;&lt;item&gt;54&lt;/item&gt;&lt;item&gt;55&lt;/item&gt;&lt;item&gt;56&lt;/item&gt;&lt;item&gt;58&lt;/item&gt;&lt;item&gt;60&lt;/item&gt;&lt;item&gt;61&lt;/item&gt;&lt;item&gt;63&lt;/item&gt;&lt;item&gt;64&lt;/item&gt;&lt;item&gt;65&lt;/item&gt;&lt;item&gt;66&lt;/item&gt;&lt;item&gt;67&lt;/item&gt;&lt;item&gt;68&lt;/item&gt;&lt;item&gt;69&lt;/item&gt;&lt;item&gt;70&lt;/item&gt;&lt;item&gt;71&lt;/item&gt;&lt;item&gt;72&lt;/item&gt;&lt;item&gt;73&lt;/item&gt;&lt;item&gt;74&lt;/item&gt;&lt;item&gt;80&lt;/item&gt;&lt;item&gt;82&lt;/item&gt;&lt;item&gt;85&lt;/item&gt;&lt;item&gt;86&lt;/item&gt;&lt;item&gt;89&lt;/item&gt;&lt;item&gt;90&lt;/item&gt;&lt;item&gt;95&lt;/item&gt;&lt;item&gt;96&lt;/item&gt;&lt;item&gt;98&lt;/item&gt;&lt;item&gt;99&lt;/item&gt;&lt;item&gt;100&lt;/item&gt;&lt;item&gt;101&lt;/item&gt;&lt;item&gt;102&lt;/item&gt;&lt;item&gt;103&lt;/item&gt;&lt;item&gt;105&lt;/item&gt;&lt;item&gt;107&lt;/item&gt;&lt;item&gt;109&lt;/item&gt;&lt;item&gt;110&lt;/item&gt;&lt;item&gt;111&lt;/item&gt;&lt;item&gt;112&lt;/item&gt;&lt;item&gt;113&lt;/item&gt;&lt;item&gt;114&lt;/item&gt;&lt;item&gt;115&lt;/item&gt;&lt;item&gt;116&lt;/item&gt;&lt;item&gt;117&lt;/item&gt;&lt;item&gt;118&lt;/item&gt;&lt;item&gt;120&lt;/item&gt;&lt;item&gt;121&lt;/item&gt;&lt;item&gt;123&lt;/item&gt;&lt;item&gt;124&lt;/item&gt;&lt;item&gt;125&lt;/item&gt;&lt;item&gt;126&lt;/item&gt;&lt;item&gt;127&lt;/item&gt;&lt;item&gt;128&lt;/item&gt;&lt;item&gt;129&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2&lt;/item&gt;&lt;item&gt;153&lt;/item&gt;&lt;item&gt;154&lt;/item&gt;&lt;item&gt;155&lt;/item&gt;&lt;item&gt;156&lt;/item&gt;&lt;item&gt;157&lt;/item&gt;&lt;item&gt;158&lt;/item&gt;&lt;item&gt;159&lt;/item&gt;&lt;item&gt;161&lt;/item&gt;&lt;item&gt;162&lt;/item&gt;&lt;item&gt;165&lt;/item&gt;&lt;item&gt;166&lt;/item&gt;&lt;item&gt;168&lt;/item&gt;&lt;item&gt;169&lt;/item&gt;&lt;item&gt;170&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200&lt;/item&gt;&lt;item&gt;202&lt;/item&gt;&lt;item&gt;203&lt;/item&gt;&lt;item&gt;204&lt;/item&gt;&lt;item&gt;205&lt;/item&gt;&lt;item&gt;206&lt;/item&gt;&lt;item&gt;207&lt;/item&gt;&lt;item&gt;208&lt;/item&gt;&lt;item&gt;209&lt;/item&gt;&lt;item&gt;211&lt;/item&gt;&lt;item&gt;212&lt;/item&gt;&lt;item&gt;213&lt;/item&gt;&lt;item&gt;214&lt;/item&gt;&lt;item&gt;215&lt;/item&gt;&lt;item&gt;216&lt;/item&gt;&lt;item&gt;217&lt;/item&gt;&lt;item&gt;218&lt;/item&gt;&lt;item&gt;221&lt;/item&gt;&lt;item&gt;226&lt;/item&gt;&lt;item&gt;227&lt;/item&gt;&lt;item&gt;229&lt;/item&gt;&lt;item&gt;230&lt;/item&gt;&lt;item&gt;231&lt;/item&gt;&lt;item&gt;232&lt;/item&gt;&lt;item&gt;234&lt;/item&gt;&lt;item&gt;235&lt;/item&gt;&lt;item&gt;236&lt;/item&gt;&lt;item&gt;237&lt;/item&gt;&lt;item&gt;238&lt;/item&gt;&lt;item&gt;239&lt;/item&gt;&lt;item&gt;241&lt;/item&gt;&lt;item&gt;242&lt;/item&gt;&lt;item&gt;245&lt;/item&gt;&lt;item&gt;246&lt;/item&gt;&lt;item&gt;247&lt;/item&gt;&lt;item&gt;248&lt;/item&gt;&lt;item&gt;249&lt;/item&gt;&lt;item&gt;251&lt;/item&gt;&lt;item&gt;252&lt;/item&gt;&lt;item&gt;253&lt;/item&gt;&lt;item&gt;254&lt;/item&gt;&lt;item&gt;256&lt;/item&gt;&lt;item&gt;257&lt;/item&gt;&lt;item&gt;260&lt;/item&gt;&lt;item&gt;266&lt;/item&gt;&lt;item&gt;267&lt;/item&gt;&lt;item&gt;268&lt;/item&gt;&lt;item&gt;269&lt;/item&gt;&lt;item&gt;270&lt;/item&gt;&lt;item&gt;274&lt;/item&gt;&lt;item&gt;275&lt;/item&gt;&lt;item&gt;276&lt;/item&gt;&lt;item&gt;278&lt;/item&gt;&lt;item&gt;280&lt;/item&gt;&lt;item&gt;283&lt;/item&gt;&lt;item&gt;284&lt;/item&gt;&lt;item&gt;288&lt;/item&gt;&lt;item&gt;290&lt;/item&gt;&lt;item&gt;291&lt;/item&gt;&lt;item&gt;293&lt;/item&gt;&lt;item&gt;294&lt;/item&gt;&lt;item&gt;295&lt;/item&gt;&lt;item&gt;296&lt;/item&gt;&lt;item&gt;297&lt;/item&gt;&lt;item&gt;298&lt;/item&gt;&lt;item&gt;299&lt;/item&gt;&lt;item&gt;301&lt;/item&gt;&lt;item&gt;302&lt;/item&gt;&lt;item&gt;303&lt;/item&gt;&lt;item&gt;304&lt;/item&gt;&lt;item&gt;305&lt;/item&gt;&lt;item&gt;306&lt;/item&gt;&lt;item&gt;307&lt;/item&gt;&lt;item&gt;308&lt;/item&gt;&lt;item&gt;309&lt;/item&gt;&lt;item&gt;310&lt;/item&gt;&lt;item&gt;311&lt;/item&gt;&lt;item&gt;312&lt;/item&gt;&lt;item&gt;313&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8&lt;/item&gt;&lt;item&gt;329&lt;/item&gt;&lt;item&gt;330&lt;/item&gt;&lt;item&gt;331&lt;/item&gt;&lt;item&gt;332&lt;/item&gt;&lt;item&gt;333&lt;/item&gt;&lt;item&gt;334&lt;/item&gt;&lt;item&gt;335&lt;/item&gt;&lt;item&gt;336&lt;/item&gt;&lt;item&gt;337&lt;/item&gt;&lt;item&gt;338&lt;/item&gt;&lt;item&gt;339&lt;/item&gt;&lt;item&gt;341&lt;/item&gt;&lt;item&gt;342&lt;/item&gt;&lt;item&gt;343&lt;/item&gt;&lt;item&gt;344&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4&lt;/item&gt;&lt;item&gt;365&lt;/item&gt;&lt;item&gt;366&lt;/item&gt;&lt;item&gt;367&lt;/item&gt;&lt;item&gt;368&lt;/item&gt;&lt;item&gt;369&lt;/item&gt;&lt;item&gt;370&lt;/item&gt;&lt;item&gt;371&lt;/item&gt;&lt;item&gt;372&lt;/item&gt;&lt;item&gt;373&lt;/item&gt;&lt;item&gt;374&lt;/item&gt;&lt;item&gt;375&lt;/item&gt;&lt;item&gt;376&lt;/item&gt;&lt;item&gt;377&lt;/item&gt;&lt;item&gt;378&lt;/item&gt;&lt;item&gt;379&lt;/item&gt;&lt;item&gt;380&lt;/item&gt;&lt;item&gt;382&lt;/item&gt;&lt;item&gt;384&lt;/item&gt;&lt;item&gt;385&lt;/item&gt;&lt;item&gt;386&lt;/item&gt;&lt;item&gt;387&lt;/item&gt;&lt;item&gt;388&lt;/item&gt;&lt;item&gt;389&lt;/item&gt;&lt;item&gt;390&lt;/item&gt;&lt;item&gt;391&lt;/item&gt;&lt;item&gt;392&lt;/item&gt;&lt;item&gt;393&lt;/item&gt;&lt;item&gt;394&lt;/item&gt;&lt;item&gt;395&lt;/item&gt;&lt;item&gt;396&lt;/item&gt;&lt;item&gt;397&lt;/item&gt;&lt;item&gt;398&lt;/item&gt;&lt;item&gt;399&lt;/item&gt;&lt;item&gt;400&lt;/item&gt;&lt;item&gt;401&lt;/item&gt;&lt;item&gt;402&lt;/item&gt;&lt;item&gt;403&lt;/item&gt;&lt;item&gt;406&lt;/item&gt;&lt;item&gt;407&lt;/item&gt;&lt;item&gt;408&lt;/item&gt;&lt;item&gt;409&lt;/item&gt;&lt;item&gt;410&lt;/item&gt;&lt;item&gt;411&lt;/item&gt;&lt;item&gt;412&lt;/item&gt;&lt;item&gt;413&lt;/item&gt;&lt;item&gt;414&lt;/item&gt;&lt;item&gt;416&lt;/item&gt;&lt;item&gt;417&lt;/item&gt;&lt;item&gt;418&lt;/item&gt;&lt;item&gt;419&lt;/item&gt;&lt;item&gt;421&lt;/item&gt;&lt;item&gt;422&lt;/item&gt;&lt;item&gt;423&lt;/item&gt;&lt;item&gt;424&lt;/item&gt;&lt;item&gt;425&lt;/item&gt;&lt;item&gt;426&lt;/item&gt;&lt;item&gt;427&lt;/item&gt;&lt;item&gt;428&lt;/item&gt;&lt;item&gt;429&lt;/item&gt;&lt;item&gt;430&lt;/item&gt;&lt;item&gt;431&lt;/item&gt;&lt;item&gt;433&lt;/item&gt;&lt;item&gt;434&lt;/item&gt;&lt;item&gt;435&lt;/item&gt;&lt;item&gt;436&lt;/item&gt;&lt;item&gt;437&lt;/item&gt;&lt;item&gt;438&lt;/item&gt;&lt;item&gt;439&lt;/item&gt;&lt;item&gt;440&lt;/item&gt;&lt;item&gt;441&lt;/item&gt;&lt;item&gt;442&lt;/item&gt;&lt;item&gt;443&lt;/item&gt;&lt;item&gt;444&lt;/item&gt;&lt;item&gt;445&lt;/item&gt;&lt;item&gt;446&lt;/item&gt;&lt;item&gt;447&lt;/item&gt;&lt;item&gt;448&lt;/item&gt;&lt;item&gt;449&lt;/item&gt;&lt;item&gt;450&lt;/item&gt;&lt;item&gt;451&lt;/item&gt;&lt;item&gt;452&lt;/item&gt;&lt;item&gt;453&lt;/item&gt;&lt;item&gt;454&lt;/item&gt;&lt;item&gt;455&lt;/item&gt;&lt;item&gt;456&lt;/item&gt;&lt;item&gt;457&lt;/item&gt;&lt;item&gt;458&lt;/item&gt;&lt;item&gt;459&lt;/item&gt;&lt;item&gt;460&lt;/item&gt;&lt;item&gt;461&lt;/item&gt;&lt;item&gt;462&lt;/item&gt;&lt;item&gt;463&lt;/item&gt;&lt;item&gt;464&lt;/item&gt;&lt;item&gt;465&lt;/item&gt;&lt;item&gt;466&lt;/item&gt;&lt;item&gt;467&lt;/item&gt;&lt;item&gt;469&lt;/item&gt;&lt;item&gt;471&lt;/item&gt;&lt;item&gt;472&lt;/item&gt;&lt;item&gt;473&lt;/item&gt;&lt;item&gt;474&lt;/item&gt;&lt;item&gt;476&lt;/item&gt;&lt;item&gt;477&lt;/item&gt;&lt;item&gt;478&lt;/item&gt;&lt;item&gt;479&lt;/item&gt;&lt;item&gt;480&lt;/item&gt;&lt;item&gt;481&lt;/item&gt;&lt;item&gt;484&lt;/item&gt;&lt;item&gt;485&lt;/item&gt;&lt;item&gt;487&lt;/item&gt;&lt;item&gt;488&lt;/item&gt;&lt;item&gt;489&lt;/item&gt;&lt;item&gt;490&lt;/item&gt;&lt;item&gt;492&lt;/item&gt;&lt;item&gt;493&lt;/item&gt;&lt;item&gt;494&lt;/item&gt;&lt;item&gt;495&lt;/item&gt;&lt;item&gt;496&lt;/item&gt;&lt;item&gt;497&lt;/item&gt;&lt;item&gt;498&lt;/item&gt;&lt;item&gt;499&lt;/item&gt;&lt;item&gt;500&lt;/item&gt;&lt;item&gt;501&lt;/item&gt;&lt;item&gt;502&lt;/item&gt;&lt;item&gt;503&lt;/item&gt;&lt;item&gt;504&lt;/item&gt;&lt;item&gt;505&lt;/item&gt;&lt;item&gt;509&lt;/item&gt;&lt;item&gt;512&lt;/item&gt;&lt;item&gt;513&lt;/item&gt;&lt;item&gt;515&lt;/item&gt;&lt;item&gt;516&lt;/item&gt;&lt;item&gt;517&lt;/item&gt;&lt;item&gt;518&lt;/item&gt;&lt;item&gt;520&lt;/item&gt;&lt;item&gt;521&lt;/item&gt;&lt;item&gt;522&lt;/item&gt;&lt;item&gt;524&lt;/item&gt;&lt;item&gt;525&lt;/item&gt;&lt;item&gt;526&lt;/item&gt;&lt;item&gt;527&lt;/item&gt;&lt;item&gt;528&lt;/item&gt;&lt;item&gt;530&lt;/item&gt;&lt;item&gt;531&lt;/item&gt;&lt;item&gt;532&lt;/item&gt;&lt;item&gt;533&lt;/item&gt;&lt;item&gt;534&lt;/item&gt;&lt;item&gt;535&lt;/item&gt;&lt;item&gt;536&lt;/item&gt;&lt;item&gt;537&lt;/item&gt;&lt;item&gt;538&lt;/item&gt;&lt;item&gt;539&lt;/item&gt;&lt;item&gt;540&lt;/item&gt;&lt;item&gt;541&lt;/item&gt;&lt;item&gt;542&lt;/item&gt;&lt;item&gt;543&lt;/item&gt;&lt;item&gt;544&lt;/item&gt;&lt;item&gt;545&lt;/item&gt;&lt;item&gt;546&lt;/item&gt;&lt;item&gt;547&lt;/item&gt;&lt;item&gt;548&lt;/item&gt;&lt;item&gt;549&lt;/item&gt;&lt;item&gt;550&lt;/item&gt;&lt;item&gt;552&lt;/item&gt;&lt;item&gt;553&lt;/item&gt;&lt;item&gt;554&lt;/item&gt;&lt;item&gt;555&lt;/item&gt;&lt;item&gt;556&lt;/item&gt;&lt;item&gt;557&lt;/item&gt;&lt;item&gt;558&lt;/item&gt;&lt;item&gt;560&lt;/item&gt;&lt;item&gt;561&lt;/item&gt;&lt;item&gt;562&lt;/item&gt;&lt;item&gt;563&lt;/item&gt;&lt;item&gt;567&lt;/item&gt;&lt;item&gt;568&lt;/item&gt;&lt;item&gt;569&lt;/item&gt;&lt;item&gt;570&lt;/item&gt;&lt;item&gt;571&lt;/item&gt;&lt;item&gt;573&lt;/item&gt;&lt;item&gt;574&lt;/item&gt;&lt;item&gt;575&lt;/item&gt;&lt;item&gt;576&lt;/item&gt;&lt;item&gt;577&lt;/item&gt;&lt;item&gt;578&lt;/item&gt;&lt;item&gt;579&lt;/item&gt;&lt;item&gt;580&lt;/item&gt;&lt;item&gt;581&lt;/item&gt;&lt;item&gt;582&lt;/item&gt;&lt;item&gt;583&lt;/item&gt;&lt;item&gt;585&lt;/item&gt;&lt;item&gt;586&lt;/item&gt;&lt;item&gt;587&lt;/item&gt;&lt;item&gt;589&lt;/item&gt;&lt;item&gt;591&lt;/item&gt;&lt;item&gt;592&lt;/item&gt;&lt;item&gt;593&lt;/item&gt;&lt;item&gt;594&lt;/item&gt;&lt;item&gt;596&lt;/item&gt;&lt;item&gt;597&lt;/item&gt;&lt;item&gt;598&lt;/item&gt;&lt;item&gt;599&lt;/item&gt;&lt;item&gt;600&lt;/item&gt;&lt;item&gt;602&lt;/item&gt;&lt;item&gt;603&lt;/item&gt;&lt;item&gt;604&lt;/item&gt;&lt;item&gt;606&lt;/item&gt;&lt;item&gt;607&lt;/item&gt;&lt;item&gt;608&lt;/item&gt;&lt;item&gt;609&lt;/item&gt;&lt;item&gt;610&lt;/item&gt;&lt;item&gt;611&lt;/item&gt;&lt;item&gt;612&lt;/item&gt;&lt;item&gt;614&lt;/item&gt;&lt;item&gt;615&lt;/item&gt;&lt;item&gt;616&lt;/item&gt;&lt;item&gt;617&lt;/item&gt;&lt;item&gt;618&lt;/item&gt;&lt;item&gt;619&lt;/item&gt;&lt;item&gt;620&lt;/item&gt;&lt;item&gt;621&lt;/item&gt;&lt;item&gt;622&lt;/item&gt;&lt;item&gt;623&lt;/item&gt;&lt;item&gt;624&lt;/item&gt;&lt;item&gt;625&lt;/item&gt;&lt;item&gt;626&lt;/item&gt;&lt;item&gt;627&lt;/item&gt;&lt;item&gt;628&lt;/item&gt;&lt;item&gt;629&lt;/item&gt;&lt;item&gt;630&lt;/item&gt;&lt;item&gt;632&lt;/item&gt;&lt;item&gt;633&lt;/item&gt;&lt;item&gt;634&lt;/item&gt;&lt;item&gt;635&lt;/item&gt;&lt;item&gt;636&lt;/item&gt;&lt;item&gt;637&lt;/item&gt;&lt;item&gt;638&lt;/item&gt;&lt;item&gt;639&lt;/item&gt;&lt;item&gt;641&lt;/item&gt;&lt;item&gt;642&lt;/item&gt;&lt;item&gt;643&lt;/item&gt;&lt;item&gt;645&lt;/item&gt;&lt;item&gt;646&lt;/item&gt;&lt;item&gt;647&lt;/item&gt;&lt;item&gt;648&lt;/item&gt;&lt;item&gt;649&lt;/item&gt;&lt;item&gt;650&lt;/item&gt;&lt;item&gt;651&lt;/item&gt;&lt;item&gt;652&lt;/item&gt;&lt;item&gt;653&lt;/item&gt;&lt;item&gt;654&lt;/item&gt;&lt;item&gt;656&lt;/item&gt;&lt;item&gt;657&lt;/item&gt;&lt;item&gt;658&lt;/item&gt;&lt;item&gt;659&lt;/item&gt;&lt;item&gt;660&lt;/item&gt;&lt;item&gt;661&lt;/item&gt;&lt;item&gt;663&lt;/item&gt;&lt;item&gt;664&lt;/item&gt;&lt;item&gt;665&lt;/item&gt;&lt;item&gt;666&lt;/item&gt;&lt;item&gt;669&lt;/item&gt;&lt;/record-ids&gt;&lt;/item&gt;&lt;/Libraries&gt;"/>
  </w:docVars>
  <w:rsids>
    <w:rsidRoot w:val="00781086"/>
    <w:rsid w:val="00000861"/>
    <w:rsid w:val="00000D82"/>
    <w:rsid w:val="000021A7"/>
    <w:rsid w:val="00002664"/>
    <w:rsid w:val="00002A82"/>
    <w:rsid w:val="000032B1"/>
    <w:rsid w:val="0000415D"/>
    <w:rsid w:val="00004269"/>
    <w:rsid w:val="000049FE"/>
    <w:rsid w:val="00004A47"/>
    <w:rsid w:val="00006A4E"/>
    <w:rsid w:val="00006D08"/>
    <w:rsid w:val="00010540"/>
    <w:rsid w:val="00010EFC"/>
    <w:rsid w:val="00010FB2"/>
    <w:rsid w:val="000111C5"/>
    <w:rsid w:val="00012227"/>
    <w:rsid w:val="000122D0"/>
    <w:rsid w:val="000127EA"/>
    <w:rsid w:val="000174E0"/>
    <w:rsid w:val="000179CC"/>
    <w:rsid w:val="00024B21"/>
    <w:rsid w:val="000275A7"/>
    <w:rsid w:val="0003014F"/>
    <w:rsid w:val="00030B4F"/>
    <w:rsid w:val="00032524"/>
    <w:rsid w:val="00032AF5"/>
    <w:rsid w:val="0003704C"/>
    <w:rsid w:val="00041F52"/>
    <w:rsid w:val="000427E5"/>
    <w:rsid w:val="00042E8E"/>
    <w:rsid w:val="00043001"/>
    <w:rsid w:val="00046E74"/>
    <w:rsid w:val="000509D9"/>
    <w:rsid w:val="00052D66"/>
    <w:rsid w:val="000543EC"/>
    <w:rsid w:val="000547B7"/>
    <w:rsid w:val="00054AD6"/>
    <w:rsid w:val="00054FF7"/>
    <w:rsid w:val="00057524"/>
    <w:rsid w:val="00060D64"/>
    <w:rsid w:val="00061468"/>
    <w:rsid w:val="0006326C"/>
    <w:rsid w:val="000633FE"/>
    <w:rsid w:val="00063463"/>
    <w:rsid w:val="00063CF6"/>
    <w:rsid w:val="000660D7"/>
    <w:rsid w:val="000674B4"/>
    <w:rsid w:val="00067BDD"/>
    <w:rsid w:val="00070F82"/>
    <w:rsid w:val="00071443"/>
    <w:rsid w:val="00071C46"/>
    <w:rsid w:val="00072879"/>
    <w:rsid w:val="00072A75"/>
    <w:rsid w:val="0007344A"/>
    <w:rsid w:val="0007431F"/>
    <w:rsid w:val="00074F0E"/>
    <w:rsid w:val="00075E5B"/>
    <w:rsid w:val="00077321"/>
    <w:rsid w:val="0008049D"/>
    <w:rsid w:val="00080AC1"/>
    <w:rsid w:val="0008605F"/>
    <w:rsid w:val="0009051B"/>
    <w:rsid w:val="00092BC6"/>
    <w:rsid w:val="00092DC0"/>
    <w:rsid w:val="000936FC"/>
    <w:rsid w:val="000971EB"/>
    <w:rsid w:val="00097480"/>
    <w:rsid w:val="000A110C"/>
    <w:rsid w:val="000A2E63"/>
    <w:rsid w:val="000A455D"/>
    <w:rsid w:val="000A5059"/>
    <w:rsid w:val="000A578D"/>
    <w:rsid w:val="000A5CB1"/>
    <w:rsid w:val="000A6777"/>
    <w:rsid w:val="000A746C"/>
    <w:rsid w:val="000A792A"/>
    <w:rsid w:val="000B041B"/>
    <w:rsid w:val="000B1103"/>
    <w:rsid w:val="000B12ED"/>
    <w:rsid w:val="000B26F0"/>
    <w:rsid w:val="000B2F55"/>
    <w:rsid w:val="000B4241"/>
    <w:rsid w:val="000B5015"/>
    <w:rsid w:val="000B52FC"/>
    <w:rsid w:val="000B6C5F"/>
    <w:rsid w:val="000B7F5B"/>
    <w:rsid w:val="000C1766"/>
    <w:rsid w:val="000C193A"/>
    <w:rsid w:val="000C1C3A"/>
    <w:rsid w:val="000C276B"/>
    <w:rsid w:val="000C33CC"/>
    <w:rsid w:val="000C3AA8"/>
    <w:rsid w:val="000C3B2F"/>
    <w:rsid w:val="000C4290"/>
    <w:rsid w:val="000C5D62"/>
    <w:rsid w:val="000C7B03"/>
    <w:rsid w:val="000D0BAE"/>
    <w:rsid w:val="000D2288"/>
    <w:rsid w:val="000D5AB9"/>
    <w:rsid w:val="000E15FD"/>
    <w:rsid w:val="000E6285"/>
    <w:rsid w:val="000E64B0"/>
    <w:rsid w:val="000E6B2C"/>
    <w:rsid w:val="000E6CA9"/>
    <w:rsid w:val="000F1EC0"/>
    <w:rsid w:val="000F44C3"/>
    <w:rsid w:val="000F514C"/>
    <w:rsid w:val="000F53E2"/>
    <w:rsid w:val="000F5B08"/>
    <w:rsid w:val="000F628F"/>
    <w:rsid w:val="000F7FEA"/>
    <w:rsid w:val="001002E8"/>
    <w:rsid w:val="001017E5"/>
    <w:rsid w:val="00101CC6"/>
    <w:rsid w:val="00102F59"/>
    <w:rsid w:val="00103F4C"/>
    <w:rsid w:val="0010465F"/>
    <w:rsid w:val="00104933"/>
    <w:rsid w:val="001058B3"/>
    <w:rsid w:val="0010680A"/>
    <w:rsid w:val="0010745D"/>
    <w:rsid w:val="00107F6E"/>
    <w:rsid w:val="00111312"/>
    <w:rsid w:val="00111705"/>
    <w:rsid w:val="00111A8B"/>
    <w:rsid w:val="001125A3"/>
    <w:rsid w:val="00114E00"/>
    <w:rsid w:val="00115C34"/>
    <w:rsid w:val="00116C54"/>
    <w:rsid w:val="0011706C"/>
    <w:rsid w:val="0011773A"/>
    <w:rsid w:val="00121954"/>
    <w:rsid w:val="00122254"/>
    <w:rsid w:val="00123FE7"/>
    <w:rsid w:val="00124877"/>
    <w:rsid w:val="00125DE7"/>
    <w:rsid w:val="001267B8"/>
    <w:rsid w:val="0013320D"/>
    <w:rsid w:val="001341AF"/>
    <w:rsid w:val="00134617"/>
    <w:rsid w:val="00134A61"/>
    <w:rsid w:val="0013510A"/>
    <w:rsid w:val="001369E0"/>
    <w:rsid w:val="00140FC5"/>
    <w:rsid w:val="001418D5"/>
    <w:rsid w:val="0014273C"/>
    <w:rsid w:val="001428DF"/>
    <w:rsid w:val="001433EE"/>
    <w:rsid w:val="00145DDC"/>
    <w:rsid w:val="00146266"/>
    <w:rsid w:val="00147489"/>
    <w:rsid w:val="0015157B"/>
    <w:rsid w:val="00152E19"/>
    <w:rsid w:val="00152E8D"/>
    <w:rsid w:val="0015353B"/>
    <w:rsid w:val="0015459C"/>
    <w:rsid w:val="00154B14"/>
    <w:rsid w:val="00154C9F"/>
    <w:rsid w:val="00154F69"/>
    <w:rsid w:val="001557B7"/>
    <w:rsid w:val="00156405"/>
    <w:rsid w:val="00156614"/>
    <w:rsid w:val="00156EF8"/>
    <w:rsid w:val="00161FEA"/>
    <w:rsid w:val="00162724"/>
    <w:rsid w:val="001642EE"/>
    <w:rsid w:val="00164807"/>
    <w:rsid w:val="00164FFD"/>
    <w:rsid w:val="00166284"/>
    <w:rsid w:val="001671BD"/>
    <w:rsid w:val="00167A72"/>
    <w:rsid w:val="001708B6"/>
    <w:rsid w:val="001717D4"/>
    <w:rsid w:val="001721DB"/>
    <w:rsid w:val="00173DB4"/>
    <w:rsid w:val="001767AF"/>
    <w:rsid w:val="0018059B"/>
    <w:rsid w:val="00180C7D"/>
    <w:rsid w:val="00181139"/>
    <w:rsid w:val="00181477"/>
    <w:rsid w:val="00181D7C"/>
    <w:rsid w:val="0018499B"/>
    <w:rsid w:val="001849A7"/>
    <w:rsid w:val="00184C36"/>
    <w:rsid w:val="00185D77"/>
    <w:rsid w:val="00186616"/>
    <w:rsid w:val="00186AA7"/>
    <w:rsid w:val="00186DBE"/>
    <w:rsid w:val="001871C1"/>
    <w:rsid w:val="001923D5"/>
    <w:rsid w:val="001928EA"/>
    <w:rsid w:val="00192CE7"/>
    <w:rsid w:val="00193796"/>
    <w:rsid w:val="001939C2"/>
    <w:rsid w:val="001942FC"/>
    <w:rsid w:val="001965AB"/>
    <w:rsid w:val="00197ADC"/>
    <w:rsid w:val="001A00D4"/>
    <w:rsid w:val="001A029E"/>
    <w:rsid w:val="001A29AF"/>
    <w:rsid w:val="001A30D9"/>
    <w:rsid w:val="001A3DA5"/>
    <w:rsid w:val="001A48A6"/>
    <w:rsid w:val="001A6C51"/>
    <w:rsid w:val="001A77FD"/>
    <w:rsid w:val="001A79D3"/>
    <w:rsid w:val="001A7FA3"/>
    <w:rsid w:val="001B11CF"/>
    <w:rsid w:val="001B1D47"/>
    <w:rsid w:val="001B21AC"/>
    <w:rsid w:val="001B3480"/>
    <w:rsid w:val="001B36AE"/>
    <w:rsid w:val="001B54A3"/>
    <w:rsid w:val="001B7CA0"/>
    <w:rsid w:val="001C09D3"/>
    <w:rsid w:val="001C0C46"/>
    <w:rsid w:val="001C31DB"/>
    <w:rsid w:val="001C4E1E"/>
    <w:rsid w:val="001C5312"/>
    <w:rsid w:val="001C7629"/>
    <w:rsid w:val="001C7A31"/>
    <w:rsid w:val="001C7B4F"/>
    <w:rsid w:val="001D00D7"/>
    <w:rsid w:val="001D030B"/>
    <w:rsid w:val="001D1277"/>
    <w:rsid w:val="001D24FB"/>
    <w:rsid w:val="001D2A0C"/>
    <w:rsid w:val="001D30B3"/>
    <w:rsid w:val="001D3E4D"/>
    <w:rsid w:val="001D50D8"/>
    <w:rsid w:val="001D55E8"/>
    <w:rsid w:val="001D5C27"/>
    <w:rsid w:val="001D5C52"/>
    <w:rsid w:val="001D6E0B"/>
    <w:rsid w:val="001D713A"/>
    <w:rsid w:val="001D7BEA"/>
    <w:rsid w:val="001E191C"/>
    <w:rsid w:val="001E227E"/>
    <w:rsid w:val="001E2699"/>
    <w:rsid w:val="001E2726"/>
    <w:rsid w:val="001E41F3"/>
    <w:rsid w:val="001E5D0E"/>
    <w:rsid w:val="001E6840"/>
    <w:rsid w:val="001F0C49"/>
    <w:rsid w:val="001F118F"/>
    <w:rsid w:val="001F11F2"/>
    <w:rsid w:val="001F153E"/>
    <w:rsid w:val="001F2762"/>
    <w:rsid w:val="001F2819"/>
    <w:rsid w:val="001F31D9"/>
    <w:rsid w:val="001F3387"/>
    <w:rsid w:val="001F3965"/>
    <w:rsid w:val="001F4538"/>
    <w:rsid w:val="001F52AC"/>
    <w:rsid w:val="001F5E17"/>
    <w:rsid w:val="001F6B3E"/>
    <w:rsid w:val="001F6E30"/>
    <w:rsid w:val="001F7283"/>
    <w:rsid w:val="001F7C74"/>
    <w:rsid w:val="00200C63"/>
    <w:rsid w:val="00201662"/>
    <w:rsid w:val="00201683"/>
    <w:rsid w:val="0020206F"/>
    <w:rsid w:val="00202478"/>
    <w:rsid w:val="00203E49"/>
    <w:rsid w:val="0020450B"/>
    <w:rsid w:val="00204988"/>
    <w:rsid w:val="00205311"/>
    <w:rsid w:val="0020790B"/>
    <w:rsid w:val="00210A18"/>
    <w:rsid w:val="00211CD0"/>
    <w:rsid w:val="002124B1"/>
    <w:rsid w:val="0021264D"/>
    <w:rsid w:val="002138F2"/>
    <w:rsid w:val="002139E3"/>
    <w:rsid w:val="00215844"/>
    <w:rsid w:val="00217472"/>
    <w:rsid w:val="002176B1"/>
    <w:rsid w:val="00220F83"/>
    <w:rsid w:val="002210B1"/>
    <w:rsid w:val="0022329B"/>
    <w:rsid w:val="0022406D"/>
    <w:rsid w:val="002241FC"/>
    <w:rsid w:val="002244A9"/>
    <w:rsid w:val="002247B4"/>
    <w:rsid w:val="0022535D"/>
    <w:rsid w:val="00225734"/>
    <w:rsid w:val="00225C0E"/>
    <w:rsid w:val="00226359"/>
    <w:rsid w:val="00226D12"/>
    <w:rsid w:val="00233637"/>
    <w:rsid w:val="00235236"/>
    <w:rsid w:val="00240CD2"/>
    <w:rsid w:val="00242493"/>
    <w:rsid w:val="00242B64"/>
    <w:rsid w:val="00243980"/>
    <w:rsid w:val="00243E82"/>
    <w:rsid w:val="00243F59"/>
    <w:rsid w:val="0024413F"/>
    <w:rsid w:val="002455E0"/>
    <w:rsid w:val="0024663E"/>
    <w:rsid w:val="00246ABC"/>
    <w:rsid w:val="00246EE0"/>
    <w:rsid w:val="002473BE"/>
    <w:rsid w:val="00247D3D"/>
    <w:rsid w:val="00251A86"/>
    <w:rsid w:val="0025352C"/>
    <w:rsid w:val="00253AC1"/>
    <w:rsid w:val="002543FC"/>
    <w:rsid w:val="00254FFD"/>
    <w:rsid w:val="002563CF"/>
    <w:rsid w:val="00256779"/>
    <w:rsid w:val="00257DF3"/>
    <w:rsid w:val="002603E3"/>
    <w:rsid w:val="0026081F"/>
    <w:rsid w:val="0026190C"/>
    <w:rsid w:val="00261C46"/>
    <w:rsid w:val="002653BC"/>
    <w:rsid w:val="00265D73"/>
    <w:rsid w:val="002660B8"/>
    <w:rsid w:val="00266128"/>
    <w:rsid w:val="002665D3"/>
    <w:rsid w:val="00270AFA"/>
    <w:rsid w:val="002710F7"/>
    <w:rsid w:val="00271ECF"/>
    <w:rsid w:val="00272592"/>
    <w:rsid w:val="00274E7F"/>
    <w:rsid w:val="0027505A"/>
    <w:rsid w:val="00275EC6"/>
    <w:rsid w:val="002766F1"/>
    <w:rsid w:val="00277A87"/>
    <w:rsid w:val="00277F33"/>
    <w:rsid w:val="0028226F"/>
    <w:rsid w:val="0028264B"/>
    <w:rsid w:val="00282B7E"/>
    <w:rsid w:val="002839A9"/>
    <w:rsid w:val="002841A3"/>
    <w:rsid w:val="00284E0F"/>
    <w:rsid w:val="00284EF4"/>
    <w:rsid w:val="0028501C"/>
    <w:rsid w:val="00285176"/>
    <w:rsid w:val="002857CB"/>
    <w:rsid w:val="0028603D"/>
    <w:rsid w:val="002870FF"/>
    <w:rsid w:val="00287844"/>
    <w:rsid w:val="00290673"/>
    <w:rsid w:val="00291149"/>
    <w:rsid w:val="00292A36"/>
    <w:rsid w:val="002956F4"/>
    <w:rsid w:val="00295965"/>
    <w:rsid w:val="00295A37"/>
    <w:rsid w:val="002977A9"/>
    <w:rsid w:val="002A0780"/>
    <w:rsid w:val="002A07EB"/>
    <w:rsid w:val="002A0E4A"/>
    <w:rsid w:val="002A233F"/>
    <w:rsid w:val="002A4324"/>
    <w:rsid w:val="002A5D3F"/>
    <w:rsid w:val="002A5FF8"/>
    <w:rsid w:val="002A60D6"/>
    <w:rsid w:val="002A6BA4"/>
    <w:rsid w:val="002A6C0C"/>
    <w:rsid w:val="002A6D5C"/>
    <w:rsid w:val="002B0835"/>
    <w:rsid w:val="002B0A39"/>
    <w:rsid w:val="002B1BF2"/>
    <w:rsid w:val="002B2F1E"/>
    <w:rsid w:val="002B3229"/>
    <w:rsid w:val="002B3D6A"/>
    <w:rsid w:val="002B4F5C"/>
    <w:rsid w:val="002B5A3C"/>
    <w:rsid w:val="002B5A65"/>
    <w:rsid w:val="002B5C59"/>
    <w:rsid w:val="002B617F"/>
    <w:rsid w:val="002B68B3"/>
    <w:rsid w:val="002B6BC3"/>
    <w:rsid w:val="002B7358"/>
    <w:rsid w:val="002B76E2"/>
    <w:rsid w:val="002C1F2F"/>
    <w:rsid w:val="002C2354"/>
    <w:rsid w:val="002C2C28"/>
    <w:rsid w:val="002C3DD5"/>
    <w:rsid w:val="002C6741"/>
    <w:rsid w:val="002C6EE2"/>
    <w:rsid w:val="002D0413"/>
    <w:rsid w:val="002D0441"/>
    <w:rsid w:val="002D0BF8"/>
    <w:rsid w:val="002D1863"/>
    <w:rsid w:val="002D31C4"/>
    <w:rsid w:val="002D3448"/>
    <w:rsid w:val="002D3BB2"/>
    <w:rsid w:val="002D4654"/>
    <w:rsid w:val="002D64B3"/>
    <w:rsid w:val="002E097F"/>
    <w:rsid w:val="002E678A"/>
    <w:rsid w:val="002E736F"/>
    <w:rsid w:val="002F015E"/>
    <w:rsid w:val="002F0AA7"/>
    <w:rsid w:val="002F1579"/>
    <w:rsid w:val="002F157E"/>
    <w:rsid w:val="002F245D"/>
    <w:rsid w:val="002F2BA2"/>
    <w:rsid w:val="002F31DC"/>
    <w:rsid w:val="002F4B1E"/>
    <w:rsid w:val="002F698A"/>
    <w:rsid w:val="003003B9"/>
    <w:rsid w:val="0030045C"/>
    <w:rsid w:val="0030150F"/>
    <w:rsid w:val="003036D1"/>
    <w:rsid w:val="00303FBB"/>
    <w:rsid w:val="003043A6"/>
    <w:rsid w:val="003046AD"/>
    <w:rsid w:val="00304B9A"/>
    <w:rsid w:val="003055A1"/>
    <w:rsid w:val="00306E7A"/>
    <w:rsid w:val="0030749E"/>
    <w:rsid w:val="00307CAE"/>
    <w:rsid w:val="00312064"/>
    <w:rsid w:val="00312EE8"/>
    <w:rsid w:val="00313493"/>
    <w:rsid w:val="0031361B"/>
    <w:rsid w:val="00314345"/>
    <w:rsid w:val="00314A37"/>
    <w:rsid w:val="00315C3D"/>
    <w:rsid w:val="00315E02"/>
    <w:rsid w:val="003204E6"/>
    <w:rsid w:val="00320794"/>
    <w:rsid w:val="00320AF7"/>
    <w:rsid w:val="00321696"/>
    <w:rsid w:val="003236EC"/>
    <w:rsid w:val="003249A4"/>
    <w:rsid w:val="00324DED"/>
    <w:rsid w:val="00324F81"/>
    <w:rsid w:val="003250F5"/>
    <w:rsid w:val="0032587A"/>
    <w:rsid w:val="003278CC"/>
    <w:rsid w:val="00327DE1"/>
    <w:rsid w:val="00330741"/>
    <w:rsid w:val="00330B85"/>
    <w:rsid w:val="00330FE5"/>
    <w:rsid w:val="003311B7"/>
    <w:rsid w:val="00331A6C"/>
    <w:rsid w:val="00331A8B"/>
    <w:rsid w:val="003328B9"/>
    <w:rsid w:val="00332C90"/>
    <w:rsid w:val="003337D0"/>
    <w:rsid w:val="0033481B"/>
    <w:rsid w:val="003350B5"/>
    <w:rsid w:val="00335AD3"/>
    <w:rsid w:val="00340189"/>
    <w:rsid w:val="0034262E"/>
    <w:rsid w:val="0034337F"/>
    <w:rsid w:val="00343B88"/>
    <w:rsid w:val="00344AE6"/>
    <w:rsid w:val="0034671C"/>
    <w:rsid w:val="0034755B"/>
    <w:rsid w:val="003478CF"/>
    <w:rsid w:val="0035209E"/>
    <w:rsid w:val="003525C9"/>
    <w:rsid w:val="00353FFD"/>
    <w:rsid w:val="003543C4"/>
    <w:rsid w:val="00354BA8"/>
    <w:rsid w:val="00355A52"/>
    <w:rsid w:val="00361973"/>
    <w:rsid w:val="00361A5E"/>
    <w:rsid w:val="00362696"/>
    <w:rsid w:val="003638D4"/>
    <w:rsid w:val="00363A78"/>
    <w:rsid w:val="00363B18"/>
    <w:rsid w:val="00364E72"/>
    <w:rsid w:val="003651C9"/>
    <w:rsid w:val="00366434"/>
    <w:rsid w:val="00366A28"/>
    <w:rsid w:val="00366CC2"/>
    <w:rsid w:val="003674B8"/>
    <w:rsid w:val="00371D23"/>
    <w:rsid w:val="00372BE3"/>
    <w:rsid w:val="003737EB"/>
    <w:rsid w:val="003752BE"/>
    <w:rsid w:val="003753C8"/>
    <w:rsid w:val="003757F9"/>
    <w:rsid w:val="0037667E"/>
    <w:rsid w:val="00377437"/>
    <w:rsid w:val="00377586"/>
    <w:rsid w:val="00377C62"/>
    <w:rsid w:val="00382877"/>
    <w:rsid w:val="0038368D"/>
    <w:rsid w:val="00383AC1"/>
    <w:rsid w:val="00383EB8"/>
    <w:rsid w:val="003853D6"/>
    <w:rsid w:val="00385535"/>
    <w:rsid w:val="00385D46"/>
    <w:rsid w:val="00386A0D"/>
    <w:rsid w:val="0039407E"/>
    <w:rsid w:val="003947CB"/>
    <w:rsid w:val="00394D77"/>
    <w:rsid w:val="003952A4"/>
    <w:rsid w:val="00395B46"/>
    <w:rsid w:val="00395B94"/>
    <w:rsid w:val="003965A5"/>
    <w:rsid w:val="00396BC0"/>
    <w:rsid w:val="00397586"/>
    <w:rsid w:val="003A0A7B"/>
    <w:rsid w:val="003A0D83"/>
    <w:rsid w:val="003A1EDD"/>
    <w:rsid w:val="003A3AA9"/>
    <w:rsid w:val="003A5030"/>
    <w:rsid w:val="003A5A83"/>
    <w:rsid w:val="003A5E0D"/>
    <w:rsid w:val="003A5F75"/>
    <w:rsid w:val="003A66F1"/>
    <w:rsid w:val="003B05F1"/>
    <w:rsid w:val="003B600B"/>
    <w:rsid w:val="003B65B5"/>
    <w:rsid w:val="003B6ECE"/>
    <w:rsid w:val="003C11F2"/>
    <w:rsid w:val="003C3F66"/>
    <w:rsid w:val="003C3FEC"/>
    <w:rsid w:val="003C501A"/>
    <w:rsid w:val="003C5DFD"/>
    <w:rsid w:val="003C7C3C"/>
    <w:rsid w:val="003C7EA9"/>
    <w:rsid w:val="003C7F31"/>
    <w:rsid w:val="003D06A5"/>
    <w:rsid w:val="003D0847"/>
    <w:rsid w:val="003D2F2D"/>
    <w:rsid w:val="003E002E"/>
    <w:rsid w:val="003E15D6"/>
    <w:rsid w:val="003E17FF"/>
    <w:rsid w:val="003E1FF3"/>
    <w:rsid w:val="003E228C"/>
    <w:rsid w:val="003E237A"/>
    <w:rsid w:val="003E2C7E"/>
    <w:rsid w:val="003E3895"/>
    <w:rsid w:val="003E63A2"/>
    <w:rsid w:val="003E6B93"/>
    <w:rsid w:val="003E7777"/>
    <w:rsid w:val="003F1CEF"/>
    <w:rsid w:val="003F3441"/>
    <w:rsid w:val="003F5DB2"/>
    <w:rsid w:val="003F646D"/>
    <w:rsid w:val="003F672F"/>
    <w:rsid w:val="003F6985"/>
    <w:rsid w:val="003F6E15"/>
    <w:rsid w:val="003F7AE3"/>
    <w:rsid w:val="003F7CCB"/>
    <w:rsid w:val="00400B8B"/>
    <w:rsid w:val="00400C8B"/>
    <w:rsid w:val="004024BD"/>
    <w:rsid w:val="00403409"/>
    <w:rsid w:val="00403ABE"/>
    <w:rsid w:val="00404421"/>
    <w:rsid w:val="00404449"/>
    <w:rsid w:val="00404C4F"/>
    <w:rsid w:val="00406487"/>
    <w:rsid w:val="004108CC"/>
    <w:rsid w:val="00410B9B"/>
    <w:rsid w:val="00413CD2"/>
    <w:rsid w:val="0041495E"/>
    <w:rsid w:val="00414D5F"/>
    <w:rsid w:val="0041651F"/>
    <w:rsid w:val="00417CFB"/>
    <w:rsid w:val="00421EC8"/>
    <w:rsid w:val="004220A7"/>
    <w:rsid w:val="0042511C"/>
    <w:rsid w:val="00425BB2"/>
    <w:rsid w:val="004261D8"/>
    <w:rsid w:val="00426749"/>
    <w:rsid w:val="004276F4"/>
    <w:rsid w:val="00430917"/>
    <w:rsid w:val="00430D5F"/>
    <w:rsid w:val="004322AE"/>
    <w:rsid w:val="00433141"/>
    <w:rsid w:val="004334BA"/>
    <w:rsid w:val="004334F5"/>
    <w:rsid w:val="004338B3"/>
    <w:rsid w:val="00435174"/>
    <w:rsid w:val="004353C3"/>
    <w:rsid w:val="00437061"/>
    <w:rsid w:val="004370E9"/>
    <w:rsid w:val="0043743E"/>
    <w:rsid w:val="00437483"/>
    <w:rsid w:val="00441F98"/>
    <w:rsid w:val="00442F09"/>
    <w:rsid w:val="00443457"/>
    <w:rsid w:val="004441B6"/>
    <w:rsid w:val="00444690"/>
    <w:rsid w:val="00444735"/>
    <w:rsid w:val="00445339"/>
    <w:rsid w:val="00447C91"/>
    <w:rsid w:val="00447F3A"/>
    <w:rsid w:val="004527B6"/>
    <w:rsid w:val="00452804"/>
    <w:rsid w:val="00453BCC"/>
    <w:rsid w:val="0045439A"/>
    <w:rsid w:val="00454BB1"/>
    <w:rsid w:val="004551F3"/>
    <w:rsid w:val="004554B6"/>
    <w:rsid w:val="00460719"/>
    <w:rsid w:val="00460793"/>
    <w:rsid w:val="00460AE4"/>
    <w:rsid w:val="004613FA"/>
    <w:rsid w:val="00461976"/>
    <w:rsid w:val="00462E90"/>
    <w:rsid w:val="004632C8"/>
    <w:rsid w:val="00464656"/>
    <w:rsid w:val="00466B15"/>
    <w:rsid w:val="0046712B"/>
    <w:rsid w:val="0047059F"/>
    <w:rsid w:val="0047109B"/>
    <w:rsid w:val="00471A5A"/>
    <w:rsid w:val="00472729"/>
    <w:rsid w:val="00473454"/>
    <w:rsid w:val="00475348"/>
    <w:rsid w:val="004769C1"/>
    <w:rsid w:val="0047729C"/>
    <w:rsid w:val="004805A2"/>
    <w:rsid w:val="00480B8C"/>
    <w:rsid w:val="004816E2"/>
    <w:rsid w:val="00482040"/>
    <w:rsid w:val="00483012"/>
    <w:rsid w:val="004831D9"/>
    <w:rsid w:val="0048363C"/>
    <w:rsid w:val="00483CA9"/>
    <w:rsid w:val="004846C2"/>
    <w:rsid w:val="004850AF"/>
    <w:rsid w:val="00485178"/>
    <w:rsid w:val="00486E71"/>
    <w:rsid w:val="00490F99"/>
    <w:rsid w:val="004913A1"/>
    <w:rsid w:val="004913FE"/>
    <w:rsid w:val="0049166F"/>
    <w:rsid w:val="00492C75"/>
    <w:rsid w:val="00493080"/>
    <w:rsid w:val="004932CD"/>
    <w:rsid w:val="00493E28"/>
    <w:rsid w:val="004941CD"/>
    <w:rsid w:val="00494F3C"/>
    <w:rsid w:val="00495541"/>
    <w:rsid w:val="00497BE7"/>
    <w:rsid w:val="004A0070"/>
    <w:rsid w:val="004A13C4"/>
    <w:rsid w:val="004A1B4C"/>
    <w:rsid w:val="004A1CD9"/>
    <w:rsid w:val="004A2EEF"/>
    <w:rsid w:val="004A37C7"/>
    <w:rsid w:val="004A7006"/>
    <w:rsid w:val="004B26AA"/>
    <w:rsid w:val="004B2A26"/>
    <w:rsid w:val="004B3611"/>
    <w:rsid w:val="004B51EA"/>
    <w:rsid w:val="004B67C5"/>
    <w:rsid w:val="004B72DC"/>
    <w:rsid w:val="004C0811"/>
    <w:rsid w:val="004C13BF"/>
    <w:rsid w:val="004C2942"/>
    <w:rsid w:val="004C2B9C"/>
    <w:rsid w:val="004C35E8"/>
    <w:rsid w:val="004C5B86"/>
    <w:rsid w:val="004C6C51"/>
    <w:rsid w:val="004D07EC"/>
    <w:rsid w:val="004D0A3E"/>
    <w:rsid w:val="004D10CE"/>
    <w:rsid w:val="004D339E"/>
    <w:rsid w:val="004D45D6"/>
    <w:rsid w:val="004D5FC4"/>
    <w:rsid w:val="004D62D8"/>
    <w:rsid w:val="004E0BDA"/>
    <w:rsid w:val="004E1E31"/>
    <w:rsid w:val="004E2BB4"/>
    <w:rsid w:val="004E38F8"/>
    <w:rsid w:val="004E394B"/>
    <w:rsid w:val="004E3E54"/>
    <w:rsid w:val="004E48D0"/>
    <w:rsid w:val="004E4DAF"/>
    <w:rsid w:val="004E5D6F"/>
    <w:rsid w:val="004E5DC8"/>
    <w:rsid w:val="004E669A"/>
    <w:rsid w:val="004E66E7"/>
    <w:rsid w:val="004F1060"/>
    <w:rsid w:val="004F1B12"/>
    <w:rsid w:val="004F1E96"/>
    <w:rsid w:val="004F3147"/>
    <w:rsid w:val="004F3D4C"/>
    <w:rsid w:val="004F43B2"/>
    <w:rsid w:val="004F4BA7"/>
    <w:rsid w:val="004F68C5"/>
    <w:rsid w:val="004F6CE9"/>
    <w:rsid w:val="004F73D6"/>
    <w:rsid w:val="004F7EF4"/>
    <w:rsid w:val="00500289"/>
    <w:rsid w:val="00500979"/>
    <w:rsid w:val="00501D54"/>
    <w:rsid w:val="005039AF"/>
    <w:rsid w:val="00503D11"/>
    <w:rsid w:val="005049E7"/>
    <w:rsid w:val="00506B96"/>
    <w:rsid w:val="00506C11"/>
    <w:rsid w:val="00506E5A"/>
    <w:rsid w:val="0051028A"/>
    <w:rsid w:val="00510564"/>
    <w:rsid w:val="00510E33"/>
    <w:rsid w:val="00511421"/>
    <w:rsid w:val="00515E17"/>
    <w:rsid w:val="00517418"/>
    <w:rsid w:val="005204D6"/>
    <w:rsid w:val="00522C2E"/>
    <w:rsid w:val="0052733C"/>
    <w:rsid w:val="00527C9A"/>
    <w:rsid w:val="00530E52"/>
    <w:rsid w:val="00531269"/>
    <w:rsid w:val="005320CF"/>
    <w:rsid w:val="00533DE5"/>
    <w:rsid w:val="005341FB"/>
    <w:rsid w:val="00534845"/>
    <w:rsid w:val="0053560C"/>
    <w:rsid w:val="00535FDA"/>
    <w:rsid w:val="00536834"/>
    <w:rsid w:val="005370FF"/>
    <w:rsid w:val="00542090"/>
    <w:rsid w:val="0054341A"/>
    <w:rsid w:val="0054362A"/>
    <w:rsid w:val="0054375B"/>
    <w:rsid w:val="00543BB4"/>
    <w:rsid w:val="00546353"/>
    <w:rsid w:val="00546476"/>
    <w:rsid w:val="005464BC"/>
    <w:rsid w:val="0054793E"/>
    <w:rsid w:val="00550D55"/>
    <w:rsid w:val="00551DA4"/>
    <w:rsid w:val="0055204B"/>
    <w:rsid w:val="00552F5B"/>
    <w:rsid w:val="005569BB"/>
    <w:rsid w:val="00556B8D"/>
    <w:rsid w:val="0056026E"/>
    <w:rsid w:val="005606B1"/>
    <w:rsid w:val="00560C95"/>
    <w:rsid w:val="005615E2"/>
    <w:rsid w:val="00562D24"/>
    <w:rsid w:val="005632D6"/>
    <w:rsid w:val="0056499D"/>
    <w:rsid w:val="0057158B"/>
    <w:rsid w:val="00571738"/>
    <w:rsid w:val="00573676"/>
    <w:rsid w:val="005745BE"/>
    <w:rsid w:val="005746C7"/>
    <w:rsid w:val="00574D96"/>
    <w:rsid w:val="00575438"/>
    <w:rsid w:val="00575BC3"/>
    <w:rsid w:val="0057703E"/>
    <w:rsid w:val="00577114"/>
    <w:rsid w:val="0057793B"/>
    <w:rsid w:val="00580FF9"/>
    <w:rsid w:val="005827D5"/>
    <w:rsid w:val="0058306D"/>
    <w:rsid w:val="00583F03"/>
    <w:rsid w:val="00584C99"/>
    <w:rsid w:val="00584FF2"/>
    <w:rsid w:val="00586B01"/>
    <w:rsid w:val="005871F1"/>
    <w:rsid w:val="005916B9"/>
    <w:rsid w:val="005916D8"/>
    <w:rsid w:val="00591707"/>
    <w:rsid w:val="00593A6C"/>
    <w:rsid w:val="00594469"/>
    <w:rsid w:val="00594E7B"/>
    <w:rsid w:val="00595651"/>
    <w:rsid w:val="00596001"/>
    <w:rsid w:val="00597643"/>
    <w:rsid w:val="005A01D9"/>
    <w:rsid w:val="005A1B2B"/>
    <w:rsid w:val="005A2DAC"/>
    <w:rsid w:val="005A2F08"/>
    <w:rsid w:val="005A3EF3"/>
    <w:rsid w:val="005A5246"/>
    <w:rsid w:val="005A5A7D"/>
    <w:rsid w:val="005A645A"/>
    <w:rsid w:val="005A69AF"/>
    <w:rsid w:val="005A6C1D"/>
    <w:rsid w:val="005A6ED6"/>
    <w:rsid w:val="005A79BF"/>
    <w:rsid w:val="005A7F28"/>
    <w:rsid w:val="005B1644"/>
    <w:rsid w:val="005B1C5E"/>
    <w:rsid w:val="005B298A"/>
    <w:rsid w:val="005B3C75"/>
    <w:rsid w:val="005B3DCE"/>
    <w:rsid w:val="005B40E3"/>
    <w:rsid w:val="005B71F9"/>
    <w:rsid w:val="005C0E94"/>
    <w:rsid w:val="005C29CF"/>
    <w:rsid w:val="005C2C1D"/>
    <w:rsid w:val="005C2C55"/>
    <w:rsid w:val="005C3A23"/>
    <w:rsid w:val="005C5529"/>
    <w:rsid w:val="005C5668"/>
    <w:rsid w:val="005C5698"/>
    <w:rsid w:val="005C6579"/>
    <w:rsid w:val="005C6802"/>
    <w:rsid w:val="005C6AC1"/>
    <w:rsid w:val="005C6B7E"/>
    <w:rsid w:val="005C74D4"/>
    <w:rsid w:val="005C764C"/>
    <w:rsid w:val="005C7A42"/>
    <w:rsid w:val="005D08FB"/>
    <w:rsid w:val="005D2F4F"/>
    <w:rsid w:val="005D464D"/>
    <w:rsid w:val="005D5F50"/>
    <w:rsid w:val="005D63EC"/>
    <w:rsid w:val="005D784A"/>
    <w:rsid w:val="005D789F"/>
    <w:rsid w:val="005E01AE"/>
    <w:rsid w:val="005E327B"/>
    <w:rsid w:val="005E3FDF"/>
    <w:rsid w:val="005E4821"/>
    <w:rsid w:val="005E4EA5"/>
    <w:rsid w:val="005E51CA"/>
    <w:rsid w:val="005E62A7"/>
    <w:rsid w:val="005E63AB"/>
    <w:rsid w:val="005E714E"/>
    <w:rsid w:val="005F18EA"/>
    <w:rsid w:val="005F398C"/>
    <w:rsid w:val="005F3E1E"/>
    <w:rsid w:val="005F5266"/>
    <w:rsid w:val="005F622D"/>
    <w:rsid w:val="005F7CA9"/>
    <w:rsid w:val="00601821"/>
    <w:rsid w:val="00602AB2"/>
    <w:rsid w:val="00602C22"/>
    <w:rsid w:val="00603A53"/>
    <w:rsid w:val="006052FC"/>
    <w:rsid w:val="0060551E"/>
    <w:rsid w:val="00606F7C"/>
    <w:rsid w:val="00610399"/>
    <w:rsid w:val="0061127E"/>
    <w:rsid w:val="006118ED"/>
    <w:rsid w:val="0061193F"/>
    <w:rsid w:val="006133D7"/>
    <w:rsid w:val="006136C6"/>
    <w:rsid w:val="00613B2D"/>
    <w:rsid w:val="006143CF"/>
    <w:rsid w:val="00615A3C"/>
    <w:rsid w:val="00616297"/>
    <w:rsid w:val="006172D7"/>
    <w:rsid w:val="006176B8"/>
    <w:rsid w:val="00620744"/>
    <w:rsid w:val="00621D44"/>
    <w:rsid w:val="0062209E"/>
    <w:rsid w:val="006233B4"/>
    <w:rsid w:val="00623790"/>
    <w:rsid w:val="00623EBC"/>
    <w:rsid w:val="00625495"/>
    <w:rsid w:val="00626660"/>
    <w:rsid w:val="00626764"/>
    <w:rsid w:val="00626E48"/>
    <w:rsid w:val="006270BD"/>
    <w:rsid w:val="006278C2"/>
    <w:rsid w:val="00631491"/>
    <w:rsid w:val="006318F5"/>
    <w:rsid w:val="006325E1"/>
    <w:rsid w:val="00632BD3"/>
    <w:rsid w:val="00634201"/>
    <w:rsid w:val="0063439A"/>
    <w:rsid w:val="00634D4A"/>
    <w:rsid w:val="00636E02"/>
    <w:rsid w:val="00640F4B"/>
    <w:rsid w:val="00640F5E"/>
    <w:rsid w:val="00643076"/>
    <w:rsid w:val="00643D43"/>
    <w:rsid w:val="00644135"/>
    <w:rsid w:val="0064694D"/>
    <w:rsid w:val="006469B5"/>
    <w:rsid w:val="00646FE2"/>
    <w:rsid w:val="006475A7"/>
    <w:rsid w:val="00647F1C"/>
    <w:rsid w:val="00650B48"/>
    <w:rsid w:val="00651EFF"/>
    <w:rsid w:val="00651FFE"/>
    <w:rsid w:val="0065272A"/>
    <w:rsid w:val="00652FC4"/>
    <w:rsid w:val="00653639"/>
    <w:rsid w:val="00653EB6"/>
    <w:rsid w:val="00657E2A"/>
    <w:rsid w:val="006600F7"/>
    <w:rsid w:val="00660E11"/>
    <w:rsid w:val="00663DCF"/>
    <w:rsid w:val="00663E20"/>
    <w:rsid w:val="00663F70"/>
    <w:rsid w:val="0066441C"/>
    <w:rsid w:val="006654D0"/>
    <w:rsid w:val="00665831"/>
    <w:rsid w:val="00666468"/>
    <w:rsid w:val="00666A56"/>
    <w:rsid w:val="00666FED"/>
    <w:rsid w:val="00667A96"/>
    <w:rsid w:val="00671BC6"/>
    <w:rsid w:val="00671C3F"/>
    <w:rsid w:val="00671F1A"/>
    <w:rsid w:val="00672CD7"/>
    <w:rsid w:val="00673615"/>
    <w:rsid w:val="00674F82"/>
    <w:rsid w:val="00675C18"/>
    <w:rsid w:val="00677D8D"/>
    <w:rsid w:val="00680050"/>
    <w:rsid w:val="00680324"/>
    <w:rsid w:val="0068032B"/>
    <w:rsid w:val="006807A3"/>
    <w:rsid w:val="006815EE"/>
    <w:rsid w:val="00682784"/>
    <w:rsid w:val="00682BD7"/>
    <w:rsid w:val="006833B6"/>
    <w:rsid w:val="00683539"/>
    <w:rsid w:val="006838BF"/>
    <w:rsid w:val="00683935"/>
    <w:rsid w:val="006841A0"/>
    <w:rsid w:val="00684EBD"/>
    <w:rsid w:val="00685F8C"/>
    <w:rsid w:val="00686BF9"/>
    <w:rsid w:val="00690811"/>
    <w:rsid w:val="00690A87"/>
    <w:rsid w:val="00691B33"/>
    <w:rsid w:val="00693E48"/>
    <w:rsid w:val="00695812"/>
    <w:rsid w:val="006959ED"/>
    <w:rsid w:val="006961A1"/>
    <w:rsid w:val="00696830"/>
    <w:rsid w:val="0069795E"/>
    <w:rsid w:val="006A0934"/>
    <w:rsid w:val="006A1152"/>
    <w:rsid w:val="006A1ECD"/>
    <w:rsid w:val="006A3668"/>
    <w:rsid w:val="006A3ABA"/>
    <w:rsid w:val="006A42CC"/>
    <w:rsid w:val="006A4BEC"/>
    <w:rsid w:val="006A51ED"/>
    <w:rsid w:val="006A6CD0"/>
    <w:rsid w:val="006B002A"/>
    <w:rsid w:val="006B0AC3"/>
    <w:rsid w:val="006B14A7"/>
    <w:rsid w:val="006B5DB5"/>
    <w:rsid w:val="006B5EBA"/>
    <w:rsid w:val="006B66D2"/>
    <w:rsid w:val="006B6D0E"/>
    <w:rsid w:val="006B7C16"/>
    <w:rsid w:val="006C3EF1"/>
    <w:rsid w:val="006C485E"/>
    <w:rsid w:val="006C6B60"/>
    <w:rsid w:val="006C6C0F"/>
    <w:rsid w:val="006C7BCE"/>
    <w:rsid w:val="006D0916"/>
    <w:rsid w:val="006D1CA8"/>
    <w:rsid w:val="006D2346"/>
    <w:rsid w:val="006D3A47"/>
    <w:rsid w:val="006D6373"/>
    <w:rsid w:val="006E1CE5"/>
    <w:rsid w:val="006E1E12"/>
    <w:rsid w:val="006E21D1"/>
    <w:rsid w:val="006E28C4"/>
    <w:rsid w:val="006E30CD"/>
    <w:rsid w:val="006E345D"/>
    <w:rsid w:val="006E5646"/>
    <w:rsid w:val="006E6031"/>
    <w:rsid w:val="006E6302"/>
    <w:rsid w:val="006E6B51"/>
    <w:rsid w:val="006E7B8C"/>
    <w:rsid w:val="006F0E71"/>
    <w:rsid w:val="006F2D70"/>
    <w:rsid w:val="006F3607"/>
    <w:rsid w:val="006F5863"/>
    <w:rsid w:val="006F7F01"/>
    <w:rsid w:val="007003EB"/>
    <w:rsid w:val="00700C7E"/>
    <w:rsid w:val="00701CB6"/>
    <w:rsid w:val="00702A72"/>
    <w:rsid w:val="007031F9"/>
    <w:rsid w:val="00705543"/>
    <w:rsid w:val="00705D29"/>
    <w:rsid w:val="00707759"/>
    <w:rsid w:val="00710E26"/>
    <w:rsid w:val="0071220E"/>
    <w:rsid w:val="0071226A"/>
    <w:rsid w:val="00712858"/>
    <w:rsid w:val="007144C4"/>
    <w:rsid w:val="00716176"/>
    <w:rsid w:val="007176FE"/>
    <w:rsid w:val="00720768"/>
    <w:rsid w:val="00721CE8"/>
    <w:rsid w:val="0072427D"/>
    <w:rsid w:val="007258BD"/>
    <w:rsid w:val="00726183"/>
    <w:rsid w:val="00727385"/>
    <w:rsid w:val="0073070A"/>
    <w:rsid w:val="00733C7A"/>
    <w:rsid w:val="00734FB0"/>
    <w:rsid w:val="007358E1"/>
    <w:rsid w:val="007360D3"/>
    <w:rsid w:val="007369A9"/>
    <w:rsid w:val="00736C76"/>
    <w:rsid w:val="0073738C"/>
    <w:rsid w:val="007405A7"/>
    <w:rsid w:val="0074241F"/>
    <w:rsid w:val="00745159"/>
    <w:rsid w:val="007459A0"/>
    <w:rsid w:val="0075019A"/>
    <w:rsid w:val="007504AD"/>
    <w:rsid w:val="00751579"/>
    <w:rsid w:val="00751F63"/>
    <w:rsid w:val="00753108"/>
    <w:rsid w:val="00753D9E"/>
    <w:rsid w:val="00754593"/>
    <w:rsid w:val="007546E1"/>
    <w:rsid w:val="00754DA5"/>
    <w:rsid w:val="00761039"/>
    <w:rsid w:val="00761F66"/>
    <w:rsid w:val="007621B6"/>
    <w:rsid w:val="00762C02"/>
    <w:rsid w:val="00762C6B"/>
    <w:rsid w:val="00764827"/>
    <w:rsid w:val="00764CC0"/>
    <w:rsid w:val="007654F6"/>
    <w:rsid w:val="007657BF"/>
    <w:rsid w:val="007667F2"/>
    <w:rsid w:val="0077028D"/>
    <w:rsid w:val="00771823"/>
    <w:rsid w:val="007726CF"/>
    <w:rsid w:val="007743F6"/>
    <w:rsid w:val="00774EC2"/>
    <w:rsid w:val="007763EE"/>
    <w:rsid w:val="00777952"/>
    <w:rsid w:val="00781086"/>
    <w:rsid w:val="007850A6"/>
    <w:rsid w:val="00785316"/>
    <w:rsid w:val="007854E0"/>
    <w:rsid w:val="007862A2"/>
    <w:rsid w:val="00790455"/>
    <w:rsid w:val="00793393"/>
    <w:rsid w:val="00793875"/>
    <w:rsid w:val="00794083"/>
    <w:rsid w:val="0079445E"/>
    <w:rsid w:val="00795686"/>
    <w:rsid w:val="007958CC"/>
    <w:rsid w:val="00795A4B"/>
    <w:rsid w:val="007A0FA4"/>
    <w:rsid w:val="007A13F0"/>
    <w:rsid w:val="007A1FC4"/>
    <w:rsid w:val="007A2DDA"/>
    <w:rsid w:val="007A3050"/>
    <w:rsid w:val="007A346F"/>
    <w:rsid w:val="007A3B0E"/>
    <w:rsid w:val="007A3C93"/>
    <w:rsid w:val="007A4256"/>
    <w:rsid w:val="007A502D"/>
    <w:rsid w:val="007A7631"/>
    <w:rsid w:val="007B2A7F"/>
    <w:rsid w:val="007B3700"/>
    <w:rsid w:val="007B3AFA"/>
    <w:rsid w:val="007B4930"/>
    <w:rsid w:val="007B6BED"/>
    <w:rsid w:val="007B76C3"/>
    <w:rsid w:val="007B7DD6"/>
    <w:rsid w:val="007C1D34"/>
    <w:rsid w:val="007C3A73"/>
    <w:rsid w:val="007C3BE6"/>
    <w:rsid w:val="007C3FD6"/>
    <w:rsid w:val="007C4843"/>
    <w:rsid w:val="007C6FB8"/>
    <w:rsid w:val="007C6FC9"/>
    <w:rsid w:val="007D01A1"/>
    <w:rsid w:val="007D1F5F"/>
    <w:rsid w:val="007D31E2"/>
    <w:rsid w:val="007D46C5"/>
    <w:rsid w:val="007D489D"/>
    <w:rsid w:val="007D4EC1"/>
    <w:rsid w:val="007D63C7"/>
    <w:rsid w:val="007D7EE0"/>
    <w:rsid w:val="007E0573"/>
    <w:rsid w:val="007E1302"/>
    <w:rsid w:val="007E1363"/>
    <w:rsid w:val="007E168E"/>
    <w:rsid w:val="007E4FE6"/>
    <w:rsid w:val="007E5294"/>
    <w:rsid w:val="007E7996"/>
    <w:rsid w:val="007E7BE9"/>
    <w:rsid w:val="007E7C72"/>
    <w:rsid w:val="007F0518"/>
    <w:rsid w:val="007F0B55"/>
    <w:rsid w:val="007F1375"/>
    <w:rsid w:val="007F13B5"/>
    <w:rsid w:val="007F1416"/>
    <w:rsid w:val="007F1943"/>
    <w:rsid w:val="007F2293"/>
    <w:rsid w:val="007F30EA"/>
    <w:rsid w:val="007F70AD"/>
    <w:rsid w:val="007F70CF"/>
    <w:rsid w:val="007F729C"/>
    <w:rsid w:val="00801D47"/>
    <w:rsid w:val="00803272"/>
    <w:rsid w:val="00803471"/>
    <w:rsid w:val="00803A9A"/>
    <w:rsid w:val="008046F9"/>
    <w:rsid w:val="00804A8B"/>
    <w:rsid w:val="00805605"/>
    <w:rsid w:val="00806887"/>
    <w:rsid w:val="008074FD"/>
    <w:rsid w:val="00807C77"/>
    <w:rsid w:val="00811BF9"/>
    <w:rsid w:val="00812B23"/>
    <w:rsid w:val="008137D9"/>
    <w:rsid w:val="00814275"/>
    <w:rsid w:val="00814521"/>
    <w:rsid w:val="00814A1C"/>
    <w:rsid w:val="00814EB4"/>
    <w:rsid w:val="00815290"/>
    <w:rsid w:val="0081584E"/>
    <w:rsid w:val="00817245"/>
    <w:rsid w:val="0081792E"/>
    <w:rsid w:val="00817CBC"/>
    <w:rsid w:val="00821ACD"/>
    <w:rsid w:val="008262DE"/>
    <w:rsid w:val="00826B13"/>
    <w:rsid w:val="00826F03"/>
    <w:rsid w:val="00832AB1"/>
    <w:rsid w:val="00833C5A"/>
    <w:rsid w:val="00834001"/>
    <w:rsid w:val="00835CB4"/>
    <w:rsid w:val="00837216"/>
    <w:rsid w:val="00837EDA"/>
    <w:rsid w:val="00840C5C"/>
    <w:rsid w:val="00841A8F"/>
    <w:rsid w:val="00841B38"/>
    <w:rsid w:val="00841E36"/>
    <w:rsid w:val="008425C5"/>
    <w:rsid w:val="0084271B"/>
    <w:rsid w:val="00844257"/>
    <w:rsid w:val="0084452B"/>
    <w:rsid w:val="00844B83"/>
    <w:rsid w:val="00844F85"/>
    <w:rsid w:val="00845092"/>
    <w:rsid w:val="00845B4D"/>
    <w:rsid w:val="008462DB"/>
    <w:rsid w:val="00846E31"/>
    <w:rsid w:val="008505A4"/>
    <w:rsid w:val="008507E6"/>
    <w:rsid w:val="008529B0"/>
    <w:rsid w:val="00853AE1"/>
    <w:rsid w:val="00854AD6"/>
    <w:rsid w:val="00854B75"/>
    <w:rsid w:val="00855C95"/>
    <w:rsid w:val="00857CE8"/>
    <w:rsid w:val="00860359"/>
    <w:rsid w:val="00862F17"/>
    <w:rsid w:val="00865245"/>
    <w:rsid w:val="00865786"/>
    <w:rsid w:val="0086614F"/>
    <w:rsid w:val="008671BD"/>
    <w:rsid w:val="00867B91"/>
    <w:rsid w:val="00870E5C"/>
    <w:rsid w:val="00871BAA"/>
    <w:rsid w:val="00872437"/>
    <w:rsid w:val="008728CB"/>
    <w:rsid w:val="00873310"/>
    <w:rsid w:val="008735F2"/>
    <w:rsid w:val="008736AB"/>
    <w:rsid w:val="008776F2"/>
    <w:rsid w:val="00877BB1"/>
    <w:rsid w:val="00880156"/>
    <w:rsid w:val="00880631"/>
    <w:rsid w:val="00880776"/>
    <w:rsid w:val="00881A6C"/>
    <w:rsid w:val="00881F6D"/>
    <w:rsid w:val="00882D52"/>
    <w:rsid w:val="00885190"/>
    <w:rsid w:val="008858B1"/>
    <w:rsid w:val="00885C73"/>
    <w:rsid w:val="008862BB"/>
    <w:rsid w:val="0088713C"/>
    <w:rsid w:val="00890612"/>
    <w:rsid w:val="00890E36"/>
    <w:rsid w:val="008910F3"/>
    <w:rsid w:val="008914A5"/>
    <w:rsid w:val="008915D0"/>
    <w:rsid w:val="00892D8F"/>
    <w:rsid w:val="00892FC2"/>
    <w:rsid w:val="0089300C"/>
    <w:rsid w:val="00894D52"/>
    <w:rsid w:val="00896550"/>
    <w:rsid w:val="008A1016"/>
    <w:rsid w:val="008A1E2C"/>
    <w:rsid w:val="008A2597"/>
    <w:rsid w:val="008A2674"/>
    <w:rsid w:val="008A2A96"/>
    <w:rsid w:val="008A5192"/>
    <w:rsid w:val="008A57A5"/>
    <w:rsid w:val="008A7562"/>
    <w:rsid w:val="008B0121"/>
    <w:rsid w:val="008B1321"/>
    <w:rsid w:val="008B5F23"/>
    <w:rsid w:val="008C10E6"/>
    <w:rsid w:val="008C1A2B"/>
    <w:rsid w:val="008C3760"/>
    <w:rsid w:val="008C5A59"/>
    <w:rsid w:val="008C6244"/>
    <w:rsid w:val="008C66FC"/>
    <w:rsid w:val="008C78B1"/>
    <w:rsid w:val="008C7C1E"/>
    <w:rsid w:val="008D0093"/>
    <w:rsid w:val="008D1675"/>
    <w:rsid w:val="008D273D"/>
    <w:rsid w:val="008D4D45"/>
    <w:rsid w:val="008D692E"/>
    <w:rsid w:val="008E0B27"/>
    <w:rsid w:val="008E2BD4"/>
    <w:rsid w:val="008E4BD0"/>
    <w:rsid w:val="008E5074"/>
    <w:rsid w:val="008E52CD"/>
    <w:rsid w:val="008E59EA"/>
    <w:rsid w:val="008E6C23"/>
    <w:rsid w:val="008F0242"/>
    <w:rsid w:val="008F0B7C"/>
    <w:rsid w:val="008F1F6D"/>
    <w:rsid w:val="008F3118"/>
    <w:rsid w:val="008F387D"/>
    <w:rsid w:val="008F3916"/>
    <w:rsid w:val="008F47D9"/>
    <w:rsid w:val="00900BE6"/>
    <w:rsid w:val="00901782"/>
    <w:rsid w:val="00901B29"/>
    <w:rsid w:val="00902CD9"/>
    <w:rsid w:val="00902E69"/>
    <w:rsid w:val="009034B9"/>
    <w:rsid w:val="00906807"/>
    <w:rsid w:val="00906C2F"/>
    <w:rsid w:val="00910C7B"/>
    <w:rsid w:val="00910CD0"/>
    <w:rsid w:val="0091318E"/>
    <w:rsid w:val="00913E4B"/>
    <w:rsid w:val="009150C0"/>
    <w:rsid w:val="00915A34"/>
    <w:rsid w:val="00915E18"/>
    <w:rsid w:val="0091638B"/>
    <w:rsid w:val="00916D03"/>
    <w:rsid w:val="0091776C"/>
    <w:rsid w:val="00920496"/>
    <w:rsid w:val="009207C1"/>
    <w:rsid w:val="0092089B"/>
    <w:rsid w:val="009209C8"/>
    <w:rsid w:val="00920B3C"/>
    <w:rsid w:val="009228B6"/>
    <w:rsid w:val="00922D9A"/>
    <w:rsid w:val="009235FC"/>
    <w:rsid w:val="00923718"/>
    <w:rsid w:val="009243F8"/>
    <w:rsid w:val="009243FE"/>
    <w:rsid w:val="0092547A"/>
    <w:rsid w:val="00925BA1"/>
    <w:rsid w:val="009322CF"/>
    <w:rsid w:val="00932701"/>
    <w:rsid w:val="00932D40"/>
    <w:rsid w:val="009355C8"/>
    <w:rsid w:val="00935DE9"/>
    <w:rsid w:val="00936912"/>
    <w:rsid w:val="009376C3"/>
    <w:rsid w:val="009378CE"/>
    <w:rsid w:val="00937DD5"/>
    <w:rsid w:val="00942687"/>
    <w:rsid w:val="009452C9"/>
    <w:rsid w:val="0094576F"/>
    <w:rsid w:val="00945D7D"/>
    <w:rsid w:val="009467A2"/>
    <w:rsid w:val="009478F1"/>
    <w:rsid w:val="00947EE3"/>
    <w:rsid w:val="00951583"/>
    <w:rsid w:val="00951C3C"/>
    <w:rsid w:val="00951DA8"/>
    <w:rsid w:val="00955479"/>
    <w:rsid w:val="00955F7F"/>
    <w:rsid w:val="00956235"/>
    <w:rsid w:val="009562B9"/>
    <w:rsid w:val="00957D75"/>
    <w:rsid w:val="00962279"/>
    <w:rsid w:val="00966161"/>
    <w:rsid w:val="009702C4"/>
    <w:rsid w:val="00970E70"/>
    <w:rsid w:val="0097158F"/>
    <w:rsid w:val="00971E04"/>
    <w:rsid w:val="00971FD6"/>
    <w:rsid w:val="00972D90"/>
    <w:rsid w:val="00973B27"/>
    <w:rsid w:val="00974D34"/>
    <w:rsid w:val="009762CE"/>
    <w:rsid w:val="00976DDD"/>
    <w:rsid w:val="0097732D"/>
    <w:rsid w:val="00977466"/>
    <w:rsid w:val="00977AEA"/>
    <w:rsid w:val="009814C1"/>
    <w:rsid w:val="0098186A"/>
    <w:rsid w:val="00981AF9"/>
    <w:rsid w:val="00982A93"/>
    <w:rsid w:val="00982BB5"/>
    <w:rsid w:val="00983DA1"/>
    <w:rsid w:val="00985BBF"/>
    <w:rsid w:val="009869A7"/>
    <w:rsid w:val="00987C5A"/>
    <w:rsid w:val="00987E03"/>
    <w:rsid w:val="009918E4"/>
    <w:rsid w:val="00995F88"/>
    <w:rsid w:val="00996A51"/>
    <w:rsid w:val="00997B0D"/>
    <w:rsid w:val="009A1E96"/>
    <w:rsid w:val="009A20B2"/>
    <w:rsid w:val="009A24D1"/>
    <w:rsid w:val="009A2A8F"/>
    <w:rsid w:val="009A2CDC"/>
    <w:rsid w:val="009A35E8"/>
    <w:rsid w:val="009A4ABE"/>
    <w:rsid w:val="009A586B"/>
    <w:rsid w:val="009A5994"/>
    <w:rsid w:val="009A633C"/>
    <w:rsid w:val="009B0036"/>
    <w:rsid w:val="009B0884"/>
    <w:rsid w:val="009B18ED"/>
    <w:rsid w:val="009B1A8E"/>
    <w:rsid w:val="009B24A7"/>
    <w:rsid w:val="009B280E"/>
    <w:rsid w:val="009B2D02"/>
    <w:rsid w:val="009B34B1"/>
    <w:rsid w:val="009B374E"/>
    <w:rsid w:val="009B48F9"/>
    <w:rsid w:val="009B4B20"/>
    <w:rsid w:val="009B61AF"/>
    <w:rsid w:val="009B6D69"/>
    <w:rsid w:val="009B7A21"/>
    <w:rsid w:val="009C09FC"/>
    <w:rsid w:val="009C3B17"/>
    <w:rsid w:val="009C4A58"/>
    <w:rsid w:val="009C6C23"/>
    <w:rsid w:val="009D0B26"/>
    <w:rsid w:val="009D1B79"/>
    <w:rsid w:val="009D2ECA"/>
    <w:rsid w:val="009E095A"/>
    <w:rsid w:val="009E0A34"/>
    <w:rsid w:val="009E0C98"/>
    <w:rsid w:val="009E1474"/>
    <w:rsid w:val="009E45EC"/>
    <w:rsid w:val="009E49E1"/>
    <w:rsid w:val="009E7D70"/>
    <w:rsid w:val="009F2078"/>
    <w:rsid w:val="009F34A6"/>
    <w:rsid w:val="009F3D92"/>
    <w:rsid w:val="009F4DA0"/>
    <w:rsid w:val="009F6D15"/>
    <w:rsid w:val="009F73B3"/>
    <w:rsid w:val="00A01FF3"/>
    <w:rsid w:val="00A025E8"/>
    <w:rsid w:val="00A034B8"/>
    <w:rsid w:val="00A03B06"/>
    <w:rsid w:val="00A0409D"/>
    <w:rsid w:val="00A05125"/>
    <w:rsid w:val="00A07AC9"/>
    <w:rsid w:val="00A108A1"/>
    <w:rsid w:val="00A118FD"/>
    <w:rsid w:val="00A12AD7"/>
    <w:rsid w:val="00A12B05"/>
    <w:rsid w:val="00A1402E"/>
    <w:rsid w:val="00A14703"/>
    <w:rsid w:val="00A16B93"/>
    <w:rsid w:val="00A16D79"/>
    <w:rsid w:val="00A17261"/>
    <w:rsid w:val="00A17F7E"/>
    <w:rsid w:val="00A23035"/>
    <w:rsid w:val="00A23078"/>
    <w:rsid w:val="00A2355F"/>
    <w:rsid w:val="00A2423E"/>
    <w:rsid w:val="00A2472B"/>
    <w:rsid w:val="00A25157"/>
    <w:rsid w:val="00A251A1"/>
    <w:rsid w:val="00A254F3"/>
    <w:rsid w:val="00A257B7"/>
    <w:rsid w:val="00A25827"/>
    <w:rsid w:val="00A3205E"/>
    <w:rsid w:val="00A338D5"/>
    <w:rsid w:val="00A33A3C"/>
    <w:rsid w:val="00A341DB"/>
    <w:rsid w:val="00A364DC"/>
    <w:rsid w:val="00A369B7"/>
    <w:rsid w:val="00A36B10"/>
    <w:rsid w:val="00A37493"/>
    <w:rsid w:val="00A401B9"/>
    <w:rsid w:val="00A41F2A"/>
    <w:rsid w:val="00A42204"/>
    <w:rsid w:val="00A43BE3"/>
    <w:rsid w:val="00A466C2"/>
    <w:rsid w:val="00A47485"/>
    <w:rsid w:val="00A47B19"/>
    <w:rsid w:val="00A51DC7"/>
    <w:rsid w:val="00A52625"/>
    <w:rsid w:val="00A5319D"/>
    <w:rsid w:val="00A53F6E"/>
    <w:rsid w:val="00A546A7"/>
    <w:rsid w:val="00A54A0B"/>
    <w:rsid w:val="00A55413"/>
    <w:rsid w:val="00A5656E"/>
    <w:rsid w:val="00A62E27"/>
    <w:rsid w:val="00A62ED2"/>
    <w:rsid w:val="00A6355A"/>
    <w:rsid w:val="00A64F30"/>
    <w:rsid w:val="00A660B7"/>
    <w:rsid w:val="00A661AC"/>
    <w:rsid w:val="00A70C4A"/>
    <w:rsid w:val="00A71A69"/>
    <w:rsid w:val="00A71B5C"/>
    <w:rsid w:val="00A71E7A"/>
    <w:rsid w:val="00A72FBA"/>
    <w:rsid w:val="00A75483"/>
    <w:rsid w:val="00A765F2"/>
    <w:rsid w:val="00A76804"/>
    <w:rsid w:val="00A7718F"/>
    <w:rsid w:val="00A80DB2"/>
    <w:rsid w:val="00A80EB0"/>
    <w:rsid w:val="00A812C6"/>
    <w:rsid w:val="00A81820"/>
    <w:rsid w:val="00A81834"/>
    <w:rsid w:val="00A81E16"/>
    <w:rsid w:val="00A81F79"/>
    <w:rsid w:val="00A82035"/>
    <w:rsid w:val="00A82905"/>
    <w:rsid w:val="00A84BD5"/>
    <w:rsid w:val="00A85908"/>
    <w:rsid w:val="00A86036"/>
    <w:rsid w:val="00A90649"/>
    <w:rsid w:val="00A907A1"/>
    <w:rsid w:val="00A90BA7"/>
    <w:rsid w:val="00A90CDE"/>
    <w:rsid w:val="00A90EA6"/>
    <w:rsid w:val="00A910FD"/>
    <w:rsid w:val="00A9190D"/>
    <w:rsid w:val="00A93DE4"/>
    <w:rsid w:val="00A95860"/>
    <w:rsid w:val="00A96319"/>
    <w:rsid w:val="00A9658C"/>
    <w:rsid w:val="00A96606"/>
    <w:rsid w:val="00A97ED8"/>
    <w:rsid w:val="00AA03E5"/>
    <w:rsid w:val="00AA0D89"/>
    <w:rsid w:val="00AA0F58"/>
    <w:rsid w:val="00AA3707"/>
    <w:rsid w:val="00AA3CB0"/>
    <w:rsid w:val="00AA3F0D"/>
    <w:rsid w:val="00AA4403"/>
    <w:rsid w:val="00AA47C6"/>
    <w:rsid w:val="00AA4B57"/>
    <w:rsid w:val="00AA553E"/>
    <w:rsid w:val="00AA7D00"/>
    <w:rsid w:val="00AA7D27"/>
    <w:rsid w:val="00AB0331"/>
    <w:rsid w:val="00AB0DED"/>
    <w:rsid w:val="00AB0EEA"/>
    <w:rsid w:val="00AB2652"/>
    <w:rsid w:val="00AB2DB9"/>
    <w:rsid w:val="00AB3759"/>
    <w:rsid w:val="00AB3CB6"/>
    <w:rsid w:val="00AB422E"/>
    <w:rsid w:val="00AB42B7"/>
    <w:rsid w:val="00AB4F9E"/>
    <w:rsid w:val="00AB51D1"/>
    <w:rsid w:val="00AB70D9"/>
    <w:rsid w:val="00AB75FC"/>
    <w:rsid w:val="00AC1678"/>
    <w:rsid w:val="00AC2C84"/>
    <w:rsid w:val="00AC2F73"/>
    <w:rsid w:val="00AC52F3"/>
    <w:rsid w:val="00AC5B49"/>
    <w:rsid w:val="00AC639D"/>
    <w:rsid w:val="00AC6DEA"/>
    <w:rsid w:val="00AC6F0D"/>
    <w:rsid w:val="00AC7570"/>
    <w:rsid w:val="00AC7CF0"/>
    <w:rsid w:val="00AD09F7"/>
    <w:rsid w:val="00AD13C5"/>
    <w:rsid w:val="00AD1D6B"/>
    <w:rsid w:val="00AD39C3"/>
    <w:rsid w:val="00AD4445"/>
    <w:rsid w:val="00AD56A4"/>
    <w:rsid w:val="00AD7395"/>
    <w:rsid w:val="00AD7EBD"/>
    <w:rsid w:val="00AE19EE"/>
    <w:rsid w:val="00AE2A34"/>
    <w:rsid w:val="00AE2D6D"/>
    <w:rsid w:val="00AE5BC3"/>
    <w:rsid w:val="00AE6670"/>
    <w:rsid w:val="00AE6CD0"/>
    <w:rsid w:val="00AF00EC"/>
    <w:rsid w:val="00AF1D32"/>
    <w:rsid w:val="00AF3FD4"/>
    <w:rsid w:val="00AF4987"/>
    <w:rsid w:val="00AF64FD"/>
    <w:rsid w:val="00AF7BD7"/>
    <w:rsid w:val="00B005C1"/>
    <w:rsid w:val="00B037D0"/>
    <w:rsid w:val="00B03D61"/>
    <w:rsid w:val="00B04C9C"/>
    <w:rsid w:val="00B04EE8"/>
    <w:rsid w:val="00B05197"/>
    <w:rsid w:val="00B069FF"/>
    <w:rsid w:val="00B07E50"/>
    <w:rsid w:val="00B14BA1"/>
    <w:rsid w:val="00B1649B"/>
    <w:rsid w:val="00B176A2"/>
    <w:rsid w:val="00B17A9B"/>
    <w:rsid w:val="00B201E5"/>
    <w:rsid w:val="00B22EB0"/>
    <w:rsid w:val="00B23FAC"/>
    <w:rsid w:val="00B246AD"/>
    <w:rsid w:val="00B247F7"/>
    <w:rsid w:val="00B24FAC"/>
    <w:rsid w:val="00B25AE1"/>
    <w:rsid w:val="00B2788E"/>
    <w:rsid w:val="00B31453"/>
    <w:rsid w:val="00B32AAB"/>
    <w:rsid w:val="00B345D6"/>
    <w:rsid w:val="00B3478A"/>
    <w:rsid w:val="00B35178"/>
    <w:rsid w:val="00B374AB"/>
    <w:rsid w:val="00B40AD9"/>
    <w:rsid w:val="00B4294E"/>
    <w:rsid w:val="00B42970"/>
    <w:rsid w:val="00B42D85"/>
    <w:rsid w:val="00B43858"/>
    <w:rsid w:val="00B43999"/>
    <w:rsid w:val="00B439AB"/>
    <w:rsid w:val="00B43B25"/>
    <w:rsid w:val="00B460A0"/>
    <w:rsid w:val="00B46A92"/>
    <w:rsid w:val="00B46EA8"/>
    <w:rsid w:val="00B479CB"/>
    <w:rsid w:val="00B50207"/>
    <w:rsid w:val="00B51550"/>
    <w:rsid w:val="00B51754"/>
    <w:rsid w:val="00B52450"/>
    <w:rsid w:val="00B55250"/>
    <w:rsid w:val="00B55E05"/>
    <w:rsid w:val="00B56203"/>
    <w:rsid w:val="00B575AD"/>
    <w:rsid w:val="00B60D17"/>
    <w:rsid w:val="00B624C4"/>
    <w:rsid w:val="00B6364F"/>
    <w:rsid w:val="00B64345"/>
    <w:rsid w:val="00B64D3E"/>
    <w:rsid w:val="00B6619A"/>
    <w:rsid w:val="00B67161"/>
    <w:rsid w:val="00B67C2F"/>
    <w:rsid w:val="00B701F9"/>
    <w:rsid w:val="00B72CDA"/>
    <w:rsid w:val="00B73FBB"/>
    <w:rsid w:val="00B7585B"/>
    <w:rsid w:val="00B761FE"/>
    <w:rsid w:val="00B76C41"/>
    <w:rsid w:val="00B80986"/>
    <w:rsid w:val="00B80CC2"/>
    <w:rsid w:val="00B82B0D"/>
    <w:rsid w:val="00B83053"/>
    <w:rsid w:val="00B845EB"/>
    <w:rsid w:val="00B8575F"/>
    <w:rsid w:val="00B85BDA"/>
    <w:rsid w:val="00B85FEF"/>
    <w:rsid w:val="00B8625E"/>
    <w:rsid w:val="00B863E3"/>
    <w:rsid w:val="00B86402"/>
    <w:rsid w:val="00B92F3E"/>
    <w:rsid w:val="00B93120"/>
    <w:rsid w:val="00B93AC6"/>
    <w:rsid w:val="00B95A41"/>
    <w:rsid w:val="00B95DFA"/>
    <w:rsid w:val="00B9602E"/>
    <w:rsid w:val="00B96A4A"/>
    <w:rsid w:val="00B97465"/>
    <w:rsid w:val="00B97537"/>
    <w:rsid w:val="00BA0BD7"/>
    <w:rsid w:val="00BA2709"/>
    <w:rsid w:val="00BA37A9"/>
    <w:rsid w:val="00BA3821"/>
    <w:rsid w:val="00BA39E0"/>
    <w:rsid w:val="00BA475F"/>
    <w:rsid w:val="00BA6B25"/>
    <w:rsid w:val="00BA6F86"/>
    <w:rsid w:val="00BA79E8"/>
    <w:rsid w:val="00BB0DE8"/>
    <w:rsid w:val="00BB1A67"/>
    <w:rsid w:val="00BB3F34"/>
    <w:rsid w:val="00BB4071"/>
    <w:rsid w:val="00BB4F07"/>
    <w:rsid w:val="00BB5C6A"/>
    <w:rsid w:val="00BB6B5E"/>
    <w:rsid w:val="00BB6C41"/>
    <w:rsid w:val="00BB706B"/>
    <w:rsid w:val="00BB7A05"/>
    <w:rsid w:val="00BC072B"/>
    <w:rsid w:val="00BC09D3"/>
    <w:rsid w:val="00BC128D"/>
    <w:rsid w:val="00BC1A89"/>
    <w:rsid w:val="00BC35F9"/>
    <w:rsid w:val="00BC3FBA"/>
    <w:rsid w:val="00BC4B12"/>
    <w:rsid w:val="00BC53AB"/>
    <w:rsid w:val="00BD085C"/>
    <w:rsid w:val="00BD13CB"/>
    <w:rsid w:val="00BD1A02"/>
    <w:rsid w:val="00BD1D2D"/>
    <w:rsid w:val="00BD2F56"/>
    <w:rsid w:val="00BD3758"/>
    <w:rsid w:val="00BD5333"/>
    <w:rsid w:val="00BD572B"/>
    <w:rsid w:val="00BD5D94"/>
    <w:rsid w:val="00BD6712"/>
    <w:rsid w:val="00BD6D8C"/>
    <w:rsid w:val="00BD71C4"/>
    <w:rsid w:val="00BE2AB4"/>
    <w:rsid w:val="00BE30E8"/>
    <w:rsid w:val="00BE31A2"/>
    <w:rsid w:val="00BE41C0"/>
    <w:rsid w:val="00BE4241"/>
    <w:rsid w:val="00BE50F3"/>
    <w:rsid w:val="00BE5577"/>
    <w:rsid w:val="00BE5E07"/>
    <w:rsid w:val="00BF0227"/>
    <w:rsid w:val="00BF22AF"/>
    <w:rsid w:val="00BF2573"/>
    <w:rsid w:val="00BF4001"/>
    <w:rsid w:val="00BF499C"/>
    <w:rsid w:val="00BF5183"/>
    <w:rsid w:val="00BF701A"/>
    <w:rsid w:val="00BF7227"/>
    <w:rsid w:val="00BF7395"/>
    <w:rsid w:val="00C0064E"/>
    <w:rsid w:val="00C068B0"/>
    <w:rsid w:val="00C07F42"/>
    <w:rsid w:val="00C11128"/>
    <w:rsid w:val="00C1130F"/>
    <w:rsid w:val="00C12053"/>
    <w:rsid w:val="00C12912"/>
    <w:rsid w:val="00C133FE"/>
    <w:rsid w:val="00C1403E"/>
    <w:rsid w:val="00C155FB"/>
    <w:rsid w:val="00C16134"/>
    <w:rsid w:val="00C16194"/>
    <w:rsid w:val="00C20174"/>
    <w:rsid w:val="00C20587"/>
    <w:rsid w:val="00C2128B"/>
    <w:rsid w:val="00C22E9E"/>
    <w:rsid w:val="00C2423B"/>
    <w:rsid w:val="00C24490"/>
    <w:rsid w:val="00C24E0A"/>
    <w:rsid w:val="00C27102"/>
    <w:rsid w:val="00C30376"/>
    <w:rsid w:val="00C3117F"/>
    <w:rsid w:val="00C31995"/>
    <w:rsid w:val="00C31F10"/>
    <w:rsid w:val="00C33066"/>
    <w:rsid w:val="00C33B95"/>
    <w:rsid w:val="00C34926"/>
    <w:rsid w:val="00C35961"/>
    <w:rsid w:val="00C36BA6"/>
    <w:rsid w:val="00C36C8D"/>
    <w:rsid w:val="00C37355"/>
    <w:rsid w:val="00C40130"/>
    <w:rsid w:val="00C401CF"/>
    <w:rsid w:val="00C40915"/>
    <w:rsid w:val="00C4184A"/>
    <w:rsid w:val="00C41CFF"/>
    <w:rsid w:val="00C42475"/>
    <w:rsid w:val="00C44398"/>
    <w:rsid w:val="00C445AA"/>
    <w:rsid w:val="00C44811"/>
    <w:rsid w:val="00C451E4"/>
    <w:rsid w:val="00C45C41"/>
    <w:rsid w:val="00C460D2"/>
    <w:rsid w:val="00C4763D"/>
    <w:rsid w:val="00C47A21"/>
    <w:rsid w:val="00C47A56"/>
    <w:rsid w:val="00C50520"/>
    <w:rsid w:val="00C516F1"/>
    <w:rsid w:val="00C51FBA"/>
    <w:rsid w:val="00C5250F"/>
    <w:rsid w:val="00C54AF5"/>
    <w:rsid w:val="00C54C7F"/>
    <w:rsid w:val="00C55EA1"/>
    <w:rsid w:val="00C56CBF"/>
    <w:rsid w:val="00C578A1"/>
    <w:rsid w:val="00C57F1B"/>
    <w:rsid w:val="00C60729"/>
    <w:rsid w:val="00C61677"/>
    <w:rsid w:val="00C619E4"/>
    <w:rsid w:val="00C61C04"/>
    <w:rsid w:val="00C638BF"/>
    <w:rsid w:val="00C64251"/>
    <w:rsid w:val="00C66710"/>
    <w:rsid w:val="00C668AA"/>
    <w:rsid w:val="00C6784D"/>
    <w:rsid w:val="00C70F0A"/>
    <w:rsid w:val="00C7266B"/>
    <w:rsid w:val="00C729DA"/>
    <w:rsid w:val="00C7519A"/>
    <w:rsid w:val="00C75DC6"/>
    <w:rsid w:val="00C76C62"/>
    <w:rsid w:val="00C77C67"/>
    <w:rsid w:val="00C77F30"/>
    <w:rsid w:val="00C800FD"/>
    <w:rsid w:val="00C811C9"/>
    <w:rsid w:val="00C82C00"/>
    <w:rsid w:val="00C8515B"/>
    <w:rsid w:val="00C8566F"/>
    <w:rsid w:val="00C85B81"/>
    <w:rsid w:val="00C86263"/>
    <w:rsid w:val="00C8752B"/>
    <w:rsid w:val="00C87E83"/>
    <w:rsid w:val="00C90D9B"/>
    <w:rsid w:val="00C91823"/>
    <w:rsid w:val="00C91B9F"/>
    <w:rsid w:val="00C93D54"/>
    <w:rsid w:val="00C95631"/>
    <w:rsid w:val="00C96B71"/>
    <w:rsid w:val="00C97282"/>
    <w:rsid w:val="00C97369"/>
    <w:rsid w:val="00CA2C23"/>
    <w:rsid w:val="00CA4168"/>
    <w:rsid w:val="00CA46F5"/>
    <w:rsid w:val="00CA5810"/>
    <w:rsid w:val="00CA5963"/>
    <w:rsid w:val="00CA645A"/>
    <w:rsid w:val="00CA6574"/>
    <w:rsid w:val="00CA68EB"/>
    <w:rsid w:val="00CA77C8"/>
    <w:rsid w:val="00CB0137"/>
    <w:rsid w:val="00CB1416"/>
    <w:rsid w:val="00CB2AA1"/>
    <w:rsid w:val="00CB343E"/>
    <w:rsid w:val="00CB3E5C"/>
    <w:rsid w:val="00CB5966"/>
    <w:rsid w:val="00CB5C26"/>
    <w:rsid w:val="00CB644B"/>
    <w:rsid w:val="00CB77FA"/>
    <w:rsid w:val="00CC0FAC"/>
    <w:rsid w:val="00CC1A64"/>
    <w:rsid w:val="00CC1E13"/>
    <w:rsid w:val="00CC42C7"/>
    <w:rsid w:val="00CC55AC"/>
    <w:rsid w:val="00CC5796"/>
    <w:rsid w:val="00CC6FD7"/>
    <w:rsid w:val="00CD11B3"/>
    <w:rsid w:val="00CD1DBA"/>
    <w:rsid w:val="00CD4880"/>
    <w:rsid w:val="00CD564D"/>
    <w:rsid w:val="00CD56DE"/>
    <w:rsid w:val="00CD60C9"/>
    <w:rsid w:val="00CD7600"/>
    <w:rsid w:val="00CE3498"/>
    <w:rsid w:val="00CE3A37"/>
    <w:rsid w:val="00CE471D"/>
    <w:rsid w:val="00CE69DC"/>
    <w:rsid w:val="00CE6F13"/>
    <w:rsid w:val="00CE77A9"/>
    <w:rsid w:val="00CF04B4"/>
    <w:rsid w:val="00CF0B78"/>
    <w:rsid w:val="00CF0DD4"/>
    <w:rsid w:val="00CF1F1C"/>
    <w:rsid w:val="00CF1FD6"/>
    <w:rsid w:val="00CF2348"/>
    <w:rsid w:val="00CF3E91"/>
    <w:rsid w:val="00CF41FF"/>
    <w:rsid w:val="00CF51DD"/>
    <w:rsid w:val="00CF55DD"/>
    <w:rsid w:val="00CF6223"/>
    <w:rsid w:val="00CF65FD"/>
    <w:rsid w:val="00D0004A"/>
    <w:rsid w:val="00D00FE4"/>
    <w:rsid w:val="00D02C60"/>
    <w:rsid w:val="00D03606"/>
    <w:rsid w:val="00D0391D"/>
    <w:rsid w:val="00D04374"/>
    <w:rsid w:val="00D0501D"/>
    <w:rsid w:val="00D051EA"/>
    <w:rsid w:val="00D05794"/>
    <w:rsid w:val="00D05A78"/>
    <w:rsid w:val="00D060CA"/>
    <w:rsid w:val="00D0746B"/>
    <w:rsid w:val="00D12571"/>
    <w:rsid w:val="00D12B3E"/>
    <w:rsid w:val="00D137B8"/>
    <w:rsid w:val="00D16468"/>
    <w:rsid w:val="00D20595"/>
    <w:rsid w:val="00D21D5D"/>
    <w:rsid w:val="00D229F1"/>
    <w:rsid w:val="00D2361A"/>
    <w:rsid w:val="00D255B0"/>
    <w:rsid w:val="00D25765"/>
    <w:rsid w:val="00D25EEF"/>
    <w:rsid w:val="00D27346"/>
    <w:rsid w:val="00D2764F"/>
    <w:rsid w:val="00D27B5A"/>
    <w:rsid w:val="00D3114C"/>
    <w:rsid w:val="00D31E58"/>
    <w:rsid w:val="00D325D7"/>
    <w:rsid w:val="00D32BED"/>
    <w:rsid w:val="00D3425D"/>
    <w:rsid w:val="00D34460"/>
    <w:rsid w:val="00D37549"/>
    <w:rsid w:val="00D37612"/>
    <w:rsid w:val="00D376E0"/>
    <w:rsid w:val="00D37AE2"/>
    <w:rsid w:val="00D37C20"/>
    <w:rsid w:val="00D4028D"/>
    <w:rsid w:val="00D404A3"/>
    <w:rsid w:val="00D40E59"/>
    <w:rsid w:val="00D42DB8"/>
    <w:rsid w:val="00D4311B"/>
    <w:rsid w:val="00D43AF5"/>
    <w:rsid w:val="00D44D44"/>
    <w:rsid w:val="00D45357"/>
    <w:rsid w:val="00D463B5"/>
    <w:rsid w:val="00D46B7A"/>
    <w:rsid w:val="00D5094A"/>
    <w:rsid w:val="00D51E1D"/>
    <w:rsid w:val="00D51FEC"/>
    <w:rsid w:val="00D52479"/>
    <w:rsid w:val="00D5337C"/>
    <w:rsid w:val="00D53B83"/>
    <w:rsid w:val="00D53F04"/>
    <w:rsid w:val="00D54990"/>
    <w:rsid w:val="00D56083"/>
    <w:rsid w:val="00D5648B"/>
    <w:rsid w:val="00D570F2"/>
    <w:rsid w:val="00D573A1"/>
    <w:rsid w:val="00D5785F"/>
    <w:rsid w:val="00D61AAF"/>
    <w:rsid w:val="00D62813"/>
    <w:rsid w:val="00D6432C"/>
    <w:rsid w:val="00D64755"/>
    <w:rsid w:val="00D64762"/>
    <w:rsid w:val="00D668A7"/>
    <w:rsid w:val="00D70BBE"/>
    <w:rsid w:val="00D714EF"/>
    <w:rsid w:val="00D71735"/>
    <w:rsid w:val="00D71A38"/>
    <w:rsid w:val="00D734CE"/>
    <w:rsid w:val="00D74F08"/>
    <w:rsid w:val="00D74FA2"/>
    <w:rsid w:val="00D768D7"/>
    <w:rsid w:val="00D77884"/>
    <w:rsid w:val="00D81C4F"/>
    <w:rsid w:val="00D82DC3"/>
    <w:rsid w:val="00D842DC"/>
    <w:rsid w:val="00D8560D"/>
    <w:rsid w:val="00D85966"/>
    <w:rsid w:val="00D85F5F"/>
    <w:rsid w:val="00D86B37"/>
    <w:rsid w:val="00D86BAA"/>
    <w:rsid w:val="00D86EEE"/>
    <w:rsid w:val="00D90096"/>
    <w:rsid w:val="00D90226"/>
    <w:rsid w:val="00D918B8"/>
    <w:rsid w:val="00D93B0A"/>
    <w:rsid w:val="00D93BE4"/>
    <w:rsid w:val="00D96206"/>
    <w:rsid w:val="00DA086E"/>
    <w:rsid w:val="00DA0DFD"/>
    <w:rsid w:val="00DA2835"/>
    <w:rsid w:val="00DA3816"/>
    <w:rsid w:val="00DA46A9"/>
    <w:rsid w:val="00DA54C9"/>
    <w:rsid w:val="00DA5756"/>
    <w:rsid w:val="00DA59E9"/>
    <w:rsid w:val="00DB040D"/>
    <w:rsid w:val="00DB0852"/>
    <w:rsid w:val="00DB0CF3"/>
    <w:rsid w:val="00DB1414"/>
    <w:rsid w:val="00DB24C9"/>
    <w:rsid w:val="00DB265A"/>
    <w:rsid w:val="00DB30B5"/>
    <w:rsid w:val="00DB32B7"/>
    <w:rsid w:val="00DB3562"/>
    <w:rsid w:val="00DB37AF"/>
    <w:rsid w:val="00DC1B9F"/>
    <w:rsid w:val="00DC4B73"/>
    <w:rsid w:val="00DC62D8"/>
    <w:rsid w:val="00DC6587"/>
    <w:rsid w:val="00DD12E8"/>
    <w:rsid w:val="00DD153E"/>
    <w:rsid w:val="00DD1CA5"/>
    <w:rsid w:val="00DD2C68"/>
    <w:rsid w:val="00DD3003"/>
    <w:rsid w:val="00DD4421"/>
    <w:rsid w:val="00DD462B"/>
    <w:rsid w:val="00DD4942"/>
    <w:rsid w:val="00DD4FB2"/>
    <w:rsid w:val="00DD5CA2"/>
    <w:rsid w:val="00DD7B59"/>
    <w:rsid w:val="00DE0EAE"/>
    <w:rsid w:val="00DE26AD"/>
    <w:rsid w:val="00DE311C"/>
    <w:rsid w:val="00DE3FEF"/>
    <w:rsid w:val="00DE4251"/>
    <w:rsid w:val="00DE444D"/>
    <w:rsid w:val="00DE5BEE"/>
    <w:rsid w:val="00DE5D64"/>
    <w:rsid w:val="00DE6322"/>
    <w:rsid w:val="00DE63D5"/>
    <w:rsid w:val="00DE6632"/>
    <w:rsid w:val="00DE6EF2"/>
    <w:rsid w:val="00DE71A9"/>
    <w:rsid w:val="00DF035F"/>
    <w:rsid w:val="00DF036F"/>
    <w:rsid w:val="00DF07C1"/>
    <w:rsid w:val="00DF26E9"/>
    <w:rsid w:val="00DF38A2"/>
    <w:rsid w:val="00DF4D37"/>
    <w:rsid w:val="00DF53B8"/>
    <w:rsid w:val="00DF6917"/>
    <w:rsid w:val="00E017D4"/>
    <w:rsid w:val="00E01D75"/>
    <w:rsid w:val="00E021AD"/>
    <w:rsid w:val="00E02D30"/>
    <w:rsid w:val="00E04466"/>
    <w:rsid w:val="00E045FF"/>
    <w:rsid w:val="00E046C1"/>
    <w:rsid w:val="00E079DC"/>
    <w:rsid w:val="00E127F5"/>
    <w:rsid w:val="00E1463B"/>
    <w:rsid w:val="00E17622"/>
    <w:rsid w:val="00E24852"/>
    <w:rsid w:val="00E30CCA"/>
    <w:rsid w:val="00E31937"/>
    <w:rsid w:val="00E32113"/>
    <w:rsid w:val="00E3221B"/>
    <w:rsid w:val="00E32313"/>
    <w:rsid w:val="00E32871"/>
    <w:rsid w:val="00E3345E"/>
    <w:rsid w:val="00E3356C"/>
    <w:rsid w:val="00E337BD"/>
    <w:rsid w:val="00E33A00"/>
    <w:rsid w:val="00E33E40"/>
    <w:rsid w:val="00E363E4"/>
    <w:rsid w:val="00E3707C"/>
    <w:rsid w:val="00E418C8"/>
    <w:rsid w:val="00E41DFA"/>
    <w:rsid w:val="00E43DBD"/>
    <w:rsid w:val="00E4497C"/>
    <w:rsid w:val="00E44ACB"/>
    <w:rsid w:val="00E4625C"/>
    <w:rsid w:val="00E4700D"/>
    <w:rsid w:val="00E50165"/>
    <w:rsid w:val="00E52447"/>
    <w:rsid w:val="00E524E9"/>
    <w:rsid w:val="00E52B12"/>
    <w:rsid w:val="00E52EEE"/>
    <w:rsid w:val="00E541D8"/>
    <w:rsid w:val="00E55B22"/>
    <w:rsid w:val="00E55DA3"/>
    <w:rsid w:val="00E566AE"/>
    <w:rsid w:val="00E56E65"/>
    <w:rsid w:val="00E56FC6"/>
    <w:rsid w:val="00E57A75"/>
    <w:rsid w:val="00E60414"/>
    <w:rsid w:val="00E60598"/>
    <w:rsid w:val="00E60B8B"/>
    <w:rsid w:val="00E62475"/>
    <w:rsid w:val="00E62536"/>
    <w:rsid w:val="00E630E1"/>
    <w:rsid w:val="00E64AC6"/>
    <w:rsid w:val="00E671CE"/>
    <w:rsid w:val="00E70071"/>
    <w:rsid w:val="00E72B94"/>
    <w:rsid w:val="00E73174"/>
    <w:rsid w:val="00E73C69"/>
    <w:rsid w:val="00E74BC7"/>
    <w:rsid w:val="00E75618"/>
    <w:rsid w:val="00E75A99"/>
    <w:rsid w:val="00E75B51"/>
    <w:rsid w:val="00E771EA"/>
    <w:rsid w:val="00E77BDE"/>
    <w:rsid w:val="00E80CD2"/>
    <w:rsid w:val="00E84848"/>
    <w:rsid w:val="00E85546"/>
    <w:rsid w:val="00E85C39"/>
    <w:rsid w:val="00E85C4C"/>
    <w:rsid w:val="00E85DE4"/>
    <w:rsid w:val="00E86874"/>
    <w:rsid w:val="00E8702B"/>
    <w:rsid w:val="00E87F43"/>
    <w:rsid w:val="00E87F4C"/>
    <w:rsid w:val="00E901A7"/>
    <w:rsid w:val="00E90FE8"/>
    <w:rsid w:val="00E91D80"/>
    <w:rsid w:val="00E9205E"/>
    <w:rsid w:val="00E93195"/>
    <w:rsid w:val="00E941E8"/>
    <w:rsid w:val="00E952B1"/>
    <w:rsid w:val="00E960B5"/>
    <w:rsid w:val="00E97194"/>
    <w:rsid w:val="00E976AF"/>
    <w:rsid w:val="00EA0C7B"/>
    <w:rsid w:val="00EA32FC"/>
    <w:rsid w:val="00EA3CFD"/>
    <w:rsid w:val="00EA4E96"/>
    <w:rsid w:val="00EA5095"/>
    <w:rsid w:val="00EA5462"/>
    <w:rsid w:val="00EB1605"/>
    <w:rsid w:val="00EB1B32"/>
    <w:rsid w:val="00EB2A21"/>
    <w:rsid w:val="00EB4734"/>
    <w:rsid w:val="00EB5953"/>
    <w:rsid w:val="00EB6D88"/>
    <w:rsid w:val="00EC1992"/>
    <w:rsid w:val="00EC2095"/>
    <w:rsid w:val="00EC2D2B"/>
    <w:rsid w:val="00EC32D2"/>
    <w:rsid w:val="00EC5538"/>
    <w:rsid w:val="00EC5E23"/>
    <w:rsid w:val="00EC6DD1"/>
    <w:rsid w:val="00EC76BF"/>
    <w:rsid w:val="00EC7BBF"/>
    <w:rsid w:val="00ED25E7"/>
    <w:rsid w:val="00ED2833"/>
    <w:rsid w:val="00ED2D3D"/>
    <w:rsid w:val="00ED78C8"/>
    <w:rsid w:val="00EE1530"/>
    <w:rsid w:val="00EE25DB"/>
    <w:rsid w:val="00EE3B13"/>
    <w:rsid w:val="00EE4889"/>
    <w:rsid w:val="00EE4FC7"/>
    <w:rsid w:val="00EE5C8D"/>
    <w:rsid w:val="00EE68BD"/>
    <w:rsid w:val="00EF1618"/>
    <w:rsid w:val="00EF296E"/>
    <w:rsid w:val="00EF29F7"/>
    <w:rsid w:val="00EF33EE"/>
    <w:rsid w:val="00EF372C"/>
    <w:rsid w:val="00EF4F27"/>
    <w:rsid w:val="00EF5469"/>
    <w:rsid w:val="00EF69B4"/>
    <w:rsid w:val="00EF7378"/>
    <w:rsid w:val="00EF74DC"/>
    <w:rsid w:val="00EF78B2"/>
    <w:rsid w:val="00EF7BB8"/>
    <w:rsid w:val="00F0020C"/>
    <w:rsid w:val="00F0081A"/>
    <w:rsid w:val="00F00ECC"/>
    <w:rsid w:val="00F01F0C"/>
    <w:rsid w:val="00F0203A"/>
    <w:rsid w:val="00F027EF"/>
    <w:rsid w:val="00F04ACB"/>
    <w:rsid w:val="00F04E12"/>
    <w:rsid w:val="00F073F4"/>
    <w:rsid w:val="00F0758B"/>
    <w:rsid w:val="00F075CC"/>
    <w:rsid w:val="00F07B7D"/>
    <w:rsid w:val="00F1037A"/>
    <w:rsid w:val="00F13626"/>
    <w:rsid w:val="00F1547C"/>
    <w:rsid w:val="00F20636"/>
    <w:rsid w:val="00F22494"/>
    <w:rsid w:val="00F23908"/>
    <w:rsid w:val="00F25624"/>
    <w:rsid w:val="00F25A20"/>
    <w:rsid w:val="00F26079"/>
    <w:rsid w:val="00F26390"/>
    <w:rsid w:val="00F27186"/>
    <w:rsid w:val="00F27727"/>
    <w:rsid w:val="00F27C95"/>
    <w:rsid w:val="00F307B2"/>
    <w:rsid w:val="00F313D8"/>
    <w:rsid w:val="00F316E4"/>
    <w:rsid w:val="00F35DD3"/>
    <w:rsid w:val="00F36E61"/>
    <w:rsid w:val="00F37457"/>
    <w:rsid w:val="00F40D00"/>
    <w:rsid w:val="00F43B8D"/>
    <w:rsid w:val="00F44F7C"/>
    <w:rsid w:val="00F452D1"/>
    <w:rsid w:val="00F46B8C"/>
    <w:rsid w:val="00F470E6"/>
    <w:rsid w:val="00F47943"/>
    <w:rsid w:val="00F47C05"/>
    <w:rsid w:val="00F506AC"/>
    <w:rsid w:val="00F5172C"/>
    <w:rsid w:val="00F51F95"/>
    <w:rsid w:val="00F52120"/>
    <w:rsid w:val="00F52ABC"/>
    <w:rsid w:val="00F53AD9"/>
    <w:rsid w:val="00F545A3"/>
    <w:rsid w:val="00F550CD"/>
    <w:rsid w:val="00F55AD9"/>
    <w:rsid w:val="00F56586"/>
    <w:rsid w:val="00F56A1C"/>
    <w:rsid w:val="00F574EA"/>
    <w:rsid w:val="00F57517"/>
    <w:rsid w:val="00F57D8B"/>
    <w:rsid w:val="00F60F63"/>
    <w:rsid w:val="00F64237"/>
    <w:rsid w:val="00F662C1"/>
    <w:rsid w:val="00F671D1"/>
    <w:rsid w:val="00F71C98"/>
    <w:rsid w:val="00F74504"/>
    <w:rsid w:val="00F80570"/>
    <w:rsid w:val="00F81A36"/>
    <w:rsid w:val="00F81A6C"/>
    <w:rsid w:val="00F81AE8"/>
    <w:rsid w:val="00F82BF1"/>
    <w:rsid w:val="00F837D7"/>
    <w:rsid w:val="00F83BA5"/>
    <w:rsid w:val="00F84B60"/>
    <w:rsid w:val="00F870D6"/>
    <w:rsid w:val="00F9039A"/>
    <w:rsid w:val="00F90792"/>
    <w:rsid w:val="00F91EFD"/>
    <w:rsid w:val="00F929CF"/>
    <w:rsid w:val="00F933A4"/>
    <w:rsid w:val="00F936E8"/>
    <w:rsid w:val="00F95720"/>
    <w:rsid w:val="00F9646D"/>
    <w:rsid w:val="00F97D67"/>
    <w:rsid w:val="00F97EB1"/>
    <w:rsid w:val="00FA0052"/>
    <w:rsid w:val="00FA0BB3"/>
    <w:rsid w:val="00FA1243"/>
    <w:rsid w:val="00FA2C2C"/>
    <w:rsid w:val="00FA2D9E"/>
    <w:rsid w:val="00FA2DF3"/>
    <w:rsid w:val="00FA37AC"/>
    <w:rsid w:val="00FA39BF"/>
    <w:rsid w:val="00FA457C"/>
    <w:rsid w:val="00FA601D"/>
    <w:rsid w:val="00FA7940"/>
    <w:rsid w:val="00FB0FB4"/>
    <w:rsid w:val="00FB23EA"/>
    <w:rsid w:val="00FB245A"/>
    <w:rsid w:val="00FB2990"/>
    <w:rsid w:val="00FB2F94"/>
    <w:rsid w:val="00FB3CB2"/>
    <w:rsid w:val="00FB45E8"/>
    <w:rsid w:val="00FB4761"/>
    <w:rsid w:val="00FB511F"/>
    <w:rsid w:val="00FB6D3F"/>
    <w:rsid w:val="00FB70F7"/>
    <w:rsid w:val="00FB7BA7"/>
    <w:rsid w:val="00FB7C90"/>
    <w:rsid w:val="00FC1783"/>
    <w:rsid w:val="00FC251F"/>
    <w:rsid w:val="00FC2ACF"/>
    <w:rsid w:val="00FC47BB"/>
    <w:rsid w:val="00FC4B09"/>
    <w:rsid w:val="00FC6EB4"/>
    <w:rsid w:val="00FC7634"/>
    <w:rsid w:val="00FD0406"/>
    <w:rsid w:val="00FD0C6C"/>
    <w:rsid w:val="00FD0C8F"/>
    <w:rsid w:val="00FD1190"/>
    <w:rsid w:val="00FD143C"/>
    <w:rsid w:val="00FD1BF4"/>
    <w:rsid w:val="00FD24BE"/>
    <w:rsid w:val="00FD2F73"/>
    <w:rsid w:val="00FD30C0"/>
    <w:rsid w:val="00FD42E4"/>
    <w:rsid w:val="00FD65DA"/>
    <w:rsid w:val="00FE132B"/>
    <w:rsid w:val="00FE148F"/>
    <w:rsid w:val="00FE33A0"/>
    <w:rsid w:val="00FE36CD"/>
    <w:rsid w:val="00FE502C"/>
    <w:rsid w:val="00FE50B0"/>
    <w:rsid w:val="00FE666C"/>
    <w:rsid w:val="00FE6FC2"/>
    <w:rsid w:val="00FF0AC7"/>
    <w:rsid w:val="00FF205A"/>
    <w:rsid w:val="00FF2EC5"/>
    <w:rsid w:val="00FF3697"/>
    <w:rsid w:val="00FF5EAA"/>
    <w:rsid w:val="00FF64AC"/>
    <w:rsid w:val="00FF6B8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0F967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450B"/>
    <w:rPr>
      <w:rFonts w:ascii="Times New Roman" w:eastAsia="Times New Roman" w:hAnsi="Times New Roman" w:cs="Times New Roman"/>
      <w:lang w:val="en-GB"/>
    </w:rPr>
  </w:style>
  <w:style w:type="paragraph" w:styleId="Heading1">
    <w:name w:val="heading 1"/>
    <w:basedOn w:val="Normal"/>
    <w:next w:val="Normal"/>
    <w:link w:val="Heading1Char"/>
    <w:autoRedefine/>
    <w:uiPriority w:val="9"/>
    <w:qFormat/>
    <w:rsid w:val="00204988"/>
    <w:pPr>
      <w:keepNext/>
      <w:keepLines/>
      <w:tabs>
        <w:tab w:val="left" w:pos="1701"/>
      </w:tabs>
      <w:spacing w:before="480" w:line="360" w:lineRule="auto"/>
      <w:jc w:val="center"/>
      <w:outlineLvl w:val="0"/>
    </w:pPr>
    <w:rPr>
      <w:rFonts w:ascii="Arial" w:eastAsiaTheme="majorEastAsia" w:hAnsi="Arial" w:cs="Arial"/>
      <w:b/>
      <w:bCs/>
      <w:noProof/>
      <w:sz w:val="36"/>
      <w:szCs w:val="36"/>
    </w:rPr>
  </w:style>
  <w:style w:type="paragraph" w:styleId="Heading2">
    <w:name w:val="heading 2"/>
    <w:basedOn w:val="Normal"/>
    <w:next w:val="Normal"/>
    <w:link w:val="Heading2Char"/>
    <w:autoRedefine/>
    <w:unhideWhenUsed/>
    <w:qFormat/>
    <w:rsid w:val="00D40E59"/>
    <w:pPr>
      <w:keepNext/>
      <w:keepLines/>
      <w:spacing w:before="200" w:line="480" w:lineRule="auto"/>
      <w:jc w:val="both"/>
      <w:outlineLvl w:val="1"/>
    </w:pPr>
    <w:rPr>
      <w:rFonts w:ascii="Arial" w:hAnsi="Arial" w:cs="Arial"/>
      <w:b/>
      <w:bCs/>
      <w:noProof/>
      <w:color w:val="000000" w:themeColor="text1"/>
    </w:rPr>
  </w:style>
  <w:style w:type="paragraph" w:styleId="Heading3">
    <w:name w:val="heading 3"/>
    <w:basedOn w:val="Normal"/>
    <w:next w:val="Normal"/>
    <w:link w:val="Heading3Char"/>
    <w:unhideWhenUsed/>
    <w:qFormat/>
    <w:rsid w:val="007B76C3"/>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4988"/>
    <w:rPr>
      <w:rFonts w:ascii="Arial" w:eastAsiaTheme="majorEastAsia" w:hAnsi="Arial" w:cs="Arial"/>
      <w:b/>
      <w:bCs/>
      <w:noProof/>
      <w:sz w:val="36"/>
      <w:szCs w:val="36"/>
      <w:lang w:val="en-GB"/>
    </w:rPr>
  </w:style>
  <w:style w:type="character" w:customStyle="1" w:styleId="Heading2Char">
    <w:name w:val="Heading 2 Char"/>
    <w:basedOn w:val="DefaultParagraphFont"/>
    <w:link w:val="Heading2"/>
    <w:rsid w:val="00D40E59"/>
    <w:rPr>
      <w:rFonts w:ascii="Arial" w:eastAsia="Times New Roman" w:hAnsi="Arial" w:cs="Arial"/>
      <w:b/>
      <w:bCs/>
      <w:noProof/>
      <w:color w:val="000000" w:themeColor="text1"/>
      <w:lang w:val="en-GB"/>
    </w:rPr>
  </w:style>
  <w:style w:type="character" w:customStyle="1" w:styleId="Heading3Char">
    <w:name w:val="Heading 3 Char"/>
    <w:basedOn w:val="DefaultParagraphFont"/>
    <w:link w:val="Heading3"/>
    <w:rsid w:val="007B76C3"/>
    <w:rPr>
      <w:rFonts w:asciiTheme="majorHAnsi" w:eastAsiaTheme="majorEastAsia" w:hAnsiTheme="majorHAnsi" w:cstheme="majorBidi"/>
      <w:b/>
      <w:bCs/>
      <w:color w:val="4F81BD" w:themeColor="accent1"/>
      <w:lang w:val="en-GB"/>
    </w:rPr>
  </w:style>
  <w:style w:type="paragraph" w:styleId="BalloonText">
    <w:name w:val="Balloon Text"/>
    <w:basedOn w:val="Normal"/>
    <w:link w:val="BalloonTextChar"/>
    <w:uiPriority w:val="99"/>
    <w:semiHidden/>
    <w:unhideWhenUsed/>
    <w:rsid w:val="000B52F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B52FC"/>
    <w:rPr>
      <w:rFonts w:ascii="Lucida Grande" w:eastAsia="Times New Roman" w:hAnsi="Lucida Grande" w:cs="Lucida Grande"/>
      <w:sz w:val="18"/>
      <w:szCs w:val="18"/>
      <w:lang w:val="en-GB"/>
    </w:rPr>
  </w:style>
  <w:style w:type="paragraph" w:styleId="BodyText">
    <w:name w:val="Body Text"/>
    <w:basedOn w:val="Normal"/>
    <w:link w:val="BodyTextChar"/>
    <w:rsid w:val="00F929CF"/>
    <w:pPr>
      <w:ind w:right="-334"/>
    </w:pPr>
    <w:rPr>
      <w:rFonts w:ascii="Arial" w:hAnsi="Arial" w:cs="Arial"/>
    </w:rPr>
  </w:style>
  <w:style w:type="character" w:customStyle="1" w:styleId="BodyTextChar">
    <w:name w:val="Body Text Char"/>
    <w:basedOn w:val="DefaultParagraphFont"/>
    <w:link w:val="BodyText"/>
    <w:rsid w:val="00F929CF"/>
    <w:rPr>
      <w:rFonts w:ascii="Arial" w:eastAsia="Times New Roman" w:hAnsi="Arial" w:cs="Arial"/>
      <w:lang w:val="en-GB"/>
    </w:rPr>
  </w:style>
  <w:style w:type="paragraph" w:styleId="ListParagraph">
    <w:name w:val="List Paragraph"/>
    <w:basedOn w:val="Normal"/>
    <w:uiPriority w:val="99"/>
    <w:qFormat/>
    <w:rsid w:val="00E32113"/>
    <w:pPr>
      <w:ind w:left="720"/>
      <w:contextualSpacing/>
    </w:pPr>
    <w:rPr>
      <w:lang w:val="en-US"/>
    </w:rPr>
  </w:style>
  <w:style w:type="paragraph" w:customStyle="1" w:styleId="Default">
    <w:name w:val="Default"/>
    <w:rsid w:val="0022406D"/>
    <w:pPr>
      <w:widowControl w:val="0"/>
      <w:autoSpaceDE w:val="0"/>
      <w:autoSpaceDN w:val="0"/>
      <w:adjustRightInd w:val="0"/>
    </w:pPr>
    <w:rPr>
      <w:rFonts w:ascii="TUOS Stephenson" w:eastAsia="Times New Roman" w:hAnsi="TUOS Stephenson" w:cs="TUOS Stephenson"/>
      <w:color w:val="000000"/>
      <w:lang w:val="en-GB" w:eastAsia="en-GB"/>
    </w:rPr>
  </w:style>
  <w:style w:type="paragraph" w:styleId="TOCHeading">
    <w:name w:val="TOC Heading"/>
    <w:basedOn w:val="Heading1"/>
    <w:next w:val="Normal"/>
    <w:uiPriority w:val="39"/>
    <w:unhideWhenUsed/>
    <w:qFormat/>
    <w:rsid w:val="000F1EC0"/>
    <w:pPr>
      <w:spacing w:line="276" w:lineRule="auto"/>
      <w:outlineLvl w:val="9"/>
    </w:pPr>
    <w:rPr>
      <w:color w:val="365F91" w:themeColor="accent1" w:themeShade="BF"/>
      <w:sz w:val="28"/>
      <w:szCs w:val="28"/>
      <w:lang w:val="en-US"/>
    </w:rPr>
  </w:style>
  <w:style w:type="paragraph" w:styleId="TOC1">
    <w:name w:val="toc 1"/>
    <w:basedOn w:val="Normal"/>
    <w:next w:val="Normal"/>
    <w:autoRedefine/>
    <w:uiPriority w:val="39"/>
    <w:rsid w:val="00EC5E23"/>
    <w:pPr>
      <w:tabs>
        <w:tab w:val="right" w:leader="dot" w:pos="9622"/>
      </w:tabs>
      <w:spacing w:before="120" w:line="480" w:lineRule="auto"/>
      <w:jc w:val="both"/>
    </w:pPr>
    <w:rPr>
      <w:rFonts w:ascii="Arial" w:hAnsi="Arial" w:cs="Arial"/>
      <w:b/>
      <w:noProof/>
      <w:color w:val="1F497D" w:themeColor="text2"/>
    </w:rPr>
  </w:style>
  <w:style w:type="paragraph" w:styleId="TOC2">
    <w:name w:val="toc 2"/>
    <w:basedOn w:val="Normal"/>
    <w:next w:val="Normal"/>
    <w:autoRedefine/>
    <w:uiPriority w:val="39"/>
    <w:rsid w:val="0013320D"/>
    <w:pPr>
      <w:tabs>
        <w:tab w:val="right" w:leader="dot" w:pos="9622"/>
      </w:tabs>
      <w:jc w:val="both"/>
    </w:pPr>
    <w:rPr>
      <w:rFonts w:asciiTheme="minorHAnsi" w:hAnsiTheme="minorHAnsi"/>
      <w:sz w:val="22"/>
      <w:szCs w:val="22"/>
    </w:rPr>
  </w:style>
  <w:style w:type="paragraph" w:styleId="TOC3">
    <w:name w:val="toc 3"/>
    <w:basedOn w:val="Normal"/>
    <w:next w:val="Normal"/>
    <w:autoRedefine/>
    <w:uiPriority w:val="39"/>
    <w:rsid w:val="000F1EC0"/>
    <w:pPr>
      <w:ind w:left="240"/>
    </w:pPr>
    <w:rPr>
      <w:rFonts w:asciiTheme="minorHAnsi" w:hAnsiTheme="minorHAnsi"/>
      <w:i/>
      <w:sz w:val="22"/>
      <w:szCs w:val="22"/>
    </w:rPr>
  </w:style>
  <w:style w:type="paragraph" w:styleId="Footer">
    <w:name w:val="footer"/>
    <w:basedOn w:val="Normal"/>
    <w:link w:val="FooterChar"/>
    <w:uiPriority w:val="99"/>
    <w:unhideWhenUsed/>
    <w:rsid w:val="007B76C3"/>
    <w:pPr>
      <w:tabs>
        <w:tab w:val="center" w:pos="4320"/>
        <w:tab w:val="right" w:pos="8640"/>
      </w:tabs>
    </w:pPr>
    <w:rPr>
      <w:rFonts w:asciiTheme="minorHAnsi" w:eastAsiaTheme="minorEastAsia" w:hAnsiTheme="minorHAnsi" w:cstheme="minorBidi"/>
      <w:lang w:val="en-US"/>
    </w:rPr>
  </w:style>
  <w:style w:type="character" w:customStyle="1" w:styleId="FooterChar">
    <w:name w:val="Footer Char"/>
    <w:basedOn w:val="DefaultParagraphFont"/>
    <w:link w:val="Footer"/>
    <w:uiPriority w:val="99"/>
    <w:rsid w:val="007B76C3"/>
  </w:style>
  <w:style w:type="character" w:styleId="PageNumber">
    <w:name w:val="page number"/>
    <w:basedOn w:val="DefaultParagraphFont"/>
    <w:uiPriority w:val="99"/>
    <w:semiHidden/>
    <w:unhideWhenUsed/>
    <w:rsid w:val="007B76C3"/>
  </w:style>
  <w:style w:type="paragraph" w:styleId="Caption">
    <w:name w:val="caption"/>
    <w:basedOn w:val="Normal"/>
    <w:next w:val="Normal"/>
    <w:unhideWhenUsed/>
    <w:qFormat/>
    <w:rsid w:val="007B76C3"/>
    <w:pPr>
      <w:spacing w:after="200"/>
    </w:pPr>
    <w:rPr>
      <w:b/>
      <w:bCs/>
      <w:color w:val="4F81BD" w:themeColor="accent1"/>
      <w:sz w:val="18"/>
      <w:szCs w:val="18"/>
    </w:rPr>
  </w:style>
  <w:style w:type="paragraph" w:styleId="NormalWeb">
    <w:name w:val="Normal (Web)"/>
    <w:basedOn w:val="Normal"/>
    <w:uiPriority w:val="99"/>
    <w:unhideWhenUsed/>
    <w:rsid w:val="007B76C3"/>
    <w:pPr>
      <w:spacing w:before="100" w:beforeAutospacing="1" w:after="100" w:afterAutospacing="1"/>
    </w:pPr>
    <w:rPr>
      <w:rFonts w:ascii="Times" w:eastAsiaTheme="minorEastAsia" w:hAnsi="Times"/>
      <w:sz w:val="20"/>
      <w:szCs w:val="20"/>
    </w:rPr>
  </w:style>
  <w:style w:type="character" w:customStyle="1" w:styleId="apple-converted-space">
    <w:name w:val="apple-converted-space"/>
    <w:basedOn w:val="DefaultParagraphFont"/>
    <w:rsid w:val="007B76C3"/>
  </w:style>
  <w:style w:type="character" w:styleId="Hyperlink">
    <w:name w:val="Hyperlink"/>
    <w:basedOn w:val="DefaultParagraphFont"/>
    <w:uiPriority w:val="99"/>
    <w:unhideWhenUsed/>
    <w:rsid w:val="007B76C3"/>
    <w:rPr>
      <w:color w:val="0000FF" w:themeColor="hyperlink"/>
      <w:u w:val="single"/>
    </w:rPr>
  </w:style>
  <w:style w:type="character" w:styleId="FollowedHyperlink">
    <w:name w:val="FollowedHyperlink"/>
    <w:basedOn w:val="DefaultParagraphFont"/>
    <w:uiPriority w:val="99"/>
    <w:semiHidden/>
    <w:unhideWhenUsed/>
    <w:rsid w:val="007B76C3"/>
    <w:rPr>
      <w:color w:val="800080" w:themeColor="followedHyperlink"/>
      <w:u w:val="single"/>
    </w:rPr>
  </w:style>
  <w:style w:type="paragraph" w:styleId="Header">
    <w:name w:val="header"/>
    <w:basedOn w:val="Normal"/>
    <w:link w:val="HeaderChar"/>
    <w:uiPriority w:val="99"/>
    <w:unhideWhenUsed/>
    <w:rsid w:val="007B76C3"/>
    <w:pPr>
      <w:tabs>
        <w:tab w:val="center" w:pos="4320"/>
        <w:tab w:val="right" w:pos="8640"/>
      </w:tabs>
    </w:pPr>
    <w:rPr>
      <w:rFonts w:asciiTheme="minorHAnsi" w:eastAsiaTheme="minorEastAsia" w:hAnsiTheme="minorHAnsi" w:cstheme="minorBidi"/>
      <w:lang w:val="en-US"/>
    </w:rPr>
  </w:style>
  <w:style w:type="character" w:customStyle="1" w:styleId="HeaderChar">
    <w:name w:val="Header Char"/>
    <w:basedOn w:val="DefaultParagraphFont"/>
    <w:link w:val="Header"/>
    <w:uiPriority w:val="99"/>
    <w:rsid w:val="007B76C3"/>
  </w:style>
  <w:style w:type="paragraph" w:styleId="FootnoteText">
    <w:name w:val="footnote text"/>
    <w:basedOn w:val="Normal"/>
    <w:link w:val="FootnoteTextChar"/>
    <w:rsid w:val="007B76C3"/>
  </w:style>
  <w:style w:type="character" w:customStyle="1" w:styleId="FootnoteTextChar">
    <w:name w:val="Footnote Text Char"/>
    <w:basedOn w:val="DefaultParagraphFont"/>
    <w:link w:val="FootnoteText"/>
    <w:rsid w:val="007B76C3"/>
    <w:rPr>
      <w:rFonts w:ascii="Times New Roman" w:eastAsia="Times New Roman" w:hAnsi="Times New Roman" w:cs="Times New Roman"/>
      <w:lang w:val="en-GB"/>
    </w:rPr>
  </w:style>
  <w:style w:type="character" w:styleId="FootnoteReference">
    <w:name w:val="footnote reference"/>
    <w:basedOn w:val="DefaultParagraphFont"/>
    <w:rsid w:val="007B76C3"/>
    <w:rPr>
      <w:vertAlign w:val="superscript"/>
    </w:rPr>
  </w:style>
  <w:style w:type="table" w:styleId="TableGrid">
    <w:name w:val="Table Grid"/>
    <w:basedOn w:val="TableNormal"/>
    <w:uiPriority w:val="59"/>
    <w:rsid w:val="007B76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1">
    <w:name w:val="Light Shading Accent 1"/>
    <w:basedOn w:val="TableNormal"/>
    <w:uiPriority w:val="60"/>
    <w:rsid w:val="007B76C3"/>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1">
    <w:name w:val="Light Grid Accent 1"/>
    <w:basedOn w:val="TableNormal"/>
    <w:uiPriority w:val="62"/>
    <w:rsid w:val="007B76C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List1-Accent1">
    <w:name w:val="Medium List 1 Accent 1"/>
    <w:basedOn w:val="TableNormal"/>
    <w:uiPriority w:val="65"/>
    <w:rsid w:val="007B76C3"/>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Grid1-Accent1">
    <w:name w:val="Medium Grid 1 Accent 1"/>
    <w:basedOn w:val="TableNormal"/>
    <w:uiPriority w:val="67"/>
    <w:rsid w:val="007B76C3"/>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EndNoteBibliographyTitle">
    <w:name w:val="EndNote Bibliography Title"/>
    <w:basedOn w:val="Normal"/>
    <w:rsid w:val="00AA4B57"/>
    <w:pPr>
      <w:jc w:val="center"/>
    </w:pPr>
    <w:rPr>
      <w:rFonts w:ascii="Arial" w:hAnsi="Arial" w:cs="Arial"/>
      <w:lang w:val="en-US"/>
    </w:rPr>
  </w:style>
  <w:style w:type="paragraph" w:customStyle="1" w:styleId="EndNoteBibliography">
    <w:name w:val="EndNote Bibliography"/>
    <w:basedOn w:val="Normal"/>
    <w:rsid w:val="00AA4B57"/>
    <w:pPr>
      <w:spacing w:line="360" w:lineRule="auto"/>
      <w:jc w:val="center"/>
    </w:pPr>
    <w:rPr>
      <w:rFonts w:ascii="Arial" w:hAnsi="Arial" w:cs="Arial"/>
      <w:lang w:val="en-US"/>
    </w:rPr>
  </w:style>
  <w:style w:type="paragraph" w:styleId="TOC4">
    <w:name w:val="toc 4"/>
    <w:basedOn w:val="Normal"/>
    <w:next w:val="Normal"/>
    <w:autoRedefine/>
    <w:uiPriority w:val="39"/>
    <w:semiHidden/>
    <w:unhideWhenUsed/>
    <w:rsid w:val="00844B83"/>
    <w:pPr>
      <w:pBdr>
        <w:between w:val="double" w:sz="6" w:space="0" w:color="auto"/>
      </w:pBdr>
      <w:ind w:left="480"/>
    </w:pPr>
    <w:rPr>
      <w:rFonts w:asciiTheme="minorHAnsi" w:hAnsiTheme="minorHAnsi"/>
      <w:sz w:val="20"/>
      <w:szCs w:val="20"/>
    </w:rPr>
  </w:style>
  <w:style w:type="paragraph" w:styleId="TOC5">
    <w:name w:val="toc 5"/>
    <w:basedOn w:val="Normal"/>
    <w:next w:val="Normal"/>
    <w:autoRedefine/>
    <w:uiPriority w:val="39"/>
    <w:semiHidden/>
    <w:unhideWhenUsed/>
    <w:rsid w:val="00844B83"/>
    <w:pPr>
      <w:pBdr>
        <w:between w:val="double" w:sz="6" w:space="0" w:color="auto"/>
      </w:pBdr>
      <w:ind w:left="720"/>
    </w:pPr>
    <w:rPr>
      <w:rFonts w:asciiTheme="minorHAnsi" w:hAnsiTheme="minorHAnsi"/>
      <w:sz w:val="20"/>
      <w:szCs w:val="20"/>
    </w:rPr>
  </w:style>
  <w:style w:type="paragraph" w:styleId="TOC6">
    <w:name w:val="toc 6"/>
    <w:basedOn w:val="Normal"/>
    <w:next w:val="Normal"/>
    <w:autoRedefine/>
    <w:uiPriority w:val="39"/>
    <w:semiHidden/>
    <w:unhideWhenUsed/>
    <w:rsid w:val="00844B83"/>
    <w:pPr>
      <w:pBdr>
        <w:between w:val="double" w:sz="6" w:space="0" w:color="auto"/>
      </w:pBdr>
      <w:ind w:left="960"/>
    </w:pPr>
    <w:rPr>
      <w:rFonts w:asciiTheme="minorHAnsi" w:hAnsiTheme="minorHAnsi"/>
      <w:sz w:val="20"/>
      <w:szCs w:val="20"/>
    </w:rPr>
  </w:style>
  <w:style w:type="paragraph" w:styleId="TOC7">
    <w:name w:val="toc 7"/>
    <w:basedOn w:val="Normal"/>
    <w:next w:val="Normal"/>
    <w:autoRedefine/>
    <w:uiPriority w:val="39"/>
    <w:semiHidden/>
    <w:unhideWhenUsed/>
    <w:rsid w:val="00844B83"/>
    <w:pPr>
      <w:pBdr>
        <w:between w:val="double" w:sz="6" w:space="0" w:color="auto"/>
      </w:pBdr>
      <w:ind w:left="1200"/>
    </w:pPr>
    <w:rPr>
      <w:rFonts w:asciiTheme="minorHAnsi" w:hAnsiTheme="minorHAnsi"/>
      <w:sz w:val="20"/>
      <w:szCs w:val="20"/>
    </w:rPr>
  </w:style>
  <w:style w:type="paragraph" w:styleId="TOC8">
    <w:name w:val="toc 8"/>
    <w:basedOn w:val="Normal"/>
    <w:next w:val="Normal"/>
    <w:autoRedefine/>
    <w:uiPriority w:val="39"/>
    <w:semiHidden/>
    <w:unhideWhenUsed/>
    <w:rsid w:val="00844B83"/>
    <w:pPr>
      <w:pBdr>
        <w:between w:val="double" w:sz="6" w:space="0" w:color="auto"/>
      </w:pBdr>
      <w:ind w:left="1440"/>
    </w:pPr>
    <w:rPr>
      <w:rFonts w:asciiTheme="minorHAnsi" w:hAnsiTheme="minorHAnsi"/>
      <w:sz w:val="20"/>
      <w:szCs w:val="20"/>
    </w:rPr>
  </w:style>
  <w:style w:type="paragraph" w:styleId="TOC9">
    <w:name w:val="toc 9"/>
    <w:basedOn w:val="Normal"/>
    <w:next w:val="Normal"/>
    <w:autoRedefine/>
    <w:uiPriority w:val="39"/>
    <w:semiHidden/>
    <w:unhideWhenUsed/>
    <w:rsid w:val="00844B83"/>
    <w:pPr>
      <w:pBdr>
        <w:between w:val="double" w:sz="6" w:space="0" w:color="auto"/>
      </w:pBdr>
      <w:ind w:left="1680"/>
    </w:pPr>
    <w:rPr>
      <w:rFonts w:asciiTheme="minorHAnsi" w:hAnsiTheme="minorHAnsi"/>
      <w:sz w:val="20"/>
      <w:szCs w:val="20"/>
    </w:rPr>
  </w:style>
  <w:style w:type="paragraph" w:styleId="TableofFigures">
    <w:name w:val="table of figures"/>
    <w:basedOn w:val="Normal"/>
    <w:next w:val="Normal"/>
    <w:uiPriority w:val="99"/>
    <w:unhideWhenUsed/>
    <w:rsid w:val="00812B23"/>
    <w:pPr>
      <w:ind w:left="480" w:hanging="480"/>
    </w:pPr>
  </w:style>
  <w:style w:type="table" w:styleId="LightList-Accent1">
    <w:name w:val="Light List Accent 1"/>
    <w:basedOn w:val="TableNormal"/>
    <w:uiPriority w:val="61"/>
    <w:rsid w:val="0061193F"/>
    <w:rPr>
      <w:lang w:val="en-GB" w:eastAsia="ja-JP"/>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1">
    <w:name w:val="Medium Shading 1 Accent 1"/>
    <w:basedOn w:val="TableNormal"/>
    <w:uiPriority w:val="63"/>
    <w:rsid w:val="0061193F"/>
    <w:rPr>
      <w:lang w:val="en-GB" w:eastAsia="ja-JP"/>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Shading-Accent5">
    <w:name w:val="Light Shading Accent 5"/>
    <w:basedOn w:val="TableNormal"/>
    <w:uiPriority w:val="60"/>
    <w:rsid w:val="0061193F"/>
    <w:rPr>
      <w:color w:val="31849B" w:themeColor="accent5" w:themeShade="BF"/>
      <w:lang w:val="en-GB" w:eastAsia="ja-JP"/>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CommentReference">
    <w:name w:val="annotation reference"/>
    <w:basedOn w:val="DefaultParagraphFont"/>
    <w:uiPriority w:val="99"/>
    <w:semiHidden/>
    <w:unhideWhenUsed/>
    <w:rsid w:val="0061193F"/>
    <w:rPr>
      <w:sz w:val="18"/>
      <w:szCs w:val="18"/>
    </w:rPr>
  </w:style>
  <w:style w:type="paragraph" w:styleId="CommentText">
    <w:name w:val="annotation text"/>
    <w:basedOn w:val="Normal"/>
    <w:link w:val="CommentTextChar"/>
    <w:uiPriority w:val="99"/>
    <w:semiHidden/>
    <w:unhideWhenUsed/>
    <w:rsid w:val="0061193F"/>
    <w:rPr>
      <w:rFonts w:asciiTheme="minorHAnsi" w:eastAsiaTheme="minorEastAsia" w:hAnsiTheme="minorHAnsi" w:cstheme="minorBidi"/>
      <w:lang w:eastAsia="ja-JP"/>
    </w:rPr>
  </w:style>
  <w:style w:type="character" w:customStyle="1" w:styleId="CommentTextChar">
    <w:name w:val="Comment Text Char"/>
    <w:basedOn w:val="DefaultParagraphFont"/>
    <w:link w:val="CommentText"/>
    <w:uiPriority w:val="99"/>
    <w:semiHidden/>
    <w:rsid w:val="0061193F"/>
    <w:rPr>
      <w:lang w:val="en-GB" w:eastAsia="ja-JP"/>
    </w:rPr>
  </w:style>
  <w:style w:type="paragraph" w:styleId="CommentSubject">
    <w:name w:val="annotation subject"/>
    <w:basedOn w:val="CommentText"/>
    <w:next w:val="CommentText"/>
    <w:link w:val="CommentSubjectChar"/>
    <w:uiPriority w:val="99"/>
    <w:semiHidden/>
    <w:unhideWhenUsed/>
    <w:rsid w:val="0061193F"/>
    <w:rPr>
      <w:b/>
      <w:bCs/>
      <w:sz w:val="20"/>
      <w:szCs w:val="20"/>
    </w:rPr>
  </w:style>
  <w:style w:type="character" w:customStyle="1" w:styleId="CommentSubjectChar">
    <w:name w:val="Comment Subject Char"/>
    <w:basedOn w:val="CommentTextChar"/>
    <w:link w:val="CommentSubject"/>
    <w:uiPriority w:val="99"/>
    <w:semiHidden/>
    <w:rsid w:val="0061193F"/>
    <w:rPr>
      <w:b/>
      <w:bCs/>
      <w:sz w:val="20"/>
      <w:szCs w:val="20"/>
      <w:lang w:val="en-GB" w:eastAsia="ja-JP"/>
    </w:rPr>
  </w:style>
  <w:style w:type="character" w:styleId="PlaceholderText">
    <w:name w:val="Placeholder Text"/>
    <w:basedOn w:val="DefaultParagraphFont"/>
    <w:uiPriority w:val="99"/>
    <w:semiHidden/>
    <w:rsid w:val="00906807"/>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450B"/>
    <w:rPr>
      <w:rFonts w:ascii="Times New Roman" w:eastAsia="Times New Roman" w:hAnsi="Times New Roman" w:cs="Times New Roman"/>
      <w:lang w:val="en-GB"/>
    </w:rPr>
  </w:style>
  <w:style w:type="paragraph" w:styleId="Heading1">
    <w:name w:val="heading 1"/>
    <w:basedOn w:val="Normal"/>
    <w:next w:val="Normal"/>
    <w:link w:val="Heading1Char"/>
    <w:autoRedefine/>
    <w:uiPriority w:val="9"/>
    <w:qFormat/>
    <w:rsid w:val="00204988"/>
    <w:pPr>
      <w:keepNext/>
      <w:keepLines/>
      <w:tabs>
        <w:tab w:val="left" w:pos="1701"/>
      </w:tabs>
      <w:spacing w:before="480" w:line="360" w:lineRule="auto"/>
      <w:jc w:val="center"/>
      <w:outlineLvl w:val="0"/>
    </w:pPr>
    <w:rPr>
      <w:rFonts w:ascii="Arial" w:eastAsiaTheme="majorEastAsia" w:hAnsi="Arial" w:cs="Arial"/>
      <w:b/>
      <w:bCs/>
      <w:noProof/>
      <w:sz w:val="36"/>
      <w:szCs w:val="36"/>
    </w:rPr>
  </w:style>
  <w:style w:type="paragraph" w:styleId="Heading2">
    <w:name w:val="heading 2"/>
    <w:basedOn w:val="Normal"/>
    <w:next w:val="Normal"/>
    <w:link w:val="Heading2Char"/>
    <w:autoRedefine/>
    <w:unhideWhenUsed/>
    <w:qFormat/>
    <w:rsid w:val="00D40E59"/>
    <w:pPr>
      <w:keepNext/>
      <w:keepLines/>
      <w:spacing w:before="200" w:line="480" w:lineRule="auto"/>
      <w:jc w:val="both"/>
      <w:outlineLvl w:val="1"/>
    </w:pPr>
    <w:rPr>
      <w:rFonts w:ascii="Arial" w:hAnsi="Arial" w:cs="Arial"/>
      <w:b/>
      <w:bCs/>
      <w:noProof/>
      <w:color w:val="000000" w:themeColor="text1"/>
    </w:rPr>
  </w:style>
  <w:style w:type="paragraph" w:styleId="Heading3">
    <w:name w:val="heading 3"/>
    <w:basedOn w:val="Normal"/>
    <w:next w:val="Normal"/>
    <w:link w:val="Heading3Char"/>
    <w:unhideWhenUsed/>
    <w:qFormat/>
    <w:rsid w:val="007B76C3"/>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4988"/>
    <w:rPr>
      <w:rFonts w:ascii="Arial" w:eastAsiaTheme="majorEastAsia" w:hAnsi="Arial" w:cs="Arial"/>
      <w:b/>
      <w:bCs/>
      <w:noProof/>
      <w:sz w:val="36"/>
      <w:szCs w:val="36"/>
      <w:lang w:val="en-GB"/>
    </w:rPr>
  </w:style>
  <w:style w:type="character" w:customStyle="1" w:styleId="Heading2Char">
    <w:name w:val="Heading 2 Char"/>
    <w:basedOn w:val="DefaultParagraphFont"/>
    <w:link w:val="Heading2"/>
    <w:rsid w:val="00D40E59"/>
    <w:rPr>
      <w:rFonts w:ascii="Arial" w:eastAsia="Times New Roman" w:hAnsi="Arial" w:cs="Arial"/>
      <w:b/>
      <w:bCs/>
      <w:noProof/>
      <w:color w:val="000000" w:themeColor="text1"/>
      <w:lang w:val="en-GB"/>
    </w:rPr>
  </w:style>
  <w:style w:type="character" w:customStyle="1" w:styleId="Heading3Char">
    <w:name w:val="Heading 3 Char"/>
    <w:basedOn w:val="DefaultParagraphFont"/>
    <w:link w:val="Heading3"/>
    <w:rsid w:val="007B76C3"/>
    <w:rPr>
      <w:rFonts w:asciiTheme="majorHAnsi" w:eastAsiaTheme="majorEastAsia" w:hAnsiTheme="majorHAnsi" w:cstheme="majorBidi"/>
      <w:b/>
      <w:bCs/>
      <w:color w:val="4F81BD" w:themeColor="accent1"/>
      <w:lang w:val="en-GB"/>
    </w:rPr>
  </w:style>
  <w:style w:type="paragraph" w:styleId="BalloonText">
    <w:name w:val="Balloon Text"/>
    <w:basedOn w:val="Normal"/>
    <w:link w:val="BalloonTextChar"/>
    <w:uiPriority w:val="99"/>
    <w:semiHidden/>
    <w:unhideWhenUsed/>
    <w:rsid w:val="000B52F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B52FC"/>
    <w:rPr>
      <w:rFonts w:ascii="Lucida Grande" w:eastAsia="Times New Roman" w:hAnsi="Lucida Grande" w:cs="Lucida Grande"/>
      <w:sz w:val="18"/>
      <w:szCs w:val="18"/>
      <w:lang w:val="en-GB"/>
    </w:rPr>
  </w:style>
  <w:style w:type="paragraph" w:styleId="BodyText">
    <w:name w:val="Body Text"/>
    <w:basedOn w:val="Normal"/>
    <w:link w:val="BodyTextChar"/>
    <w:rsid w:val="00F929CF"/>
    <w:pPr>
      <w:ind w:right="-334"/>
    </w:pPr>
    <w:rPr>
      <w:rFonts w:ascii="Arial" w:hAnsi="Arial" w:cs="Arial"/>
    </w:rPr>
  </w:style>
  <w:style w:type="character" w:customStyle="1" w:styleId="BodyTextChar">
    <w:name w:val="Body Text Char"/>
    <w:basedOn w:val="DefaultParagraphFont"/>
    <w:link w:val="BodyText"/>
    <w:rsid w:val="00F929CF"/>
    <w:rPr>
      <w:rFonts w:ascii="Arial" w:eastAsia="Times New Roman" w:hAnsi="Arial" w:cs="Arial"/>
      <w:lang w:val="en-GB"/>
    </w:rPr>
  </w:style>
  <w:style w:type="paragraph" w:styleId="ListParagraph">
    <w:name w:val="List Paragraph"/>
    <w:basedOn w:val="Normal"/>
    <w:uiPriority w:val="99"/>
    <w:qFormat/>
    <w:rsid w:val="00E32113"/>
    <w:pPr>
      <w:ind w:left="720"/>
      <w:contextualSpacing/>
    </w:pPr>
    <w:rPr>
      <w:lang w:val="en-US"/>
    </w:rPr>
  </w:style>
  <w:style w:type="paragraph" w:customStyle="1" w:styleId="Default">
    <w:name w:val="Default"/>
    <w:rsid w:val="0022406D"/>
    <w:pPr>
      <w:widowControl w:val="0"/>
      <w:autoSpaceDE w:val="0"/>
      <w:autoSpaceDN w:val="0"/>
      <w:adjustRightInd w:val="0"/>
    </w:pPr>
    <w:rPr>
      <w:rFonts w:ascii="TUOS Stephenson" w:eastAsia="Times New Roman" w:hAnsi="TUOS Stephenson" w:cs="TUOS Stephenson"/>
      <w:color w:val="000000"/>
      <w:lang w:val="en-GB" w:eastAsia="en-GB"/>
    </w:rPr>
  </w:style>
  <w:style w:type="paragraph" w:styleId="TOCHeading">
    <w:name w:val="TOC Heading"/>
    <w:basedOn w:val="Heading1"/>
    <w:next w:val="Normal"/>
    <w:uiPriority w:val="39"/>
    <w:unhideWhenUsed/>
    <w:qFormat/>
    <w:rsid w:val="000F1EC0"/>
    <w:pPr>
      <w:spacing w:line="276" w:lineRule="auto"/>
      <w:outlineLvl w:val="9"/>
    </w:pPr>
    <w:rPr>
      <w:color w:val="365F91" w:themeColor="accent1" w:themeShade="BF"/>
      <w:sz w:val="28"/>
      <w:szCs w:val="28"/>
      <w:lang w:val="en-US"/>
    </w:rPr>
  </w:style>
  <w:style w:type="paragraph" w:styleId="TOC1">
    <w:name w:val="toc 1"/>
    <w:basedOn w:val="Normal"/>
    <w:next w:val="Normal"/>
    <w:autoRedefine/>
    <w:uiPriority w:val="39"/>
    <w:rsid w:val="00EC5E23"/>
    <w:pPr>
      <w:tabs>
        <w:tab w:val="right" w:leader="dot" w:pos="9622"/>
      </w:tabs>
      <w:spacing w:before="120" w:line="480" w:lineRule="auto"/>
      <w:jc w:val="both"/>
    </w:pPr>
    <w:rPr>
      <w:rFonts w:ascii="Arial" w:hAnsi="Arial" w:cs="Arial"/>
      <w:b/>
      <w:noProof/>
      <w:color w:val="1F497D" w:themeColor="text2"/>
    </w:rPr>
  </w:style>
  <w:style w:type="paragraph" w:styleId="TOC2">
    <w:name w:val="toc 2"/>
    <w:basedOn w:val="Normal"/>
    <w:next w:val="Normal"/>
    <w:autoRedefine/>
    <w:uiPriority w:val="39"/>
    <w:rsid w:val="0013320D"/>
    <w:pPr>
      <w:tabs>
        <w:tab w:val="right" w:leader="dot" w:pos="9622"/>
      </w:tabs>
      <w:jc w:val="both"/>
    </w:pPr>
    <w:rPr>
      <w:rFonts w:asciiTheme="minorHAnsi" w:hAnsiTheme="minorHAnsi"/>
      <w:sz w:val="22"/>
      <w:szCs w:val="22"/>
    </w:rPr>
  </w:style>
  <w:style w:type="paragraph" w:styleId="TOC3">
    <w:name w:val="toc 3"/>
    <w:basedOn w:val="Normal"/>
    <w:next w:val="Normal"/>
    <w:autoRedefine/>
    <w:uiPriority w:val="39"/>
    <w:rsid w:val="000F1EC0"/>
    <w:pPr>
      <w:ind w:left="240"/>
    </w:pPr>
    <w:rPr>
      <w:rFonts w:asciiTheme="minorHAnsi" w:hAnsiTheme="minorHAnsi"/>
      <w:i/>
      <w:sz w:val="22"/>
      <w:szCs w:val="22"/>
    </w:rPr>
  </w:style>
  <w:style w:type="paragraph" w:styleId="Footer">
    <w:name w:val="footer"/>
    <w:basedOn w:val="Normal"/>
    <w:link w:val="FooterChar"/>
    <w:uiPriority w:val="99"/>
    <w:unhideWhenUsed/>
    <w:rsid w:val="007B76C3"/>
    <w:pPr>
      <w:tabs>
        <w:tab w:val="center" w:pos="4320"/>
        <w:tab w:val="right" w:pos="8640"/>
      </w:tabs>
    </w:pPr>
    <w:rPr>
      <w:rFonts w:asciiTheme="minorHAnsi" w:eastAsiaTheme="minorEastAsia" w:hAnsiTheme="minorHAnsi" w:cstheme="minorBidi"/>
      <w:lang w:val="en-US"/>
    </w:rPr>
  </w:style>
  <w:style w:type="character" w:customStyle="1" w:styleId="FooterChar">
    <w:name w:val="Footer Char"/>
    <w:basedOn w:val="DefaultParagraphFont"/>
    <w:link w:val="Footer"/>
    <w:uiPriority w:val="99"/>
    <w:rsid w:val="007B76C3"/>
  </w:style>
  <w:style w:type="character" w:styleId="PageNumber">
    <w:name w:val="page number"/>
    <w:basedOn w:val="DefaultParagraphFont"/>
    <w:uiPriority w:val="99"/>
    <w:semiHidden/>
    <w:unhideWhenUsed/>
    <w:rsid w:val="007B76C3"/>
  </w:style>
  <w:style w:type="paragraph" w:styleId="Caption">
    <w:name w:val="caption"/>
    <w:basedOn w:val="Normal"/>
    <w:next w:val="Normal"/>
    <w:unhideWhenUsed/>
    <w:qFormat/>
    <w:rsid w:val="007B76C3"/>
    <w:pPr>
      <w:spacing w:after="200"/>
    </w:pPr>
    <w:rPr>
      <w:b/>
      <w:bCs/>
      <w:color w:val="4F81BD" w:themeColor="accent1"/>
      <w:sz w:val="18"/>
      <w:szCs w:val="18"/>
    </w:rPr>
  </w:style>
  <w:style w:type="paragraph" w:styleId="NormalWeb">
    <w:name w:val="Normal (Web)"/>
    <w:basedOn w:val="Normal"/>
    <w:uiPriority w:val="99"/>
    <w:unhideWhenUsed/>
    <w:rsid w:val="007B76C3"/>
    <w:pPr>
      <w:spacing w:before="100" w:beforeAutospacing="1" w:after="100" w:afterAutospacing="1"/>
    </w:pPr>
    <w:rPr>
      <w:rFonts w:ascii="Times" w:eastAsiaTheme="minorEastAsia" w:hAnsi="Times"/>
      <w:sz w:val="20"/>
      <w:szCs w:val="20"/>
    </w:rPr>
  </w:style>
  <w:style w:type="character" w:customStyle="1" w:styleId="apple-converted-space">
    <w:name w:val="apple-converted-space"/>
    <w:basedOn w:val="DefaultParagraphFont"/>
    <w:rsid w:val="007B76C3"/>
  </w:style>
  <w:style w:type="character" w:styleId="Hyperlink">
    <w:name w:val="Hyperlink"/>
    <w:basedOn w:val="DefaultParagraphFont"/>
    <w:uiPriority w:val="99"/>
    <w:unhideWhenUsed/>
    <w:rsid w:val="007B76C3"/>
    <w:rPr>
      <w:color w:val="0000FF" w:themeColor="hyperlink"/>
      <w:u w:val="single"/>
    </w:rPr>
  </w:style>
  <w:style w:type="character" w:styleId="FollowedHyperlink">
    <w:name w:val="FollowedHyperlink"/>
    <w:basedOn w:val="DefaultParagraphFont"/>
    <w:uiPriority w:val="99"/>
    <w:semiHidden/>
    <w:unhideWhenUsed/>
    <w:rsid w:val="007B76C3"/>
    <w:rPr>
      <w:color w:val="800080" w:themeColor="followedHyperlink"/>
      <w:u w:val="single"/>
    </w:rPr>
  </w:style>
  <w:style w:type="paragraph" w:styleId="Header">
    <w:name w:val="header"/>
    <w:basedOn w:val="Normal"/>
    <w:link w:val="HeaderChar"/>
    <w:uiPriority w:val="99"/>
    <w:unhideWhenUsed/>
    <w:rsid w:val="007B76C3"/>
    <w:pPr>
      <w:tabs>
        <w:tab w:val="center" w:pos="4320"/>
        <w:tab w:val="right" w:pos="8640"/>
      </w:tabs>
    </w:pPr>
    <w:rPr>
      <w:rFonts w:asciiTheme="minorHAnsi" w:eastAsiaTheme="minorEastAsia" w:hAnsiTheme="minorHAnsi" w:cstheme="minorBidi"/>
      <w:lang w:val="en-US"/>
    </w:rPr>
  </w:style>
  <w:style w:type="character" w:customStyle="1" w:styleId="HeaderChar">
    <w:name w:val="Header Char"/>
    <w:basedOn w:val="DefaultParagraphFont"/>
    <w:link w:val="Header"/>
    <w:uiPriority w:val="99"/>
    <w:rsid w:val="007B76C3"/>
  </w:style>
  <w:style w:type="paragraph" w:styleId="FootnoteText">
    <w:name w:val="footnote text"/>
    <w:basedOn w:val="Normal"/>
    <w:link w:val="FootnoteTextChar"/>
    <w:rsid w:val="007B76C3"/>
  </w:style>
  <w:style w:type="character" w:customStyle="1" w:styleId="FootnoteTextChar">
    <w:name w:val="Footnote Text Char"/>
    <w:basedOn w:val="DefaultParagraphFont"/>
    <w:link w:val="FootnoteText"/>
    <w:rsid w:val="007B76C3"/>
    <w:rPr>
      <w:rFonts w:ascii="Times New Roman" w:eastAsia="Times New Roman" w:hAnsi="Times New Roman" w:cs="Times New Roman"/>
      <w:lang w:val="en-GB"/>
    </w:rPr>
  </w:style>
  <w:style w:type="character" w:styleId="FootnoteReference">
    <w:name w:val="footnote reference"/>
    <w:basedOn w:val="DefaultParagraphFont"/>
    <w:rsid w:val="007B76C3"/>
    <w:rPr>
      <w:vertAlign w:val="superscript"/>
    </w:rPr>
  </w:style>
  <w:style w:type="table" w:styleId="TableGrid">
    <w:name w:val="Table Grid"/>
    <w:basedOn w:val="TableNormal"/>
    <w:uiPriority w:val="59"/>
    <w:rsid w:val="007B76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1">
    <w:name w:val="Light Shading Accent 1"/>
    <w:basedOn w:val="TableNormal"/>
    <w:uiPriority w:val="60"/>
    <w:rsid w:val="007B76C3"/>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Grid-Accent1">
    <w:name w:val="Light Grid Accent 1"/>
    <w:basedOn w:val="TableNormal"/>
    <w:uiPriority w:val="62"/>
    <w:rsid w:val="007B76C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List1-Accent1">
    <w:name w:val="Medium List 1 Accent 1"/>
    <w:basedOn w:val="TableNormal"/>
    <w:uiPriority w:val="65"/>
    <w:rsid w:val="007B76C3"/>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Grid1-Accent1">
    <w:name w:val="Medium Grid 1 Accent 1"/>
    <w:basedOn w:val="TableNormal"/>
    <w:uiPriority w:val="67"/>
    <w:rsid w:val="007B76C3"/>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EndNoteBibliographyTitle">
    <w:name w:val="EndNote Bibliography Title"/>
    <w:basedOn w:val="Normal"/>
    <w:rsid w:val="00AA4B57"/>
    <w:pPr>
      <w:jc w:val="center"/>
    </w:pPr>
    <w:rPr>
      <w:rFonts w:ascii="Arial" w:hAnsi="Arial" w:cs="Arial"/>
      <w:lang w:val="en-US"/>
    </w:rPr>
  </w:style>
  <w:style w:type="paragraph" w:customStyle="1" w:styleId="EndNoteBibliography">
    <w:name w:val="EndNote Bibliography"/>
    <w:basedOn w:val="Normal"/>
    <w:rsid w:val="00AA4B57"/>
    <w:pPr>
      <w:spacing w:line="360" w:lineRule="auto"/>
      <w:jc w:val="center"/>
    </w:pPr>
    <w:rPr>
      <w:rFonts w:ascii="Arial" w:hAnsi="Arial" w:cs="Arial"/>
      <w:lang w:val="en-US"/>
    </w:rPr>
  </w:style>
  <w:style w:type="paragraph" w:styleId="TOC4">
    <w:name w:val="toc 4"/>
    <w:basedOn w:val="Normal"/>
    <w:next w:val="Normal"/>
    <w:autoRedefine/>
    <w:uiPriority w:val="39"/>
    <w:semiHidden/>
    <w:unhideWhenUsed/>
    <w:rsid w:val="00844B83"/>
    <w:pPr>
      <w:pBdr>
        <w:between w:val="double" w:sz="6" w:space="0" w:color="auto"/>
      </w:pBdr>
      <w:ind w:left="480"/>
    </w:pPr>
    <w:rPr>
      <w:rFonts w:asciiTheme="minorHAnsi" w:hAnsiTheme="minorHAnsi"/>
      <w:sz w:val="20"/>
      <w:szCs w:val="20"/>
    </w:rPr>
  </w:style>
  <w:style w:type="paragraph" w:styleId="TOC5">
    <w:name w:val="toc 5"/>
    <w:basedOn w:val="Normal"/>
    <w:next w:val="Normal"/>
    <w:autoRedefine/>
    <w:uiPriority w:val="39"/>
    <w:semiHidden/>
    <w:unhideWhenUsed/>
    <w:rsid w:val="00844B83"/>
    <w:pPr>
      <w:pBdr>
        <w:between w:val="double" w:sz="6" w:space="0" w:color="auto"/>
      </w:pBdr>
      <w:ind w:left="720"/>
    </w:pPr>
    <w:rPr>
      <w:rFonts w:asciiTheme="minorHAnsi" w:hAnsiTheme="minorHAnsi"/>
      <w:sz w:val="20"/>
      <w:szCs w:val="20"/>
    </w:rPr>
  </w:style>
  <w:style w:type="paragraph" w:styleId="TOC6">
    <w:name w:val="toc 6"/>
    <w:basedOn w:val="Normal"/>
    <w:next w:val="Normal"/>
    <w:autoRedefine/>
    <w:uiPriority w:val="39"/>
    <w:semiHidden/>
    <w:unhideWhenUsed/>
    <w:rsid w:val="00844B83"/>
    <w:pPr>
      <w:pBdr>
        <w:between w:val="double" w:sz="6" w:space="0" w:color="auto"/>
      </w:pBdr>
      <w:ind w:left="960"/>
    </w:pPr>
    <w:rPr>
      <w:rFonts w:asciiTheme="minorHAnsi" w:hAnsiTheme="minorHAnsi"/>
      <w:sz w:val="20"/>
      <w:szCs w:val="20"/>
    </w:rPr>
  </w:style>
  <w:style w:type="paragraph" w:styleId="TOC7">
    <w:name w:val="toc 7"/>
    <w:basedOn w:val="Normal"/>
    <w:next w:val="Normal"/>
    <w:autoRedefine/>
    <w:uiPriority w:val="39"/>
    <w:semiHidden/>
    <w:unhideWhenUsed/>
    <w:rsid w:val="00844B83"/>
    <w:pPr>
      <w:pBdr>
        <w:between w:val="double" w:sz="6" w:space="0" w:color="auto"/>
      </w:pBdr>
      <w:ind w:left="1200"/>
    </w:pPr>
    <w:rPr>
      <w:rFonts w:asciiTheme="minorHAnsi" w:hAnsiTheme="minorHAnsi"/>
      <w:sz w:val="20"/>
      <w:szCs w:val="20"/>
    </w:rPr>
  </w:style>
  <w:style w:type="paragraph" w:styleId="TOC8">
    <w:name w:val="toc 8"/>
    <w:basedOn w:val="Normal"/>
    <w:next w:val="Normal"/>
    <w:autoRedefine/>
    <w:uiPriority w:val="39"/>
    <w:semiHidden/>
    <w:unhideWhenUsed/>
    <w:rsid w:val="00844B83"/>
    <w:pPr>
      <w:pBdr>
        <w:between w:val="double" w:sz="6" w:space="0" w:color="auto"/>
      </w:pBdr>
      <w:ind w:left="1440"/>
    </w:pPr>
    <w:rPr>
      <w:rFonts w:asciiTheme="minorHAnsi" w:hAnsiTheme="minorHAnsi"/>
      <w:sz w:val="20"/>
      <w:szCs w:val="20"/>
    </w:rPr>
  </w:style>
  <w:style w:type="paragraph" w:styleId="TOC9">
    <w:name w:val="toc 9"/>
    <w:basedOn w:val="Normal"/>
    <w:next w:val="Normal"/>
    <w:autoRedefine/>
    <w:uiPriority w:val="39"/>
    <w:semiHidden/>
    <w:unhideWhenUsed/>
    <w:rsid w:val="00844B83"/>
    <w:pPr>
      <w:pBdr>
        <w:between w:val="double" w:sz="6" w:space="0" w:color="auto"/>
      </w:pBdr>
      <w:ind w:left="1680"/>
    </w:pPr>
    <w:rPr>
      <w:rFonts w:asciiTheme="minorHAnsi" w:hAnsiTheme="minorHAnsi"/>
      <w:sz w:val="20"/>
      <w:szCs w:val="20"/>
    </w:rPr>
  </w:style>
  <w:style w:type="paragraph" w:styleId="TableofFigures">
    <w:name w:val="table of figures"/>
    <w:basedOn w:val="Normal"/>
    <w:next w:val="Normal"/>
    <w:uiPriority w:val="99"/>
    <w:unhideWhenUsed/>
    <w:rsid w:val="00812B23"/>
    <w:pPr>
      <w:ind w:left="480" w:hanging="480"/>
    </w:pPr>
  </w:style>
  <w:style w:type="table" w:styleId="LightList-Accent1">
    <w:name w:val="Light List Accent 1"/>
    <w:basedOn w:val="TableNormal"/>
    <w:uiPriority w:val="61"/>
    <w:rsid w:val="0061193F"/>
    <w:rPr>
      <w:lang w:val="en-GB" w:eastAsia="ja-JP"/>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1">
    <w:name w:val="Medium Shading 1 Accent 1"/>
    <w:basedOn w:val="TableNormal"/>
    <w:uiPriority w:val="63"/>
    <w:rsid w:val="0061193F"/>
    <w:rPr>
      <w:lang w:val="en-GB" w:eastAsia="ja-JP"/>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Shading-Accent5">
    <w:name w:val="Light Shading Accent 5"/>
    <w:basedOn w:val="TableNormal"/>
    <w:uiPriority w:val="60"/>
    <w:rsid w:val="0061193F"/>
    <w:rPr>
      <w:color w:val="31849B" w:themeColor="accent5" w:themeShade="BF"/>
      <w:lang w:val="en-GB" w:eastAsia="ja-JP"/>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CommentReference">
    <w:name w:val="annotation reference"/>
    <w:basedOn w:val="DefaultParagraphFont"/>
    <w:uiPriority w:val="99"/>
    <w:semiHidden/>
    <w:unhideWhenUsed/>
    <w:rsid w:val="0061193F"/>
    <w:rPr>
      <w:sz w:val="18"/>
      <w:szCs w:val="18"/>
    </w:rPr>
  </w:style>
  <w:style w:type="paragraph" w:styleId="CommentText">
    <w:name w:val="annotation text"/>
    <w:basedOn w:val="Normal"/>
    <w:link w:val="CommentTextChar"/>
    <w:uiPriority w:val="99"/>
    <w:semiHidden/>
    <w:unhideWhenUsed/>
    <w:rsid w:val="0061193F"/>
    <w:rPr>
      <w:rFonts w:asciiTheme="minorHAnsi" w:eastAsiaTheme="minorEastAsia" w:hAnsiTheme="minorHAnsi" w:cstheme="minorBidi"/>
      <w:lang w:eastAsia="ja-JP"/>
    </w:rPr>
  </w:style>
  <w:style w:type="character" w:customStyle="1" w:styleId="CommentTextChar">
    <w:name w:val="Comment Text Char"/>
    <w:basedOn w:val="DefaultParagraphFont"/>
    <w:link w:val="CommentText"/>
    <w:uiPriority w:val="99"/>
    <w:semiHidden/>
    <w:rsid w:val="0061193F"/>
    <w:rPr>
      <w:lang w:val="en-GB" w:eastAsia="ja-JP"/>
    </w:rPr>
  </w:style>
  <w:style w:type="paragraph" w:styleId="CommentSubject">
    <w:name w:val="annotation subject"/>
    <w:basedOn w:val="CommentText"/>
    <w:next w:val="CommentText"/>
    <w:link w:val="CommentSubjectChar"/>
    <w:uiPriority w:val="99"/>
    <w:semiHidden/>
    <w:unhideWhenUsed/>
    <w:rsid w:val="0061193F"/>
    <w:rPr>
      <w:b/>
      <w:bCs/>
      <w:sz w:val="20"/>
      <w:szCs w:val="20"/>
    </w:rPr>
  </w:style>
  <w:style w:type="character" w:customStyle="1" w:styleId="CommentSubjectChar">
    <w:name w:val="Comment Subject Char"/>
    <w:basedOn w:val="CommentTextChar"/>
    <w:link w:val="CommentSubject"/>
    <w:uiPriority w:val="99"/>
    <w:semiHidden/>
    <w:rsid w:val="0061193F"/>
    <w:rPr>
      <w:b/>
      <w:bCs/>
      <w:sz w:val="20"/>
      <w:szCs w:val="20"/>
      <w:lang w:val="en-GB" w:eastAsia="ja-JP"/>
    </w:rPr>
  </w:style>
  <w:style w:type="character" w:styleId="PlaceholderText">
    <w:name w:val="Placeholder Text"/>
    <w:basedOn w:val="DefaultParagraphFont"/>
    <w:uiPriority w:val="99"/>
    <w:semiHidden/>
    <w:rsid w:val="0090680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7057915">
      <w:bodyDiv w:val="1"/>
      <w:marLeft w:val="0"/>
      <w:marRight w:val="0"/>
      <w:marTop w:val="0"/>
      <w:marBottom w:val="0"/>
      <w:divBdr>
        <w:top w:val="none" w:sz="0" w:space="0" w:color="auto"/>
        <w:left w:val="none" w:sz="0" w:space="0" w:color="auto"/>
        <w:bottom w:val="none" w:sz="0" w:space="0" w:color="auto"/>
        <w:right w:val="none" w:sz="0" w:space="0" w:color="auto"/>
      </w:divBdr>
    </w:div>
    <w:div w:id="1457485904">
      <w:bodyDiv w:val="1"/>
      <w:marLeft w:val="0"/>
      <w:marRight w:val="0"/>
      <w:marTop w:val="0"/>
      <w:marBottom w:val="0"/>
      <w:divBdr>
        <w:top w:val="none" w:sz="0" w:space="0" w:color="auto"/>
        <w:left w:val="none" w:sz="0" w:space="0" w:color="auto"/>
        <w:bottom w:val="none" w:sz="0" w:space="0" w:color="auto"/>
        <w:right w:val="none" w:sz="0" w:space="0" w:color="auto"/>
      </w:divBdr>
    </w:div>
    <w:div w:id="173011324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15.emf"/><Relationship Id="rId143" Type="http://schemas.openxmlformats.org/officeDocument/2006/relationships/image" Target="media/image116.emf"/><Relationship Id="rId144" Type="http://schemas.openxmlformats.org/officeDocument/2006/relationships/image" Target="media/image117.emf"/><Relationship Id="rId145" Type="http://schemas.openxmlformats.org/officeDocument/2006/relationships/image" Target="media/image118.emf"/><Relationship Id="rId146" Type="http://schemas.openxmlformats.org/officeDocument/2006/relationships/image" Target="media/image119.emf"/><Relationship Id="rId147" Type="http://schemas.openxmlformats.org/officeDocument/2006/relationships/image" Target="media/image120.emf"/><Relationship Id="rId148" Type="http://schemas.openxmlformats.org/officeDocument/2006/relationships/image" Target="media/image121.emf"/><Relationship Id="rId149" Type="http://schemas.openxmlformats.org/officeDocument/2006/relationships/image" Target="media/image122.emf"/><Relationship Id="rId40" Type="http://schemas.openxmlformats.org/officeDocument/2006/relationships/image" Target="media/image19.jpeg"/><Relationship Id="rId41" Type="http://schemas.microsoft.com/office/2007/relationships/hdphoto" Target="media/hdphoto10.wdp"/><Relationship Id="rId42" Type="http://schemas.openxmlformats.org/officeDocument/2006/relationships/image" Target="media/image20.jpeg"/><Relationship Id="rId43" Type="http://schemas.microsoft.com/office/2007/relationships/hdphoto" Target="media/hdphoto11.wdp"/><Relationship Id="rId44" Type="http://schemas.openxmlformats.org/officeDocument/2006/relationships/image" Target="media/image21.jpeg"/><Relationship Id="rId45" Type="http://schemas.microsoft.com/office/2007/relationships/hdphoto" Target="media/hdphoto12.wdp"/><Relationship Id="rId46" Type="http://schemas.openxmlformats.org/officeDocument/2006/relationships/image" Target="media/image22.jpeg"/><Relationship Id="rId47" Type="http://schemas.microsoft.com/office/2007/relationships/hdphoto" Target="media/hdphoto13.wdp"/><Relationship Id="rId48" Type="http://schemas.openxmlformats.org/officeDocument/2006/relationships/image" Target="media/image23.jpeg"/><Relationship Id="rId49" Type="http://schemas.microsoft.com/office/2007/relationships/hdphoto" Target="media/hdphoto14.wdp"/><Relationship Id="rId80" Type="http://schemas.openxmlformats.org/officeDocument/2006/relationships/image" Target="media/image53.emf"/><Relationship Id="rId81" Type="http://schemas.openxmlformats.org/officeDocument/2006/relationships/image" Target="media/image54.emf"/><Relationship Id="rId82" Type="http://schemas.openxmlformats.org/officeDocument/2006/relationships/image" Target="media/image55.emf"/><Relationship Id="rId83" Type="http://schemas.openxmlformats.org/officeDocument/2006/relationships/image" Target="media/image56.emf"/><Relationship Id="rId84" Type="http://schemas.openxmlformats.org/officeDocument/2006/relationships/image" Target="media/image57.emf"/><Relationship Id="rId85" Type="http://schemas.openxmlformats.org/officeDocument/2006/relationships/image" Target="media/image58.emf"/><Relationship Id="rId86" Type="http://schemas.openxmlformats.org/officeDocument/2006/relationships/image" Target="media/image59.emf"/><Relationship Id="rId87" Type="http://schemas.openxmlformats.org/officeDocument/2006/relationships/image" Target="media/image60.emf"/><Relationship Id="rId88" Type="http://schemas.openxmlformats.org/officeDocument/2006/relationships/image" Target="media/image61.emf"/><Relationship Id="rId89" Type="http://schemas.openxmlformats.org/officeDocument/2006/relationships/image" Target="media/image62.emf"/><Relationship Id="rId110" Type="http://schemas.openxmlformats.org/officeDocument/2006/relationships/image" Target="media/image83.emf"/><Relationship Id="rId111" Type="http://schemas.openxmlformats.org/officeDocument/2006/relationships/image" Target="media/image84.emf"/><Relationship Id="rId112" Type="http://schemas.openxmlformats.org/officeDocument/2006/relationships/image" Target="media/image85.emf"/><Relationship Id="rId113" Type="http://schemas.openxmlformats.org/officeDocument/2006/relationships/image" Target="media/image86.emf"/><Relationship Id="rId114" Type="http://schemas.openxmlformats.org/officeDocument/2006/relationships/image" Target="media/image87.emf"/><Relationship Id="rId115" Type="http://schemas.openxmlformats.org/officeDocument/2006/relationships/image" Target="media/image88.emf"/><Relationship Id="rId116" Type="http://schemas.openxmlformats.org/officeDocument/2006/relationships/image" Target="media/image89.emf"/><Relationship Id="rId117" Type="http://schemas.openxmlformats.org/officeDocument/2006/relationships/image" Target="media/image90.emf"/><Relationship Id="rId118" Type="http://schemas.openxmlformats.org/officeDocument/2006/relationships/image" Target="media/image91.emf"/><Relationship Id="rId119" Type="http://schemas.openxmlformats.org/officeDocument/2006/relationships/image" Target="media/image92.emf"/><Relationship Id="rId150" Type="http://schemas.openxmlformats.org/officeDocument/2006/relationships/image" Target="media/image123.emf"/><Relationship Id="rId151" Type="http://schemas.openxmlformats.org/officeDocument/2006/relationships/image" Target="media/image124.emf"/><Relationship Id="rId152" Type="http://schemas.openxmlformats.org/officeDocument/2006/relationships/image" Target="media/image125.png"/><Relationship Id="rId10" Type="http://schemas.openxmlformats.org/officeDocument/2006/relationships/image" Target="media/image3.emf"/><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yperlink" Target="https://link.springer.com/article/10.1007%2Fs00223-017-0267-2" TargetMode="External"/><Relationship Id="rId14" Type="http://schemas.openxmlformats.org/officeDocument/2006/relationships/hyperlink" Target="http://www.asbmr.org/education/AbstractDetail?aid=e8a4f159-c00a-4661-8a89-81e840340f4f" TargetMode="External"/><Relationship Id="rId15" Type="http://schemas.openxmlformats.org/officeDocument/2006/relationships/image" Target="media/image4.jpeg"/><Relationship Id="rId16" Type="http://schemas.microsoft.com/office/2007/relationships/hdphoto" Target="media/hdphoto1.wdp"/><Relationship Id="rId17" Type="http://schemas.openxmlformats.org/officeDocument/2006/relationships/image" Target="media/image5.emf"/><Relationship Id="rId18" Type="http://schemas.openxmlformats.org/officeDocument/2006/relationships/image" Target="media/image6.emf"/><Relationship Id="rId19" Type="http://schemas.openxmlformats.org/officeDocument/2006/relationships/image" Target="media/image7.jpeg"/><Relationship Id="rId153" Type="http://schemas.microsoft.com/office/2007/relationships/hdphoto" Target="media/hdphoto16.wdp"/><Relationship Id="rId154" Type="http://schemas.openxmlformats.org/officeDocument/2006/relationships/hyperlink" Target="http://www.iofbonehealth.org/" TargetMode="External"/><Relationship Id="rId155" Type="http://schemas.openxmlformats.org/officeDocument/2006/relationships/hyperlink" Target="https://www.nc3rs.org.uk" TargetMode="External"/><Relationship Id="rId156" Type="http://schemas.openxmlformats.org/officeDocument/2006/relationships/hyperlink" Target="http://www.osteo.org" TargetMode="External"/><Relationship Id="rId157" Type="http://schemas.openxmlformats.org/officeDocument/2006/relationships/hyperlink" Target="https://nos.org.uk" TargetMode="External"/><Relationship Id="rId158" Type="http://schemas.openxmlformats.org/officeDocument/2006/relationships/fontTable" Target="fontTable.xml"/><Relationship Id="rId159" Type="http://schemas.openxmlformats.org/officeDocument/2006/relationships/theme" Target="theme/theme1.xml"/><Relationship Id="rId50" Type="http://schemas.openxmlformats.org/officeDocument/2006/relationships/image" Target="media/image24.emf"/><Relationship Id="rId51" Type="http://schemas.openxmlformats.org/officeDocument/2006/relationships/image" Target="media/image25.emf"/><Relationship Id="rId52" Type="http://schemas.openxmlformats.org/officeDocument/2006/relationships/image" Target="media/image26.jpeg"/><Relationship Id="rId53" Type="http://schemas.microsoft.com/office/2007/relationships/hdphoto" Target="media/hdphoto15.wdp"/><Relationship Id="rId54" Type="http://schemas.openxmlformats.org/officeDocument/2006/relationships/image" Target="media/image27.emf"/><Relationship Id="rId55" Type="http://schemas.openxmlformats.org/officeDocument/2006/relationships/image" Target="media/image28.emf"/><Relationship Id="rId56" Type="http://schemas.openxmlformats.org/officeDocument/2006/relationships/image" Target="media/image29.emf"/><Relationship Id="rId57" Type="http://schemas.openxmlformats.org/officeDocument/2006/relationships/image" Target="media/image30.emf"/><Relationship Id="rId58" Type="http://schemas.openxmlformats.org/officeDocument/2006/relationships/image" Target="media/image31.emf"/><Relationship Id="rId59" Type="http://schemas.openxmlformats.org/officeDocument/2006/relationships/image" Target="media/image32.emf"/><Relationship Id="rId90" Type="http://schemas.openxmlformats.org/officeDocument/2006/relationships/image" Target="media/image63.emf"/><Relationship Id="rId91" Type="http://schemas.openxmlformats.org/officeDocument/2006/relationships/image" Target="media/image64.emf"/><Relationship Id="rId92" Type="http://schemas.openxmlformats.org/officeDocument/2006/relationships/image" Target="media/image65.emf"/><Relationship Id="rId93" Type="http://schemas.openxmlformats.org/officeDocument/2006/relationships/image" Target="media/image66.emf"/><Relationship Id="rId94" Type="http://schemas.openxmlformats.org/officeDocument/2006/relationships/image" Target="media/image67.emf"/><Relationship Id="rId95" Type="http://schemas.openxmlformats.org/officeDocument/2006/relationships/image" Target="media/image68.emf"/><Relationship Id="rId96" Type="http://schemas.openxmlformats.org/officeDocument/2006/relationships/image" Target="media/image69.emf"/><Relationship Id="rId97" Type="http://schemas.openxmlformats.org/officeDocument/2006/relationships/image" Target="media/image70.emf"/><Relationship Id="rId98" Type="http://schemas.openxmlformats.org/officeDocument/2006/relationships/image" Target="media/image71.emf"/><Relationship Id="rId99" Type="http://schemas.openxmlformats.org/officeDocument/2006/relationships/image" Target="media/image72.emf"/><Relationship Id="rId120" Type="http://schemas.openxmlformats.org/officeDocument/2006/relationships/image" Target="media/image93.emf"/><Relationship Id="rId121" Type="http://schemas.openxmlformats.org/officeDocument/2006/relationships/image" Target="media/image94.emf"/><Relationship Id="rId122" Type="http://schemas.openxmlformats.org/officeDocument/2006/relationships/image" Target="media/image95.emf"/><Relationship Id="rId123" Type="http://schemas.openxmlformats.org/officeDocument/2006/relationships/image" Target="media/image96.emf"/><Relationship Id="rId124" Type="http://schemas.openxmlformats.org/officeDocument/2006/relationships/image" Target="media/image97.emf"/><Relationship Id="rId125" Type="http://schemas.openxmlformats.org/officeDocument/2006/relationships/image" Target="media/image98.emf"/><Relationship Id="rId126" Type="http://schemas.openxmlformats.org/officeDocument/2006/relationships/image" Target="media/image99.emf"/><Relationship Id="rId127" Type="http://schemas.openxmlformats.org/officeDocument/2006/relationships/image" Target="media/image100.emf"/><Relationship Id="rId128" Type="http://schemas.openxmlformats.org/officeDocument/2006/relationships/image" Target="media/image101.emf"/><Relationship Id="rId129" Type="http://schemas.openxmlformats.org/officeDocument/2006/relationships/image" Target="media/image102.emf"/><Relationship Id="rId20" Type="http://schemas.microsoft.com/office/2007/relationships/hdphoto" Target="media/hdphoto2.wdp"/><Relationship Id="rId21" Type="http://schemas.openxmlformats.org/officeDocument/2006/relationships/hyperlink" Target="https://www.training.seer.cancer.gov/anatomy/skeletal/tissue.html" TargetMode="External"/><Relationship Id="rId22" Type="http://schemas.openxmlformats.org/officeDocument/2006/relationships/image" Target="media/image8.jpeg"/><Relationship Id="rId23" Type="http://schemas.openxmlformats.org/officeDocument/2006/relationships/image" Target="media/image9.jpeg"/><Relationship Id="rId24" Type="http://schemas.microsoft.com/office/2007/relationships/hdphoto" Target="media/hdphoto3.wdp"/><Relationship Id="rId25" Type="http://schemas.openxmlformats.org/officeDocument/2006/relationships/image" Target="media/image10.emf"/><Relationship Id="rId26" Type="http://schemas.openxmlformats.org/officeDocument/2006/relationships/image" Target="media/image11.jpeg"/><Relationship Id="rId27" Type="http://schemas.microsoft.com/office/2007/relationships/hdphoto" Target="media/hdphoto4.wdp"/><Relationship Id="rId28" Type="http://schemas.openxmlformats.org/officeDocument/2006/relationships/image" Target="media/image12.png"/><Relationship Id="rId29" Type="http://schemas.microsoft.com/office/2007/relationships/hdphoto" Target="media/hdphoto5.wdp"/><Relationship Id="rId60" Type="http://schemas.openxmlformats.org/officeDocument/2006/relationships/image" Target="media/image33.emf"/><Relationship Id="rId61" Type="http://schemas.openxmlformats.org/officeDocument/2006/relationships/image" Target="media/image34.emf"/><Relationship Id="rId62" Type="http://schemas.openxmlformats.org/officeDocument/2006/relationships/image" Target="media/image35.emf"/><Relationship Id="rId63" Type="http://schemas.openxmlformats.org/officeDocument/2006/relationships/image" Target="media/image36.emf"/><Relationship Id="rId64" Type="http://schemas.openxmlformats.org/officeDocument/2006/relationships/image" Target="media/image37.emf"/><Relationship Id="rId65" Type="http://schemas.openxmlformats.org/officeDocument/2006/relationships/image" Target="media/image38.emf"/><Relationship Id="rId66" Type="http://schemas.openxmlformats.org/officeDocument/2006/relationships/image" Target="media/image39.emf"/><Relationship Id="rId67" Type="http://schemas.openxmlformats.org/officeDocument/2006/relationships/image" Target="media/image40.emf"/><Relationship Id="rId68" Type="http://schemas.openxmlformats.org/officeDocument/2006/relationships/image" Target="media/image41.emf"/><Relationship Id="rId69" Type="http://schemas.openxmlformats.org/officeDocument/2006/relationships/image" Target="media/image42.emf"/><Relationship Id="rId130" Type="http://schemas.openxmlformats.org/officeDocument/2006/relationships/image" Target="media/image103.emf"/><Relationship Id="rId131" Type="http://schemas.openxmlformats.org/officeDocument/2006/relationships/image" Target="media/image104.emf"/><Relationship Id="rId132" Type="http://schemas.openxmlformats.org/officeDocument/2006/relationships/image" Target="media/image105.emf"/><Relationship Id="rId133" Type="http://schemas.openxmlformats.org/officeDocument/2006/relationships/image" Target="media/image106.emf"/><Relationship Id="rId134" Type="http://schemas.openxmlformats.org/officeDocument/2006/relationships/image" Target="media/image107.emf"/><Relationship Id="rId135" Type="http://schemas.openxmlformats.org/officeDocument/2006/relationships/image" Target="media/image108.emf"/><Relationship Id="rId136" Type="http://schemas.openxmlformats.org/officeDocument/2006/relationships/image" Target="media/image109.emf"/><Relationship Id="rId137" Type="http://schemas.openxmlformats.org/officeDocument/2006/relationships/image" Target="media/image110.emf"/><Relationship Id="rId138" Type="http://schemas.openxmlformats.org/officeDocument/2006/relationships/image" Target="media/image111.emf"/><Relationship Id="rId139" Type="http://schemas.openxmlformats.org/officeDocument/2006/relationships/image" Target="media/image112.emf"/><Relationship Id="rId30" Type="http://schemas.openxmlformats.org/officeDocument/2006/relationships/image" Target="media/image13.jpeg"/><Relationship Id="rId31" Type="http://schemas.microsoft.com/office/2007/relationships/hdphoto" Target="media/hdphoto6.wdp"/><Relationship Id="rId32" Type="http://schemas.openxmlformats.org/officeDocument/2006/relationships/image" Target="media/image14.jpeg"/><Relationship Id="rId33" Type="http://schemas.microsoft.com/office/2007/relationships/hdphoto" Target="media/hdphoto7.wdp"/><Relationship Id="rId34" Type="http://schemas.openxmlformats.org/officeDocument/2006/relationships/image" Target="media/image15.jpeg"/><Relationship Id="rId35" Type="http://schemas.microsoft.com/office/2007/relationships/hdphoto" Target="media/hdphoto8.wdp"/><Relationship Id="rId36" Type="http://schemas.openxmlformats.org/officeDocument/2006/relationships/image" Target="media/image16.emf"/><Relationship Id="rId37" Type="http://schemas.openxmlformats.org/officeDocument/2006/relationships/image" Target="media/image17.jpeg"/><Relationship Id="rId38" Type="http://schemas.openxmlformats.org/officeDocument/2006/relationships/image" Target="media/image18.jpeg"/><Relationship Id="rId39" Type="http://schemas.microsoft.com/office/2007/relationships/hdphoto" Target="media/hdphoto9.wdp"/><Relationship Id="rId70" Type="http://schemas.openxmlformats.org/officeDocument/2006/relationships/image" Target="media/image43.emf"/><Relationship Id="rId71" Type="http://schemas.openxmlformats.org/officeDocument/2006/relationships/image" Target="media/image44.emf"/><Relationship Id="rId72" Type="http://schemas.openxmlformats.org/officeDocument/2006/relationships/image" Target="media/image45.emf"/><Relationship Id="rId73" Type="http://schemas.openxmlformats.org/officeDocument/2006/relationships/image" Target="media/image46.emf"/><Relationship Id="rId74" Type="http://schemas.openxmlformats.org/officeDocument/2006/relationships/image" Target="media/image47.emf"/><Relationship Id="rId75" Type="http://schemas.openxmlformats.org/officeDocument/2006/relationships/image" Target="media/image48.emf"/><Relationship Id="rId76" Type="http://schemas.openxmlformats.org/officeDocument/2006/relationships/image" Target="media/image49.emf"/><Relationship Id="rId77" Type="http://schemas.openxmlformats.org/officeDocument/2006/relationships/image" Target="media/image50.emf"/><Relationship Id="rId78" Type="http://schemas.openxmlformats.org/officeDocument/2006/relationships/image" Target="media/image51.emf"/><Relationship Id="rId79" Type="http://schemas.openxmlformats.org/officeDocument/2006/relationships/image" Target="media/image52.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73.emf"/><Relationship Id="rId101" Type="http://schemas.openxmlformats.org/officeDocument/2006/relationships/image" Target="media/image74.emf"/><Relationship Id="rId102" Type="http://schemas.openxmlformats.org/officeDocument/2006/relationships/image" Target="media/image75.emf"/><Relationship Id="rId103" Type="http://schemas.openxmlformats.org/officeDocument/2006/relationships/image" Target="media/image76.emf"/><Relationship Id="rId104" Type="http://schemas.openxmlformats.org/officeDocument/2006/relationships/image" Target="media/image77.emf"/><Relationship Id="rId105" Type="http://schemas.openxmlformats.org/officeDocument/2006/relationships/image" Target="media/image78.emf"/><Relationship Id="rId106" Type="http://schemas.openxmlformats.org/officeDocument/2006/relationships/image" Target="media/image79.emf"/><Relationship Id="rId107" Type="http://schemas.openxmlformats.org/officeDocument/2006/relationships/image" Target="media/image80.emf"/><Relationship Id="rId108" Type="http://schemas.openxmlformats.org/officeDocument/2006/relationships/image" Target="media/image81.emf"/><Relationship Id="rId109" Type="http://schemas.openxmlformats.org/officeDocument/2006/relationships/image" Target="media/image82.emf"/><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2.png"/><Relationship Id="rId140" Type="http://schemas.openxmlformats.org/officeDocument/2006/relationships/image" Target="media/image113.emf"/><Relationship Id="rId141" Type="http://schemas.openxmlformats.org/officeDocument/2006/relationships/image" Target="media/image114.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82A414-1C3F-7741-B083-B9F42335E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1243</TotalTime>
  <Pages>272</Pages>
  <Words>107586</Words>
  <Characters>613245</Characters>
  <Application>Microsoft Macintosh Word</Application>
  <DocSecurity>0</DocSecurity>
  <Lines>5110</Lines>
  <Paragraphs>1438</Paragraphs>
  <ScaleCrop>false</ScaleCrop>
  <HeadingPairs>
    <vt:vector size="2" baseType="variant">
      <vt:variant>
        <vt:lpstr>Title</vt:lpstr>
      </vt:variant>
      <vt:variant>
        <vt:i4>1</vt:i4>
      </vt:variant>
    </vt:vector>
  </HeadingPairs>
  <TitlesOfParts>
    <vt:vector size="1" baseType="lpstr">
      <vt:lpstr/>
    </vt:vector>
  </TitlesOfParts>
  <Company>n/a</Company>
  <LinksUpToDate>false</LinksUpToDate>
  <CharactersWithSpaces>719393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 User</dc:creator>
  <cp:keywords/>
  <dc:description/>
  <cp:lastModifiedBy>Jasmine Samvelyan</cp:lastModifiedBy>
  <cp:revision>121</cp:revision>
  <cp:lastPrinted>2018-07-05T13:14:00Z</cp:lastPrinted>
  <dcterms:created xsi:type="dcterms:W3CDTF">2018-06-25T00:29:00Z</dcterms:created>
  <dcterms:modified xsi:type="dcterms:W3CDTF">2018-07-11T16:18:00Z</dcterms:modified>
</cp:coreProperties>
</file>